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EA488F" w14:textId="1BC98659" w:rsidR="003D7B71" w:rsidRPr="00996AE0" w:rsidRDefault="00996AE0">
      <w:pPr>
        <w:rPr>
          <w:rFonts w:ascii="Times New Roman" w:hAnsi="Times New Roman" w:cs="Times New Roman"/>
          <w:b/>
        </w:rPr>
      </w:pPr>
      <w:r w:rsidRPr="00996AE0">
        <w:rPr>
          <w:rFonts w:ascii="Times New Roman" w:hAnsi="Times New Roman" w:cs="Times New Roman"/>
          <w:b/>
        </w:rPr>
        <w:t>Appendix A List and summary of the studies</w:t>
      </w:r>
    </w:p>
    <w:p w14:paraId="54EFE908" w14:textId="12CBC2AF" w:rsidR="00996AE0" w:rsidRDefault="00996AE0">
      <w:pPr>
        <w:rPr>
          <w:rFonts w:ascii="Times New Roman" w:hAnsi="Times New Roman" w:cs="Times New Roman"/>
          <w:sz w:val="20"/>
          <w:szCs w:val="20"/>
        </w:rPr>
      </w:pPr>
    </w:p>
    <w:tbl>
      <w:tblPr>
        <w:tblW w:w="24480" w:type="dxa"/>
        <w:tblLook w:val="04A0" w:firstRow="1" w:lastRow="0" w:firstColumn="1" w:lastColumn="0" w:noHBand="0" w:noVBand="1"/>
      </w:tblPr>
      <w:tblGrid>
        <w:gridCol w:w="1497"/>
        <w:gridCol w:w="948"/>
        <w:gridCol w:w="1974"/>
        <w:gridCol w:w="1200"/>
        <w:gridCol w:w="939"/>
        <w:gridCol w:w="1672"/>
        <w:gridCol w:w="934"/>
        <w:gridCol w:w="2004"/>
        <w:gridCol w:w="1342"/>
        <w:gridCol w:w="1641"/>
        <w:gridCol w:w="1482"/>
        <w:gridCol w:w="1295"/>
        <w:gridCol w:w="1294"/>
        <w:gridCol w:w="6258"/>
      </w:tblGrid>
      <w:tr w:rsidR="00996AE0" w:rsidRPr="00996AE0" w14:paraId="5A028FEC" w14:textId="77777777" w:rsidTr="009156CF">
        <w:trPr>
          <w:trHeight w:val="320"/>
        </w:trPr>
        <w:tc>
          <w:tcPr>
            <w:tcW w:w="1497" w:type="dxa"/>
            <w:tcBorders>
              <w:top w:val="single" w:sz="8" w:space="0" w:color="auto"/>
              <w:left w:val="nil"/>
              <w:bottom w:val="single" w:sz="4" w:space="0" w:color="auto"/>
              <w:right w:val="nil"/>
            </w:tcBorders>
            <w:shd w:val="clear" w:color="auto" w:fill="auto"/>
            <w:noWrap/>
            <w:vAlign w:val="center"/>
            <w:hideMark/>
          </w:tcPr>
          <w:p w14:paraId="2CA79A21" w14:textId="77777777" w:rsidR="00996AE0" w:rsidRPr="00996AE0" w:rsidRDefault="00996AE0" w:rsidP="009156CF">
            <w:pPr>
              <w:rPr>
                <w:rFonts w:ascii="Times New Roman" w:eastAsia="Times New Roman" w:hAnsi="Times New Roman" w:cs="Times New Roman"/>
                <w:b/>
                <w:bCs/>
                <w:color w:val="000000"/>
                <w:sz w:val="20"/>
                <w:szCs w:val="20"/>
              </w:rPr>
            </w:pPr>
            <w:r w:rsidRPr="00996AE0">
              <w:rPr>
                <w:rFonts w:ascii="Times New Roman" w:eastAsia="Times New Roman" w:hAnsi="Times New Roman" w:cs="Times New Roman"/>
                <w:b/>
                <w:bCs/>
                <w:color w:val="000000" w:themeColor="text1"/>
                <w:sz w:val="20"/>
                <w:szCs w:val="20"/>
                <w:lang w:val="en-US"/>
              </w:rPr>
              <w:t>Article</w:t>
            </w:r>
          </w:p>
        </w:tc>
        <w:tc>
          <w:tcPr>
            <w:tcW w:w="948" w:type="dxa"/>
            <w:tcBorders>
              <w:top w:val="single" w:sz="8" w:space="0" w:color="auto"/>
              <w:left w:val="nil"/>
              <w:bottom w:val="single" w:sz="4" w:space="0" w:color="auto"/>
              <w:right w:val="nil"/>
            </w:tcBorders>
            <w:shd w:val="clear" w:color="auto" w:fill="auto"/>
            <w:noWrap/>
            <w:vAlign w:val="center"/>
            <w:hideMark/>
          </w:tcPr>
          <w:p w14:paraId="34D0BA28" w14:textId="77777777" w:rsidR="00996AE0" w:rsidRPr="00996AE0" w:rsidRDefault="00996AE0" w:rsidP="00996AE0">
            <w:pPr>
              <w:jc w:val="right"/>
              <w:rPr>
                <w:rFonts w:ascii="Times New Roman" w:eastAsia="Times New Roman" w:hAnsi="Times New Roman" w:cs="Times New Roman"/>
                <w:b/>
                <w:bCs/>
                <w:color w:val="000000"/>
                <w:sz w:val="20"/>
                <w:szCs w:val="20"/>
              </w:rPr>
            </w:pPr>
            <w:r w:rsidRPr="00996AE0">
              <w:rPr>
                <w:rFonts w:ascii="Times New Roman" w:eastAsia="Times New Roman" w:hAnsi="Times New Roman" w:cs="Times New Roman"/>
                <w:b/>
                <w:bCs/>
                <w:color w:val="000000" w:themeColor="text1"/>
                <w:sz w:val="20"/>
                <w:szCs w:val="20"/>
                <w:lang w:val="en-US"/>
              </w:rPr>
              <w:t>Year</w:t>
            </w:r>
          </w:p>
        </w:tc>
        <w:tc>
          <w:tcPr>
            <w:tcW w:w="1939" w:type="dxa"/>
            <w:tcBorders>
              <w:top w:val="single" w:sz="8" w:space="0" w:color="auto"/>
              <w:left w:val="nil"/>
              <w:bottom w:val="single" w:sz="4" w:space="0" w:color="auto"/>
              <w:right w:val="nil"/>
            </w:tcBorders>
            <w:shd w:val="clear" w:color="auto" w:fill="auto"/>
            <w:noWrap/>
            <w:vAlign w:val="center"/>
            <w:hideMark/>
          </w:tcPr>
          <w:p w14:paraId="46826606" w14:textId="77777777" w:rsidR="00996AE0" w:rsidRPr="00996AE0" w:rsidRDefault="00996AE0" w:rsidP="009156CF">
            <w:pPr>
              <w:rPr>
                <w:rFonts w:ascii="Times New Roman" w:eastAsia="Times New Roman" w:hAnsi="Times New Roman" w:cs="Times New Roman"/>
                <w:b/>
                <w:bCs/>
                <w:color w:val="000000"/>
                <w:sz w:val="20"/>
                <w:szCs w:val="20"/>
              </w:rPr>
            </w:pPr>
            <w:r w:rsidRPr="00996AE0">
              <w:rPr>
                <w:rFonts w:ascii="Times New Roman" w:eastAsia="Times New Roman" w:hAnsi="Times New Roman" w:cs="Times New Roman"/>
                <w:b/>
                <w:bCs/>
                <w:color w:val="000000" w:themeColor="text1"/>
                <w:sz w:val="20"/>
                <w:szCs w:val="20"/>
                <w:lang w:val="en-US"/>
              </w:rPr>
              <w:t>Country</w:t>
            </w:r>
          </w:p>
        </w:tc>
        <w:tc>
          <w:tcPr>
            <w:tcW w:w="1180" w:type="dxa"/>
            <w:tcBorders>
              <w:top w:val="single" w:sz="8" w:space="0" w:color="auto"/>
              <w:left w:val="nil"/>
              <w:bottom w:val="single" w:sz="4" w:space="0" w:color="auto"/>
              <w:right w:val="nil"/>
            </w:tcBorders>
            <w:shd w:val="clear" w:color="auto" w:fill="auto"/>
            <w:noWrap/>
            <w:vAlign w:val="center"/>
            <w:hideMark/>
          </w:tcPr>
          <w:p w14:paraId="1390D7B0" w14:textId="77777777" w:rsidR="00996AE0" w:rsidRPr="00996AE0" w:rsidRDefault="00996AE0" w:rsidP="009156CF">
            <w:pPr>
              <w:rPr>
                <w:rFonts w:ascii="Times New Roman" w:eastAsia="Times New Roman" w:hAnsi="Times New Roman" w:cs="Times New Roman"/>
                <w:b/>
                <w:bCs/>
                <w:color w:val="000000"/>
                <w:sz w:val="20"/>
                <w:szCs w:val="20"/>
              </w:rPr>
            </w:pPr>
            <w:r w:rsidRPr="00996AE0">
              <w:rPr>
                <w:rFonts w:ascii="Times New Roman" w:eastAsia="Times New Roman" w:hAnsi="Times New Roman" w:cs="Times New Roman"/>
                <w:b/>
                <w:bCs/>
                <w:color w:val="000000" w:themeColor="text1"/>
                <w:sz w:val="20"/>
                <w:szCs w:val="20"/>
                <w:lang w:val="en-US"/>
              </w:rPr>
              <w:t>Embedded in election</w:t>
            </w:r>
          </w:p>
        </w:tc>
        <w:tc>
          <w:tcPr>
            <w:tcW w:w="939" w:type="dxa"/>
            <w:tcBorders>
              <w:top w:val="single" w:sz="8" w:space="0" w:color="auto"/>
              <w:left w:val="nil"/>
              <w:bottom w:val="single" w:sz="4" w:space="0" w:color="auto"/>
              <w:right w:val="nil"/>
            </w:tcBorders>
            <w:shd w:val="clear" w:color="auto" w:fill="auto"/>
            <w:noWrap/>
            <w:vAlign w:val="center"/>
            <w:hideMark/>
          </w:tcPr>
          <w:p w14:paraId="36AF36CE" w14:textId="77777777" w:rsidR="00996AE0" w:rsidRPr="00996AE0" w:rsidRDefault="00996AE0" w:rsidP="009156CF">
            <w:pPr>
              <w:rPr>
                <w:rFonts w:ascii="Times New Roman" w:eastAsia="Times New Roman" w:hAnsi="Times New Roman" w:cs="Times New Roman"/>
                <w:b/>
                <w:bCs/>
                <w:color w:val="000000"/>
                <w:sz w:val="20"/>
                <w:szCs w:val="20"/>
              </w:rPr>
            </w:pPr>
            <w:r w:rsidRPr="00996AE0">
              <w:rPr>
                <w:rFonts w:ascii="Times New Roman" w:eastAsia="Times New Roman" w:hAnsi="Times New Roman" w:cs="Times New Roman"/>
                <w:b/>
                <w:bCs/>
                <w:color w:val="000000" w:themeColor="text1"/>
                <w:sz w:val="20"/>
                <w:szCs w:val="20"/>
                <w:lang w:val="en-US"/>
              </w:rPr>
              <w:t>Focus</w:t>
            </w:r>
          </w:p>
        </w:tc>
        <w:tc>
          <w:tcPr>
            <w:tcW w:w="1672" w:type="dxa"/>
            <w:tcBorders>
              <w:top w:val="single" w:sz="8" w:space="0" w:color="auto"/>
              <w:left w:val="nil"/>
              <w:bottom w:val="single" w:sz="4" w:space="0" w:color="auto"/>
              <w:right w:val="nil"/>
            </w:tcBorders>
            <w:shd w:val="clear" w:color="auto" w:fill="auto"/>
            <w:noWrap/>
            <w:vAlign w:val="center"/>
            <w:hideMark/>
          </w:tcPr>
          <w:p w14:paraId="7AD65BB1" w14:textId="77777777" w:rsidR="00996AE0" w:rsidRPr="00996AE0" w:rsidRDefault="00996AE0" w:rsidP="009156CF">
            <w:pPr>
              <w:rPr>
                <w:rFonts w:ascii="Times New Roman" w:eastAsia="Times New Roman" w:hAnsi="Times New Roman" w:cs="Times New Roman"/>
                <w:b/>
                <w:bCs/>
                <w:color w:val="000000"/>
                <w:sz w:val="20"/>
                <w:szCs w:val="20"/>
              </w:rPr>
            </w:pPr>
            <w:r w:rsidRPr="00996AE0">
              <w:rPr>
                <w:rFonts w:ascii="Times New Roman" w:eastAsia="Times New Roman" w:hAnsi="Times New Roman" w:cs="Times New Roman"/>
                <w:b/>
                <w:bCs/>
                <w:color w:val="000000" w:themeColor="text1"/>
                <w:sz w:val="20"/>
                <w:szCs w:val="20"/>
                <w:lang w:val="en-US"/>
              </w:rPr>
              <w:t>Level of politics</w:t>
            </w:r>
            <w:r w:rsidRPr="00996AE0">
              <w:rPr>
                <w:rFonts w:ascii="Times New Roman" w:eastAsia="Times New Roman" w:hAnsi="Times New Roman" w:cs="Times New Roman"/>
                <w:color w:val="000000"/>
                <w:sz w:val="20"/>
                <w:szCs w:val="20"/>
                <w:lang w:val="en-US"/>
              </w:rPr>
              <w:t> </w:t>
            </w:r>
          </w:p>
        </w:tc>
        <w:tc>
          <w:tcPr>
            <w:tcW w:w="934" w:type="dxa"/>
            <w:tcBorders>
              <w:top w:val="single" w:sz="8" w:space="0" w:color="auto"/>
              <w:left w:val="nil"/>
              <w:bottom w:val="single" w:sz="4" w:space="0" w:color="auto"/>
              <w:right w:val="nil"/>
            </w:tcBorders>
            <w:shd w:val="clear" w:color="auto" w:fill="auto"/>
            <w:noWrap/>
            <w:vAlign w:val="center"/>
            <w:hideMark/>
          </w:tcPr>
          <w:p w14:paraId="0C8893DC" w14:textId="77777777" w:rsidR="00996AE0" w:rsidRPr="00996AE0" w:rsidRDefault="00996AE0" w:rsidP="009156CF">
            <w:pPr>
              <w:rPr>
                <w:rFonts w:ascii="Times New Roman" w:eastAsia="Times New Roman" w:hAnsi="Times New Roman" w:cs="Times New Roman"/>
                <w:b/>
                <w:bCs/>
                <w:color w:val="000000"/>
                <w:sz w:val="20"/>
                <w:szCs w:val="20"/>
              </w:rPr>
            </w:pPr>
            <w:r w:rsidRPr="00996AE0">
              <w:rPr>
                <w:rFonts w:ascii="Times New Roman" w:eastAsia="Times New Roman" w:hAnsi="Times New Roman" w:cs="Times New Roman"/>
                <w:b/>
                <w:bCs/>
                <w:color w:val="000000" w:themeColor="text1"/>
                <w:sz w:val="20"/>
                <w:szCs w:val="20"/>
                <w:lang w:val="en-US"/>
              </w:rPr>
              <w:t xml:space="preserve">Social media </w:t>
            </w:r>
          </w:p>
        </w:tc>
        <w:tc>
          <w:tcPr>
            <w:tcW w:w="2004" w:type="dxa"/>
            <w:tcBorders>
              <w:top w:val="single" w:sz="8" w:space="0" w:color="auto"/>
              <w:left w:val="nil"/>
              <w:bottom w:val="single" w:sz="4" w:space="0" w:color="auto"/>
              <w:right w:val="nil"/>
            </w:tcBorders>
            <w:shd w:val="clear" w:color="auto" w:fill="auto"/>
            <w:noWrap/>
            <w:vAlign w:val="center"/>
            <w:hideMark/>
          </w:tcPr>
          <w:p w14:paraId="6E9D0A74" w14:textId="77777777" w:rsidR="00996AE0" w:rsidRPr="00996AE0" w:rsidRDefault="00996AE0" w:rsidP="009156CF">
            <w:pPr>
              <w:rPr>
                <w:rFonts w:ascii="Times New Roman" w:eastAsia="Times New Roman" w:hAnsi="Times New Roman" w:cs="Times New Roman"/>
                <w:b/>
                <w:bCs/>
                <w:color w:val="000000"/>
                <w:sz w:val="20"/>
                <w:szCs w:val="20"/>
              </w:rPr>
            </w:pPr>
            <w:r w:rsidRPr="00996AE0">
              <w:rPr>
                <w:rFonts w:ascii="Times New Roman" w:eastAsia="Times New Roman" w:hAnsi="Times New Roman" w:cs="Times New Roman"/>
                <w:b/>
                <w:bCs/>
                <w:color w:val="000000" w:themeColor="text1"/>
                <w:sz w:val="20"/>
                <w:szCs w:val="20"/>
                <w:lang w:val="en-US"/>
              </w:rPr>
              <w:t>Theory or literature utilized</w:t>
            </w:r>
          </w:p>
        </w:tc>
        <w:tc>
          <w:tcPr>
            <w:tcW w:w="1342" w:type="dxa"/>
            <w:tcBorders>
              <w:top w:val="single" w:sz="8" w:space="0" w:color="auto"/>
              <w:left w:val="nil"/>
              <w:bottom w:val="single" w:sz="4" w:space="0" w:color="auto"/>
              <w:right w:val="nil"/>
            </w:tcBorders>
            <w:shd w:val="clear" w:color="auto" w:fill="auto"/>
            <w:noWrap/>
            <w:vAlign w:val="center"/>
            <w:hideMark/>
          </w:tcPr>
          <w:p w14:paraId="19A6F270" w14:textId="77777777" w:rsidR="00996AE0" w:rsidRPr="00996AE0" w:rsidRDefault="00996AE0" w:rsidP="009156CF">
            <w:pPr>
              <w:rPr>
                <w:rFonts w:ascii="Times New Roman" w:eastAsia="Times New Roman" w:hAnsi="Times New Roman" w:cs="Times New Roman"/>
                <w:b/>
                <w:bCs/>
                <w:color w:val="000000"/>
                <w:sz w:val="20"/>
                <w:szCs w:val="20"/>
              </w:rPr>
            </w:pPr>
            <w:r w:rsidRPr="00996AE0">
              <w:rPr>
                <w:rFonts w:ascii="Times New Roman" w:eastAsia="Times New Roman" w:hAnsi="Times New Roman" w:cs="Times New Roman"/>
                <w:b/>
                <w:bCs/>
                <w:color w:val="000000" w:themeColor="text1"/>
                <w:sz w:val="20"/>
                <w:szCs w:val="20"/>
                <w:lang w:val="en-US"/>
              </w:rPr>
              <w:t>Only social media (1=yes, 0=no)</w:t>
            </w:r>
          </w:p>
        </w:tc>
        <w:tc>
          <w:tcPr>
            <w:tcW w:w="1613" w:type="dxa"/>
            <w:tcBorders>
              <w:top w:val="single" w:sz="8" w:space="0" w:color="auto"/>
              <w:left w:val="nil"/>
              <w:bottom w:val="single" w:sz="4" w:space="0" w:color="auto"/>
              <w:right w:val="nil"/>
            </w:tcBorders>
            <w:shd w:val="clear" w:color="auto" w:fill="auto"/>
            <w:noWrap/>
            <w:vAlign w:val="center"/>
            <w:hideMark/>
          </w:tcPr>
          <w:p w14:paraId="34AF748D" w14:textId="77777777" w:rsidR="00996AE0" w:rsidRPr="00996AE0" w:rsidRDefault="00996AE0" w:rsidP="009156CF">
            <w:pPr>
              <w:rPr>
                <w:rFonts w:ascii="Times New Roman" w:eastAsia="Times New Roman" w:hAnsi="Times New Roman" w:cs="Times New Roman"/>
                <w:b/>
                <w:bCs/>
                <w:color w:val="000000"/>
                <w:sz w:val="20"/>
                <w:szCs w:val="20"/>
              </w:rPr>
            </w:pPr>
            <w:r w:rsidRPr="00996AE0">
              <w:rPr>
                <w:rFonts w:ascii="Times New Roman" w:eastAsia="Times New Roman" w:hAnsi="Times New Roman" w:cs="Times New Roman"/>
                <w:b/>
                <w:bCs/>
                <w:color w:val="000000" w:themeColor="text1"/>
                <w:sz w:val="20"/>
                <w:szCs w:val="20"/>
                <w:lang w:val="en-US"/>
              </w:rPr>
              <w:t>Methodol</w:t>
            </w:r>
            <w:r w:rsidRPr="00996AE0">
              <w:rPr>
                <w:rFonts w:ascii="Times New Roman" w:eastAsia="Times New Roman" w:hAnsi="Times New Roman" w:cs="Times New Roman"/>
                <w:b/>
                <w:bCs/>
                <w:color w:val="000000"/>
                <w:sz w:val="20"/>
                <w:szCs w:val="20"/>
                <w:lang w:val="en-US"/>
              </w:rPr>
              <w:t>ogy</w:t>
            </w:r>
          </w:p>
        </w:tc>
        <w:tc>
          <w:tcPr>
            <w:tcW w:w="1482" w:type="dxa"/>
            <w:tcBorders>
              <w:top w:val="single" w:sz="8" w:space="0" w:color="auto"/>
              <w:left w:val="nil"/>
              <w:bottom w:val="single" w:sz="4" w:space="0" w:color="auto"/>
              <w:right w:val="nil"/>
            </w:tcBorders>
            <w:shd w:val="clear" w:color="auto" w:fill="auto"/>
            <w:noWrap/>
            <w:vAlign w:val="center"/>
            <w:hideMark/>
          </w:tcPr>
          <w:p w14:paraId="4A171219" w14:textId="77777777" w:rsidR="00996AE0" w:rsidRPr="00996AE0" w:rsidRDefault="00996AE0" w:rsidP="009156CF">
            <w:pPr>
              <w:rPr>
                <w:rFonts w:ascii="Times New Roman" w:eastAsia="Times New Roman" w:hAnsi="Times New Roman" w:cs="Times New Roman"/>
                <w:b/>
                <w:bCs/>
                <w:color w:val="000000"/>
                <w:sz w:val="20"/>
                <w:szCs w:val="20"/>
              </w:rPr>
            </w:pPr>
            <w:r w:rsidRPr="00996AE0">
              <w:rPr>
                <w:rFonts w:ascii="Times New Roman" w:eastAsia="Times New Roman" w:hAnsi="Times New Roman" w:cs="Times New Roman"/>
                <w:b/>
                <w:bCs/>
                <w:color w:val="000000" w:themeColor="text1"/>
                <w:sz w:val="20"/>
                <w:szCs w:val="20"/>
                <w:lang w:val="en-US"/>
              </w:rPr>
              <w:t>Data collected from</w:t>
            </w:r>
            <w:r w:rsidRPr="00996AE0">
              <w:rPr>
                <w:rFonts w:ascii="Times New Roman" w:eastAsia="Times New Roman" w:hAnsi="Times New Roman" w:cs="Times New Roman"/>
                <w:color w:val="000000"/>
                <w:sz w:val="20"/>
                <w:szCs w:val="20"/>
                <w:lang w:val="en-US"/>
              </w:rPr>
              <w:t> </w:t>
            </w:r>
          </w:p>
        </w:tc>
        <w:tc>
          <w:tcPr>
            <w:tcW w:w="1009" w:type="dxa"/>
            <w:tcBorders>
              <w:top w:val="single" w:sz="8" w:space="0" w:color="auto"/>
              <w:left w:val="nil"/>
              <w:bottom w:val="single" w:sz="4" w:space="0" w:color="auto"/>
              <w:right w:val="nil"/>
            </w:tcBorders>
            <w:shd w:val="clear" w:color="auto" w:fill="auto"/>
            <w:noWrap/>
            <w:vAlign w:val="center"/>
            <w:hideMark/>
          </w:tcPr>
          <w:p w14:paraId="721E30DB" w14:textId="77777777" w:rsidR="00996AE0" w:rsidRPr="00996AE0" w:rsidRDefault="00996AE0" w:rsidP="009156CF">
            <w:pPr>
              <w:rPr>
                <w:rFonts w:ascii="Times New Roman" w:eastAsia="Times New Roman" w:hAnsi="Times New Roman" w:cs="Times New Roman"/>
                <w:b/>
                <w:bCs/>
                <w:color w:val="000000"/>
                <w:sz w:val="20"/>
                <w:szCs w:val="20"/>
              </w:rPr>
            </w:pPr>
            <w:r w:rsidRPr="00996AE0">
              <w:rPr>
                <w:rFonts w:ascii="Times New Roman" w:eastAsia="Times New Roman" w:hAnsi="Times New Roman" w:cs="Times New Roman"/>
                <w:b/>
                <w:bCs/>
                <w:color w:val="000000" w:themeColor="text1"/>
                <w:sz w:val="20"/>
                <w:szCs w:val="20"/>
                <w:lang w:val="en-US"/>
              </w:rPr>
              <w:t>Relationship tested (1=yes, 0=no)</w:t>
            </w:r>
          </w:p>
        </w:tc>
        <w:tc>
          <w:tcPr>
            <w:tcW w:w="451" w:type="dxa"/>
            <w:tcBorders>
              <w:top w:val="single" w:sz="4" w:space="0" w:color="auto"/>
              <w:left w:val="nil"/>
              <w:bottom w:val="single" w:sz="4" w:space="0" w:color="auto"/>
              <w:right w:val="nil"/>
            </w:tcBorders>
            <w:shd w:val="clear" w:color="auto" w:fill="auto"/>
            <w:noWrap/>
            <w:vAlign w:val="center"/>
            <w:hideMark/>
          </w:tcPr>
          <w:p w14:paraId="0B45315B" w14:textId="77777777" w:rsidR="00996AE0" w:rsidRPr="00996AE0" w:rsidRDefault="00996AE0" w:rsidP="009156CF">
            <w:pPr>
              <w:rPr>
                <w:rFonts w:ascii="Times New Roman" w:eastAsia="Times New Roman" w:hAnsi="Times New Roman" w:cs="Times New Roman"/>
                <w:b/>
                <w:bCs/>
                <w:color w:val="000000"/>
                <w:sz w:val="20"/>
                <w:szCs w:val="20"/>
              </w:rPr>
            </w:pPr>
            <w:r w:rsidRPr="00996AE0">
              <w:rPr>
                <w:rFonts w:ascii="Times New Roman" w:eastAsia="Times New Roman" w:hAnsi="Times New Roman" w:cs="Times New Roman"/>
                <w:b/>
                <w:bCs/>
                <w:color w:val="000000" w:themeColor="text1"/>
                <w:sz w:val="20"/>
                <w:szCs w:val="20"/>
                <w:lang w:val="en-US"/>
              </w:rPr>
              <w:t>Quantitative (1=yes, 0=no)</w:t>
            </w:r>
          </w:p>
        </w:tc>
        <w:tc>
          <w:tcPr>
            <w:tcW w:w="7470" w:type="dxa"/>
            <w:tcBorders>
              <w:top w:val="single" w:sz="8" w:space="0" w:color="auto"/>
              <w:left w:val="nil"/>
              <w:bottom w:val="single" w:sz="4" w:space="0" w:color="auto"/>
              <w:right w:val="nil"/>
            </w:tcBorders>
            <w:shd w:val="clear" w:color="auto" w:fill="auto"/>
            <w:vAlign w:val="center"/>
            <w:hideMark/>
          </w:tcPr>
          <w:p w14:paraId="788323D5" w14:textId="77777777" w:rsidR="00996AE0" w:rsidRPr="00996AE0" w:rsidRDefault="00996AE0" w:rsidP="009156CF">
            <w:pPr>
              <w:rPr>
                <w:rFonts w:ascii="Times New Roman" w:eastAsia="Times New Roman" w:hAnsi="Times New Roman" w:cs="Times New Roman"/>
                <w:b/>
                <w:bCs/>
                <w:color w:val="000000"/>
                <w:sz w:val="20"/>
                <w:szCs w:val="20"/>
              </w:rPr>
            </w:pPr>
            <w:r w:rsidRPr="00996AE0">
              <w:rPr>
                <w:rFonts w:ascii="Times New Roman" w:eastAsia="Times New Roman" w:hAnsi="Times New Roman" w:cs="Times New Roman"/>
                <w:b/>
                <w:bCs/>
                <w:color w:val="000000" w:themeColor="text1"/>
                <w:sz w:val="20"/>
                <w:szCs w:val="20"/>
                <w:lang w:val="en-US"/>
              </w:rPr>
              <w:t xml:space="preserve">Findings                 </w:t>
            </w:r>
          </w:p>
        </w:tc>
      </w:tr>
      <w:tr w:rsidR="00996AE0" w:rsidRPr="00996AE0" w14:paraId="781EDBD0" w14:textId="77777777" w:rsidTr="009156CF">
        <w:trPr>
          <w:trHeight w:val="480"/>
        </w:trPr>
        <w:tc>
          <w:tcPr>
            <w:tcW w:w="1497" w:type="dxa"/>
            <w:tcBorders>
              <w:top w:val="single" w:sz="4" w:space="0" w:color="auto"/>
              <w:left w:val="nil"/>
              <w:bottom w:val="nil"/>
              <w:right w:val="nil"/>
            </w:tcBorders>
            <w:shd w:val="clear" w:color="auto" w:fill="auto"/>
            <w:noWrap/>
            <w:vAlign w:val="center"/>
            <w:hideMark/>
          </w:tcPr>
          <w:p w14:paraId="2F584027" w14:textId="77777777" w:rsidR="00996AE0" w:rsidRPr="00996AE0" w:rsidRDefault="00996AE0" w:rsidP="009156CF">
            <w:pPr>
              <w:rPr>
                <w:rFonts w:ascii="Times New Roman" w:eastAsia="Times New Roman" w:hAnsi="Times New Roman" w:cs="Times New Roman"/>
                <w:b/>
                <w:bCs/>
                <w:color w:val="000000"/>
                <w:sz w:val="15"/>
                <w:szCs w:val="15"/>
              </w:rPr>
            </w:pPr>
            <w:r w:rsidRPr="00996AE0">
              <w:rPr>
                <w:rFonts w:ascii="Times New Roman" w:eastAsia="Times New Roman" w:hAnsi="Times New Roman" w:cs="Times New Roman"/>
                <w:b/>
                <w:bCs/>
                <w:color w:val="000000" w:themeColor="text1"/>
                <w:sz w:val="15"/>
                <w:szCs w:val="15"/>
                <w:lang w:val="en-US"/>
              </w:rPr>
              <w:t>Abid &amp; Harrigan, 2020</w:t>
            </w:r>
          </w:p>
        </w:tc>
        <w:tc>
          <w:tcPr>
            <w:tcW w:w="948" w:type="dxa"/>
            <w:tcBorders>
              <w:top w:val="single" w:sz="4" w:space="0" w:color="auto"/>
              <w:left w:val="nil"/>
              <w:bottom w:val="nil"/>
              <w:right w:val="nil"/>
            </w:tcBorders>
            <w:shd w:val="clear" w:color="auto" w:fill="auto"/>
            <w:noWrap/>
            <w:vAlign w:val="center"/>
            <w:hideMark/>
          </w:tcPr>
          <w:p w14:paraId="67A1F5D4"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2020</w:t>
            </w:r>
          </w:p>
        </w:tc>
        <w:tc>
          <w:tcPr>
            <w:tcW w:w="1939" w:type="dxa"/>
            <w:tcBorders>
              <w:top w:val="single" w:sz="4" w:space="0" w:color="auto"/>
              <w:left w:val="nil"/>
              <w:bottom w:val="nil"/>
              <w:right w:val="nil"/>
            </w:tcBorders>
            <w:shd w:val="clear" w:color="auto" w:fill="auto"/>
            <w:noWrap/>
            <w:vAlign w:val="center"/>
            <w:hideMark/>
          </w:tcPr>
          <w:p w14:paraId="4B60A1CD"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Australia</w:t>
            </w:r>
          </w:p>
        </w:tc>
        <w:tc>
          <w:tcPr>
            <w:tcW w:w="1180" w:type="dxa"/>
            <w:tcBorders>
              <w:top w:val="single" w:sz="4" w:space="0" w:color="auto"/>
              <w:left w:val="nil"/>
              <w:bottom w:val="nil"/>
              <w:right w:val="nil"/>
            </w:tcBorders>
            <w:shd w:val="clear" w:color="auto" w:fill="auto"/>
            <w:noWrap/>
            <w:vAlign w:val="center"/>
            <w:hideMark/>
          </w:tcPr>
          <w:p w14:paraId="552C22DE"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N/A</w:t>
            </w:r>
          </w:p>
        </w:tc>
        <w:tc>
          <w:tcPr>
            <w:tcW w:w="939" w:type="dxa"/>
            <w:tcBorders>
              <w:top w:val="single" w:sz="4" w:space="0" w:color="auto"/>
              <w:left w:val="nil"/>
              <w:bottom w:val="nil"/>
              <w:right w:val="nil"/>
            </w:tcBorders>
            <w:shd w:val="clear" w:color="auto" w:fill="auto"/>
            <w:noWrap/>
            <w:vAlign w:val="center"/>
            <w:hideMark/>
          </w:tcPr>
          <w:p w14:paraId="19427FFC"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Candidate and party</w:t>
            </w:r>
          </w:p>
        </w:tc>
        <w:tc>
          <w:tcPr>
            <w:tcW w:w="1672" w:type="dxa"/>
            <w:tcBorders>
              <w:top w:val="single" w:sz="4" w:space="0" w:color="auto"/>
              <w:left w:val="nil"/>
              <w:bottom w:val="nil"/>
              <w:right w:val="nil"/>
            </w:tcBorders>
            <w:shd w:val="clear" w:color="auto" w:fill="auto"/>
            <w:noWrap/>
            <w:vAlign w:val="center"/>
            <w:hideMark/>
          </w:tcPr>
          <w:p w14:paraId="27349827"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National and local politics</w:t>
            </w:r>
          </w:p>
        </w:tc>
        <w:tc>
          <w:tcPr>
            <w:tcW w:w="934" w:type="dxa"/>
            <w:tcBorders>
              <w:top w:val="single" w:sz="4" w:space="0" w:color="auto"/>
              <w:left w:val="nil"/>
              <w:bottom w:val="nil"/>
              <w:right w:val="nil"/>
            </w:tcBorders>
            <w:shd w:val="clear" w:color="auto" w:fill="auto"/>
            <w:noWrap/>
            <w:vAlign w:val="center"/>
            <w:hideMark/>
          </w:tcPr>
          <w:p w14:paraId="27BDCD16"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General</w:t>
            </w:r>
          </w:p>
        </w:tc>
        <w:tc>
          <w:tcPr>
            <w:tcW w:w="2004" w:type="dxa"/>
            <w:tcBorders>
              <w:top w:val="single" w:sz="4" w:space="0" w:color="auto"/>
              <w:left w:val="nil"/>
              <w:bottom w:val="nil"/>
              <w:right w:val="nil"/>
            </w:tcBorders>
            <w:shd w:val="clear" w:color="auto" w:fill="auto"/>
            <w:noWrap/>
            <w:vAlign w:val="center"/>
            <w:hideMark/>
          </w:tcPr>
          <w:p w14:paraId="37719252"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Uses and Gratifications Theory, psychological contract, service-dominant orientation</w:t>
            </w:r>
          </w:p>
        </w:tc>
        <w:tc>
          <w:tcPr>
            <w:tcW w:w="1342" w:type="dxa"/>
            <w:tcBorders>
              <w:top w:val="single" w:sz="4" w:space="0" w:color="auto"/>
              <w:left w:val="nil"/>
              <w:bottom w:val="nil"/>
              <w:right w:val="nil"/>
            </w:tcBorders>
            <w:shd w:val="clear" w:color="auto" w:fill="auto"/>
            <w:noWrap/>
            <w:vAlign w:val="center"/>
            <w:hideMark/>
          </w:tcPr>
          <w:p w14:paraId="1B0718A7"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1613" w:type="dxa"/>
            <w:tcBorders>
              <w:top w:val="single" w:sz="4" w:space="0" w:color="auto"/>
              <w:left w:val="nil"/>
              <w:bottom w:val="nil"/>
              <w:right w:val="nil"/>
            </w:tcBorders>
            <w:shd w:val="clear" w:color="auto" w:fill="auto"/>
            <w:noWrap/>
            <w:vAlign w:val="center"/>
            <w:hideMark/>
          </w:tcPr>
          <w:p w14:paraId="7A496F5E"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Focus groups</w:t>
            </w:r>
          </w:p>
        </w:tc>
        <w:tc>
          <w:tcPr>
            <w:tcW w:w="1482" w:type="dxa"/>
            <w:tcBorders>
              <w:top w:val="single" w:sz="4" w:space="0" w:color="auto"/>
              <w:left w:val="nil"/>
              <w:bottom w:val="nil"/>
              <w:right w:val="nil"/>
            </w:tcBorders>
            <w:shd w:val="clear" w:color="auto" w:fill="auto"/>
            <w:noWrap/>
            <w:vAlign w:val="center"/>
            <w:hideMark/>
          </w:tcPr>
          <w:p w14:paraId="6E426BE5"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Young voters</w:t>
            </w:r>
          </w:p>
        </w:tc>
        <w:tc>
          <w:tcPr>
            <w:tcW w:w="1009" w:type="dxa"/>
            <w:tcBorders>
              <w:top w:val="single" w:sz="4" w:space="0" w:color="auto"/>
              <w:left w:val="nil"/>
              <w:bottom w:val="nil"/>
              <w:right w:val="nil"/>
            </w:tcBorders>
            <w:shd w:val="clear" w:color="auto" w:fill="auto"/>
            <w:noWrap/>
            <w:vAlign w:val="center"/>
            <w:hideMark/>
          </w:tcPr>
          <w:p w14:paraId="05322F0D"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451" w:type="dxa"/>
            <w:tcBorders>
              <w:top w:val="single" w:sz="4" w:space="0" w:color="auto"/>
              <w:left w:val="nil"/>
              <w:bottom w:val="nil"/>
              <w:right w:val="nil"/>
            </w:tcBorders>
            <w:shd w:val="clear" w:color="auto" w:fill="auto"/>
            <w:noWrap/>
            <w:vAlign w:val="center"/>
            <w:hideMark/>
          </w:tcPr>
          <w:p w14:paraId="7143A6C3"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7470" w:type="dxa"/>
            <w:tcBorders>
              <w:top w:val="single" w:sz="4" w:space="0" w:color="auto"/>
              <w:left w:val="nil"/>
              <w:bottom w:val="nil"/>
              <w:right w:val="nil"/>
            </w:tcBorders>
            <w:shd w:val="clear" w:color="auto" w:fill="auto"/>
            <w:vAlign w:val="center"/>
            <w:hideMark/>
          </w:tcPr>
          <w:p w14:paraId="4B618B03"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 xml:space="preserve">Young voters follow politicians to satisfy informational, social, and entertainment needs. Social exchanges, trust, and ethical and developmental interactions drive the online relationship. </w:t>
            </w:r>
          </w:p>
        </w:tc>
      </w:tr>
      <w:tr w:rsidR="00996AE0" w:rsidRPr="00996AE0" w14:paraId="4F821C4F" w14:textId="77777777" w:rsidTr="009156CF">
        <w:trPr>
          <w:trHeight w:val="480"/>
        </w:trPr>
        <w:tc>
          <w:tcPr>
            <w:tcW w:w="1497" w:type="dxa"/>
            <w:tcBorders>
              <w:top w:val="nil"/>
              <w:left w:val="nil"/>
              <w:bottom w:val="nil"/>
              <w:right w:val="nil"/>
            </w:tcBorders>
            <w:shd w:val="clear" w:color="auto" w:fill="auto"/>
            <w:noWrap/>
            <w:vAlign w:val="center"/>
            <w:hideMark/>
          </w:tcPr>
          <w:p w14:paraId="52E39FB7" w14:textId="77777777" w:rsidR="00996AE0" w:rsidRPr="00996AE0" w:rsidRDefault="00996AE0" w:rsidP="009156CF">
            <w:pPr>
              <w:rPr>
                <w:rFonts w:ascii="Times New Roman" w:eastAsia="Times New Roman" w:hAnsi="Times New Roman" w:cs="Times New Roman"/>
                <w:b/>
                <w:bCs/>
                <w:color w:val="000000"/>
                <w:sz w:val="15"/>
                <w:szCs w:val="15"/>
              </w:rPr>
            </w:pPr>
            <w:r w:rsidRPr="00996AE0">
              <w:rPr>
                <w:rFonts w:ascii="Times New Roman" w:eastAsia="Times New Roman" w:hAnsi="Times New Roman" w:cs="Times New Roman"/>
                <w:b/>
                <w:bCs/>
                <w:color w:val="000000" w:themeColor="text1"/>
                <w:sz w:val="15"/>
                <w:szCs w:val="15"/>
                <w:lang w:val="en-US"/>
              </w:rPr>
              <w:t>Abid et al., 2019</w:t>
            </w:r>
          </w:p>
        </w:tc>
        <w:tc>
          <w:tcPr>
            <w:tcW w:w="948" w:type="dxa"/>
            <w:tcBorders>
              <w:top w:val="nil"/>
              <w:left w:val="nil"/>
              <w:bottom w:val="nil"/>
              <w:right w:val="nil"/>
            </w:tcBorders>
            <w:shd w:val="clear" w:color="auto" w:fill="auto"/>
            <w:noWrap/>
            <w:vAlign w:val="center"/>
            <w:hideMark/>
          </w:tcPr>
          <w:p w14:paraId="017311B7"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2019</w:t>
            </w:r>
          </w:p>
        </w:tc>
        <w:tc>
          <w:tcPr>
            <w:tcW w:w="1939" w:type="dxa"/>
            <w:tcBorders>
              <w:top w:val="nil"/>
              <w:left w:val="nil"/>
              <w:bottom w:val="nil"/>
              <w:right w:val="nil"/>
            </w:tcBorders>
            <w:shd w:val="clear" w:color="auto" w:fill="auto"/>
            <w:noWrap/>
            <w:vAlign w:val="center"/>
            <w:hideMark/>
          </w:tcPr>
          <w:p w14:paraId="367B51FA"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USA</w:t>
            </w:r>
          </w:p>
        </w:tc>
        <w:tc>
          <w:tcPr>
            <w:tcW w:w="1180" w:type="dxa"/>
            <w:tcBorders>
              <w:top w:val="nil"/>
              <w:left w:val="nil"/>
              <w:bottom w:val="nil"/>
              <w:right w:val="nil"/>
            </w:tcBorders>
            <w:shd w:val="clear" w:color="auto" w:fill="auto"/>
            <w:noWrap/>
            <w:vAlign w:val="center"/>
            <w:hideMark/>
          </w:tcPr>
          <w:p w14:paraId="3404BC03"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N/A</w:t>
            </w:r>
          </w:p>
        </w:tc>
        <w:tc>
          <w:tcPr>
            <w:tcW w:w="939" w:type="dxa"/>
            <w:tcBorders>
              <w:top w:val="nil"/>
              <w:left w:val="nil"/>
              <w:bottom w:val="nil"/>
              <w:right w:val="nil"/>
            </w:tcBorders>
            <w:shd w:val="clear" w:color="auto" w:fill="auto"/>
            <w:noWrap/>
            <w:vAlign w:val="center"/>
            <w:hideMark/>
          </w:tcPr>
          <w:p w14:paraId="34AD9C60"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Party</w:t>
            </w:r>
          </w:p>
        </w:tc>
        <w:tc>
          <w:tcPr>
            <w:tcW w:w="1672" w:type="dxa"/>
            <w:tcBorders>
              <w:top w:val="nil"/>
              <w:left w:val="nil"/>
              <w:bottom w:val="nil"/>
              <w:right w:val="nil"/>
            </w:tcBorders>
            <w:shd w:val="clear" w:color="auto" w:fill="auto"/>
            <w:noWrap/>
            <w:vAlign w:val="center"/>
            <w:hideMark/>
          </w:tcPr>
          <w:p w14:paraId="0354EE30"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National politics</w:t>
            </w:r>
          </w:p>
        </w:tc>
        <w:tc>
          <w:tcPr>
            <w:tcW w:w="934" w:type="dxa"/>
            <w:tcBorders>
              <w:top w:val="nil"/>
              <w:left w:val="nil"/>
              <w:bottom w:val="nil"/>
              <w:right w:val="nil"/>
            </w:tcBorders>
            <w:shd w:val="clear" w:color="auto" w:fill="auto"/>
            <w:noWrap/>
            <w:vAlign w:val="center"/>
            <w:hideMark/>
          </w:tcPr>
          <w:p w14:paraId="6C425CB6"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Facebook</w:t>
            </w:r>
          </w:p>
        </w:tc>
        <w:tc>
          <w:tcPr>
            <w:tcW w:w="2004" w:type="dxa"/>
            <w:tcBorders>
              <w:top w:val="nil"/>
              <w:left w:val="nil"/>
              <w:bottom w:val="nil"/>
              <w:right w:val="nil"/>
            </w:tcBorders>
            <w:shd w:val="clear" w:color="auto" w:fill="auto"/>
            <w:noWrap/>
            <w:vAlign w:val="center"/>
            <w:hideMark/>
          </w:tcPr>
          <w:p w14:paraId="48EB9194"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Elaboration-Likelihood Model, relationship marketing</w:t>
            </w:r>
          </w:p>
        </w:tc>
        <w:tc>
          <w:tcPr>
            <w:tcW w:w="1342" w:type="dxa"/>
            <w:tcBorders>
              <w:top w:val="nil"/>
              <w:left w:val="nil"/>
              <w:bottom w:val="nil"/>
              <w:right w:val="nil"/>
            </w:tcBorders>
            <w:shd w:val="clear" w:color="auto" w:fill="auto"/>
            <w:noWrap/>
            <w:vAlign w:val="center"/>
            <w:hideMark/>
          </w:tcPr>
          <w:p w14:paraId="103CB50F"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1613" w:type="dxa"/>
            <w:tcBorders>
              <w:top w:val="nil"/>
              <w:left w:val="nil"/>
              <w:bottom w:val="nil"/>
              <w:right w:val="nil"/>
            </w:tcBorders>
            <w:shd w:val="clear" w:color="auto" w:fill="auto"/>
            <w:noWrap/>
            <w:vAlign w:val="center"/>
            <w:hideMark/>
          </w:tcPr>
          <w:p w14:paraId="03FAAF35"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Content analysis</w:t>
            </w:r>
          </w:p>
        </w:tc>
        <w:tc>
          <w:tcPr>
            <w:tcW w:w="1482" w:type="dxa"/>
            <w:tcBorders>
              <w:top w:val="nil"/>
              <w:left w:val="nil"/>
              <w:bottom w:val="nil"/>
              <w:right w:val="nil"/>
            </w:tcBorders>
            <w:shd w:val="clear" w:color="auto" w:fill="auto"/>
            <w:noWrap/>
            <w:vAlign w:val="center"/>
            <w:hideMark/>
          </w:tcPr>
          <w:p w14:paraId="432044EB"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Political parties' Facebook pages</w:t>
            </w:r>
          </w:p>
        </w:tc>
        <w:tc>
          <w:tcPr>
            <w:tcW w:w="1009" w:type="dxa"/>
            <w:tcBorders>
              <w:top w:val="nil"/>
              <w:left w:val="nil"/>
              <w:bottom w:val="nil"/>
              <w:right w:val="nil"/>
            </w:tcBorders>
            <w:shd w:val="clear" w:color="auto" w:fill="auto"/>
            <w:noWrap/>
            <w:vAlign w:val="center"/>
            <w:hideMark/>
          </w:tcPr>
          <w:p w14:paraId="4800BBD8"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451" w:type="dxa"/>
            <w:tcBorders>
              <w:top w:val="nil"/>
              <w:left w:val="nil"/>
              <w:bottom w:val="nil"/>
              <w:right w:val="nil"/>
            </w:tcBorders>
            <w:shd w:val="clear" w:color="auto" w:fill="auto"/>
            <w:noWrap/>
            <w:vAlign w:val="center"/>
            <w:hideMark/>
          </w:tcPr>
          <w:p w14:paraId="5F332A74"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7470" w:type="dxa"/>
            <w:tcBorders>
              <w:top w:val="nil"/>
              <w:left w:val="nil"/>
              <w:bottom w:val="nil"/>
              <w:right w:val="nil"/>
            </w:tcBorders>
            <w:shd w:val="clear" w:color="auto" w:fill="auto"/>
            <w:vAlign w:val="center"/>
            <w:hideMark/>
          </w:tcPr>
          <w:p w14:paraId="48F08DF0"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Social cues like the volume of comments and content popularity and content cues like visuals and length affect online relationship quality. Curating lengthy and interactive content has a negative effect on voters’ responses.</w:t>
            </w:r>
          </w:p>
        </w:tc>
      </w:tr>
      <w:tr w:rsidR="00996AE0" w:rsidRPr="00996AE0" w14:paraId="10EE9D69" w14:textId="77777777" w:rsidTr="009156CF">
        <w:trPr>
          <w:trHeight w:val="480"/>
        </w:trPr>
        <w:tc>
          <w:tcPr>
            <w:tcW w:w="1497" w:type="dxa"/>
            <w:tcBorders>
              <w:top w:val="nil"/>
              <w:left w:val="nil"/>
              <w:bottom w:val="nil"/>
              <w:right w:val="nil"/>
            </w:tcBorders>
            <w:shd w:val="clear" w:color="auto" w:fill="auto"/>
            <w:noWrap/>
            <w:vAlign w:val="center"/>
            <w:hideMark/>
          </w:tcPr>
          <w:p w14:paraId="4D84E0A9" w14:textId="77777777" w:rsidR="00996AE0" w:rsidRPr="00996AE0" w:rsidRDefault="00996AE0" w:rsidP="009156CF">
            <w:pPr>
              <w:rPr>
                <w:rFonts w:ascii="Times New Roman" w:eastAsia="Times New Roman" w:hAnsi="Times New Roman" w:cs="Times New Roman"/>
                <w:b/>
                <w:bCs/>
                <w:color w:val="000000"/>
                <w:sz w:val="15"/>
                <w:szCs w:val="15"/>
              </w:rPr>
            </w:pPr>
            <w:r w:rsidRPr="00996AE0">
              <w:rPr>
                <w:rFonts w:ascii="Times New Roman" w:eastAsia="Times New Roman" w:hAnsi="Times New Roman" w:cs="Times New Roman"/>
                <w:b/>
                <w:bCs/>
                <w:color w:val="000000" w:themeColor="text1"/>
                <w:sz w:val="15"/>
                <w:szCs w:val="15"/>
                <w:lang w:val="en-US"/>
              </w:rPr>
              <w:t>Abid et al., 2020</w:t>
            </w:r>
          </w:p>
        </w:tc>
        <w:tc>
          <w:tcPr>
            <w:tcW w:w="948" w:type="dxa"/>
            <w:tcBorders>
              <w:top w:val="nil"/>
              <w:left w:val="nil"/>
              <w:bottom w:val="nil"/>
              <w:right w:val="nil"/>
            </w:tcBorders>
            <w:shd w:val="clear" w:color="auto" w:fill="auto"/>
            <w:noWrap/>
            <w:vAlign w:val="center"/>
            <w:hideMark/>
          </w:tcPr>
          <w:p w14:paraId="7DAB84B0"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2020</w:t>
            </w:r>
          </w:p>
        </w:tc>
        <w:tc>
          <w:tcPr>
            <w:tcW w:w="1939" w:type="dxa"/>
            <w:tcBorders>
              <w:top w:val="nil"/>
              <w:left w:val="nil"/>
              <w:bottom w:val="nil"/>
              <w:right w:val="nil"/>
            </w:tcBorders>
            <w:shd w:val="clear" w:color="auto" w:fill="auto"/>
            <w:noWrap/>
            <w:vAlign w:val="center"/>
            <w:hideMark/>
          </w:tcPr>
          <w:p w14:paraId="380E5736"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Australia</w:t>
            </w:r>
          </w:p>
        </w:tc>
        <w:tc>
          <w:tcPr>
            <w:tcW w:w="1180" w:type="dxa"/>
            <w:tcBorders>
              <w:top w:val="nil"/>
              <w:left w:val="nil"/>
              <w:bottom w:val="nil"/>
              <w:right w:val="nil"/>
            </w:tcBorders>
            <w:shd w:val="clear" w:color="auto" w:fill="auto"/>
            <w:noWrap/>
            <w:vAlign w:val="center"/>
            <w:hideMark/>
          </w:tcPr>
          <w:p w14:paraId="19349573"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N/A</w:t>
            </w:r>
          </w:p>
        </w:tc>
        <w:tc>
          <w:tcPr>
            <w:tcW w:w="939" w:type="dxa"/>
            <w:tcBorders>
              <w:top w:val="nil"/>
              <w:left w:val="nil"/>
              <w:bottom w:val="nil"/>
              <w:right w:val="nil"/>
            </w:tcBorders>
            <w:shd w:val="clear" w:color="auto" w:fill="auto"/>
            <w:noWrap/>
            <w:vAlign w:val="center"/>
            <w:hideMark/>
          </w:tcPr>
          <w:p w14:paraId="115626A9"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Candidate and party</w:t>
            </w:r>
          </w:p>
        </w:tc>
        <w:tc>
          <w:tcPr>
            <w:tcW w:w="1672" w:type="dxa"/>
            <w:tcBorders>
              <w:top w:val="nil"/>
              <w:left w:val="nil"/>
              <w:bottom w:val="nil"/>
              <w:right w:val="nil"/>
            </w:tcBorders>
            <w:shd w:val="clear" w:color="auto" w:fill="auto"/>
            <w:noWrap/>
            <w:vAlign w:val="center"/>
            <w:hideMark/>
          </w:tcPr>
          <w:p w14:paraId="3115D89E"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National and local politics</w:t>
            </w:r>
          </w:p>
        </w:tc>
        <w:tc>
          <w:tcPr>
            <w:tcW w:w="934" w:type="dxa"/>
            <w:tcBorders>
              <w:top w:val="nil"/>
              <w:left w:val="nil"/>
              <w:bottom w:val="nil"/>
              <w:right w:val="nil"/>
            </w:tcBorders>
            <w:shd w:val="clear" w:color="auto" w:fill="auto"/>
            <w:noWrap/>
            <w:vAlign w:val="center"/>
            <w:hideMark/>
          </w:tcPr>
          <w:p w14:paraId="2E23FA38"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General</w:t>
            </w:r>
          </w:p>
        </w:tc>
        <w:tc>
          <w:tcPr>
            <w:tcW w:w="2004" w:type="dxa"/>
            <w:tcBorders>
              <w:top w:val="nil"/>
              <w:left w:val="nil"/>
              <w:bottom w:val="nil"/>
              <w:right w:val="nil"/>
            </w:tcBorders>
            <w:shd w:val="clear" w:color="auto" w:fill="auto"/>
            <w:noWrap/>
            <w:vAlign w:val="center"/>
            <w:hideMark/>
          </w:tcPr>
          <w:p w14:paraId="3543017F"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Relationship marketing orientation</w:t>
            </w:r>
          </w:p>
        </w:tc>
        <w:tc>
          <w:tcPr>
            <w:tcW w:w="1342" w:type="dxa"/>
            <w:tcBorders>
              <w:top w:val="nil"/>
              <w:left w:val="nil"/>
              <w:bottom w:val="nil"/>
              <w:right w:val="nil"/>
            </w:tcBorders>
            <w:shd w:val="clear" w:color="auto" w:fill="auto"/>
            <w:noWrap/>
            <w:vAlign w:val="center"/>
            <w:hideMark/>
          </w:tcPr>
          <w:p w14:paraId="669D4618"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1613" w:type="dxa"/>
            <w:tcBorders>
              <w:top w:val="nil"/>
              <w:left w:val="nil"/>
              <w:bottom w:val="nil"/>
              <w:right w:val="nil"/>
            </w:tcBorders>
            <w:shd w:val="clear" w:color="auto" w:fill="auto"/>
            <w:noWrap/>
            <w:vAlign w:val="center"/>
            <w:hideMark/>
          </w:tcPr>
          <w:p w14:paraId="3A96E235"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Focus groups</w:t>
            </w:r>
          </w:p>
        </w:tc>
        <w:tc>
          <w:tcPr>
            <w:tcW w:w="1482" w:type="dxa"/>
            <w:tcBorders>
              <w:top w:val="nil"/>
              <w:left w:val="nil"/>
              <w:bottom w:val="nil"/>
              <w:right w:val="nil"/>
            </w:tcBorders>
            <w:shd w:val="clear" w:color="auto" w:fill="auto"/>
            <w:noWrap/>
            <w:vAlign w:val="center"/>
            <w:hideMark/>
          </w:tcPr>
          <w:p w14:paraId="4970DCC7"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Young voters</w:t>
            </w:r>
          </w:p>
        </w:tc>
        <w:tc>
          <w:tcPr>
            <w:tcW w:w="1009" w:type="dxa"/>
            <w:tcBorders>
              <w:top w:val="nil"/>
              <w:left w:val="nil"/>
              <w:bottom w:val="nil"/>
              <w:right w:val="nil"/>
            </w:tcBorders>
            <w:shd w:val="clear" w:color="auto" w:fill="auto"/>
            <w:noWrap/>
            <w:vAlign w:val="center"/>
            <w:hideMark/>
          </w:tcPr>
          <w:p w14:paraId="09D289C0"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451" w:type="dxa"/>
            <w:tcBorders>
              <w:top w:val="nil"/>
              <w:left w:val="nil"/>
              <w:bottom w:val="nil"/>
              <w:right w:val="nil"/>
            </w:tcBorders>
            <w:shd w:val="clear" w:color="auto" w:fill="auto"/>
            <w:noWrap/>
            <w:vAlign w:val="center"/>
            <w:hideMark/>
          </w:tcPr>
          <w:p w14:paraId="6CFB3ADA"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7470" w:type="dxa"/>
            <w:tcBorders>
              <w:top w:val="nil"/>
              <w:left w:val="nil"/>
              <w:bottom w:val="nil"/>
              <w:right w:val="nil"/>
            </w:tcBorders>
            <w:shd w:val="clear" w:color="auto" w:fill="auto"/>
            <w:vAlign w:val="center"/>
            <w:hideMark/>
          </w:tcPr>
          <w:p w14:paraId="7D0DAE8F"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 xml:space="preserve">Young voters perceive major parties and politicians to be adopting a sales orientation. The orientation adopted by local politicians and smaller parties was perceived as relational. </w:t>
            </w:r>
          </w:p>
        </w:tc>
      </w:tr>
      <w:tr w:rsidR="00996AE0" w:rsidRPr="00996AE0" w14:paraId="15A022B5" w14:textId="77777777" w:rsidTr="009156CF">
        <w:trPr>
          <w:trHeight w:val="720"/>
        </w:trPr>
        <w:tc>
          <w:tcPr>
            <w:tcW w:w="1497" w:type="dxa"/>
            <w:tcBorders>
              <w:top w:val="nil"/>
              <w:left w:val="nil"/>
              <w:bottom w:val="nil"/>
              <w:right w:val="nil"/>
            </w:tcBorders>
            <w:shd w:val="clear" w:color="auto" w:fill="auto"/>
            <w:noWrap/>
            <w:vAlign w:val="center"/>
            <w:hideMark/>
          </w:tcPr>
          <w:p w14:paraId="2D19898E" w14:textId="77777777" w:rsidR="00996AE0" w:rsidRPr="00996AE0" w:rsidRDefault="00996AE0" w:rsidP="009156CF">
            <w:pPr>
              <w:rPr>
                <w:rFonts w:ascii="Times New Roman" w:eastAsia="Times New Roman" w:hAnsi="Times New Roman" w:cs="Times New Roman"/>
                <w:b/>
                <w:bCs/>
                <w:color w:val="000000"/>
                <w:sz w:val="15"/>
                <w:szCs w:val="15"/>
              </w:rPr>
            </w:pPr>
            <w:r w:rsidRPr="00996AE0">
              <w:rPr>
                <w:rFonts w:ascii="Times New Roman" w:eastAsia="Times New Roman" w:hAnsi="Times New Roman" w:cs="Times New Roman"/>
                <w:b/>
                <w:bCs/>
                <w:color w:val="000000" w:themeColor="text1"/>
                <w:sz w:val="15"/>
                <w:szCs w:val="15"/>
                <w:lang w:val="en-US"/>
              </w:rPr>
              <w:t>Amoncar, 2020</w:t>
            </w:r>
          </w:p>
        </w:tc>
        <w:tc>
          <w:tcPr>
            <w:tcW w:w="948" w:type="dxa"/>
            <w:tcBorders>
              <w:top w:val="nil"/>
              <w:left w:val="nil"/>
              <w:bottom w:val="nil"/>
              <w:right w:val="nil"/>
            </w:tcBorders>
            <w:shd w:val="clear" w:color="auto" w:fill="auto"/>
            <w:noWrap/>
            <w:vAlign w:val="center"/>
            <w:hideMark/>
          </w:tcPr>
          <w:p w14:paraId="47BEE035"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2020</w:t>
            </w:r>
          </w:p>
        </w:tc>
        <w:tc>
          <w:tcPr>
            <w:tcW w:w="1939" w:type="dxa"/>
            <w:tcBorders>
              <w:top w:val="nil"/>
              <w:left w:val="nil"/>
              <w:bottom w:val="nil"/>
              <w:right w:val="nil"/>
            </w:tcBorders>
            <w:shd w:val="clear" w:color="auto" w:fill="auto"/>
            <w:noWrap/>
            <w:vAlign w:val="center"/>
            <w:hideMark/>
          </w:tcPr>
          <w:p w14:paraId="00AC2002"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India</w:t>
            </w:r>
          </w:p>
        </w:tc>
        <w:tc>
          <w:tcPr>
            <w:tcW w:w="1180" w:type="dxa"/>
            <w:tcBorders>
              <w:top w:val="nil"/>
              <w:left w:val="nil"/>
              <w:bottom w:val="nil"/>
              <w:right w:val="nil"/>
            </w:tcBorders>
            <w:shd w:val="clear" w:color="auto" w:fill="auto"/>
            <w:noWrap/>
            <w:vAlign w:val="center"/>
            <w:hideMark/>
          </w:tcPr>
          <w:p w14:paraId="66549C87"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N/A</w:t>
            </w:r>
          </w:p>
        </w:tc>
        <w:tc>
          <w:tcPr>
            <w:tcW w:w="939" w:type="dxa"/>
            <w:tcBorders>
              <w:top w:val="nil"/>
              <w:left w:val="nil"/>
              <w:bottom w:val="nil"/>
              <w:right w:val="nil"/>
            </w:tcBorders>
            <w:shd w:val="clear" w:color="auto" w:fill="auto"/>
            <w:noWrap/>
            <w:vAlign w:val="center"/>
            <w:hideMark/>
          </w:tcPr>
          <w:p w14:paraId="5705E2E6"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Party</w:t>
            </w:r>
          </w:p>
        </w:tc>
        <w:tc>
          <w:tcPr>
            <w:tcW w:w="1672" w:type="dxa"/>
            <w:tcBorders>
              <w:top w:val="nil"/>
              <w:left w:val="nil"/>
              <w:bottom w:val="nil"/>
              <w:right w:val="nil"/>
            </w:tcBorders>
            <w:shd w:val="clear" w:color="auto" w:fill="auto"/>
            <w:noWrap/>
            <w:vAlign w:val="center"/>
            <w:hideMark/>
          </w:tcPr>
          <w:p w14:paraId="17DE8087"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National politics</w:t>
            </w:r>
          </w:p>
        </w:tc>
        <w:tc>
          <w:tcPr>
            <w:tcW w:w="934" w:type="dxa"/>
            <w:tcBorders>
              <w:top w:val="nil"/>
              <w:left w:val="nil"/>
              <w:bottom w:val="nil"/>
              <w:right w:val="nil"/>
            </w:tcBorders>
            <w:shd w:val="clear" w:color="auto" w:fill="auto"/>
            <w:noWrap/>
            <w:vAlign w:val="center"/>
            <w:hideMark/>
          </w:tcPr>
          <w:p w14:paraId="4DF56EE5"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Facebook</w:t>
            </w:r>
          </w:p>
        </w:tc>
        <w:tc>
          <w:tcPr>
            <w:tcW w:w="2004" w:type="dxa"/>
            <w:tcBorders>
              <w:top w:val="nil"/>
              <w:left w:val="nil"/>
              <w:bottom w:val="nil"/>
              <w:right w:val="nil"/>
            </w:tcBorders>
            <w:shd w:val="clear" w:color="auto" w:fill="auto"/>
            <w:noWrap/>
            <w:vAlign w:val="center"/>
            <w:hideMark/>
          </w:tcPr>
          <w:p w14:paraId="5BAC1557"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Entrepreneurial marketing</w:t>
            </w:r>
          </w:p>
        </w:tc>
        <w:tc>
          <w:tcPr>
            <w:tcW w:w="1342" w:type="dxa"/>
            <w:tcBorders>
              <w:top w:val="nil"/>
              <w:left w:val="nil"/>
              <w:bottom w:val="nil"/>
              <w:right w:val="nil"/>
            </w:tcBorders>
            <w:shd w:val="clear" w:color="auto" w:fill="auto"/>
            <w:noWrap/>
            <w:vAlign w:val="center"/>
            <w:hideMark/>
          </w:tcPr>
          <w:p w14:paraId="73BB95C0"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1613" w:type="dxa"/>
            <w:tcBorders>
              <w:top w:val="nil"/>
              <w:left w:val="nil"/>
              <w:bottom w:val="nil"/>
              <w:right w:val="nil"/>
            </w:tcBorders>
            <w:shd w:val="clear" w:color="auto" w:fill="auto"/>
            <w:noWrap/>
            <w:vAlign w:val="center"/>
            <w:hideMark/>
          </w:tcPr>
          <w:p w14:paraId="7E6CDD35"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Interviews and netnography</w:t>
            </w:r>
          </w:p>
        </w:tc>
        <w:tc>
          <w:tcPr>
            <w:tcW w:w="1482" w:type="dxa"/>
            <w:tcBorders>
              <w:top w:val="nil"/>
              <w:left w:val="nil"/>
              <w:bottom w:val="nil"/>
              <w:right w:val="nil"/>
            </w:tcBorders>
            <w:shd w:val="clear" w:color="auto" w:fill="auto"/>
            <w:noWrap/>
            <w:vAlign w:val="center"/>
            <w:hideMark/>
          </w:tcPr>
          <w:p w14:paraId="316F4133"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Facebook groups and their moderators</w:t>
            </w:r>
          </w:p>
        </w:tc>
        <w:tc>
          <w:tcPr>
            <w:tcW w:w="1009" w:type="dxa"/>
            <w:tcBorders>
              <w:top w:val="nil"/>
              <w:left w:val="nil"/>
              <w:bottom w:val="nil"/>
              <w:right w:val="nil"/>
            </w:tcBorders>
            <w:shd w:val="clear" w:color="auto" w:fill="auto"/>
            <w:noWrap/>
            <w:vAlign w:val="center"/>
            <w:hideMark/>
          </w:tcPr>
          <w:p w14:paraId="1425209D"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451" w:type="dxa"/>
            <w:tcBorders>
              <w:top w:val="nil"/>
              <w:left w:val="nil"/>
              <w:bottom w:val="nil"/>
              <w:right w:val="nil"/>
            </w:tcBorders>
            <w:shd w:val="clear" w:color="auto" w:fill="auto"/>
            <w:noWrap/>
            <w:vAlign w:val="center"/>
            <w:hideMark/>
          </w:tcPr>
          <w:p w14:paraId="6F60EDC4"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7470" w:type="dxa"/>
            <w:tcBorders>
              <w:top w:val="nil"/>
              <w:left w:val="nil"/>
              <w:bottom w:val="nil"/>
              <w:right w:val="nil"/>
            </w:tcBorders>
            <w:shd w:val="clear" w:color="auto" w:fill="auto"/>
            <w:vAlign w:val="center"/>
            <w:hideMark/>
          </w:tcPr>
          <w:p w14:paraId="748E6406"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 xml:space="preserve">Facebook groups act as ‘ministry of truth’, keeping an eye on mainstream media, which is seen as manipulative. These groups try to expose them. The groups co-create value for citizens. The BJP (India’s ruling party) adopted an entrepreneurial approach to digital marketing. </w:t>
            </w:r>
          </w:p>
        </w:tc>
      </w:tr>
      <w:tr w:rsidR="00996AE0" w:rsidRPr="00996AE0" w14:paraId="0C66386D" w14:textId="77777777" w:rsidTr="009156CF">
        <w:trPr>
          <w:trHeight w:val="480"/>
        </w:trPr>
        <w:tc>
          <w:tcPr>
            <w:tcW w:w="1497" w:type="dxa"/>
            <w:tcBorders>
              <w:top w:val="nil"/>
              <w:left w:val="nil"/>
              <w:bottom w:val="nil"/>
              <w:right w:val="nil"/>
            </w:tcBorders>
            <w:shd w:val="clear" w:color="auto" w:fill="auto"/>
            <w:noWrap/>
            <w:vAlign w:val="center"/>
            <w:hideMark/>
          </w:tcPr>
          <w:p w14:paraId="3B603C37" w14:textId="77777777" w:rsidR="00996AE0" w:rsidRPr="00996AE0" w:rsidRDefault="00996AE0" w:rsidP="009156CF">
            <w:pPr>
              <w:rPr>
                <w:rFonts w:ascii="Times New Roman" w:eastAsia="Times New Roman" w:hAnsi="Times New Roman" w:cs="Times New Roman"/>
                <w:b/>
                <w:bCs/>
                <w:color w:val="000000"/>
                <w:sz w:val="15"/>
                <w:szCs w:val="15"/>
              </w:rPr>
            </w:pPr>
            <w:r w:rsidRPr="00996AE0">
              <w:rPr>
                <w:rFonts w:ascii="Times New Roman" w:eastAsia="Times New Roman" w:hAnsi="Times New Roman" w:cs="Times New Roman"/>
                <w:b/>
                <w:bCs/>
                <w:color w:val="000000" w:themeColor="text1"/>
                <w:sz w:val="15"/>
                <w:szCs w:val="15"/>
                <w:lang w:val="en-US"/>
              </w:rPr>
              <w:t>Anim et al., 2019</w:t>
            </w:r>
          </w:p>
        </w:tc>
        <w:tc>
          <w:tcPr>
            <w:tcW w:w="948" w:type="dxa"/>
            <w:tcBorders>
              <w:top w:val="nil"/>
              <w:left w:val="nil"/>
              <w:bottom w:val="nil"/>
              <w:right w:val="nil"/>
            </w:tcBorders>
            <w:shd w:val="clear" w:color="auto" w:fill="auto"/>
            <w:noWrap/>
            <w:vAlign w:val="center"/>
            <w:hideMark/>
          </w:tcPr>
          <w:p w14:paraId="75F2E83D"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2019</w:t>
            </w:r>
          </w:p>
        </w:tc>
        <w:tc>
          <w:tcPr>
            <w:tcW w:w="1939" w:type="dxa"/>
            <w:tcBorders>
              <w:top w:val="nil"/>
              <w:left w:val="nil"/>
              <w:bottom w:val="nil"/>
              <w:right w:val="nil"/>
            </w:tcBorders>
            <w:shd w:val="clear" w:color="auto" w:fill="auto"/>
            <w:noWrap/>
            <w:vAlign w:val="center"/>
            <w:hideMark/>
          </w:tcPr>
          <w:p w14:paraId="02C45956"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Ghana</w:t>
            </w:r>
          </w:p>
        </w:tc>
        <w:tc>
          <w:tcPr>
            <w:tcW w:w="1180" w:type="dxa"/>
            <w:tcBorders>
              <w:top w:val="nil"/>
              <w:left w:val="nil"/>
              <w:bottom w:val="nil"/>
              <w:right w:val="nil"/>
            </w:tcBorders>
            <w:shd w:val="clear" w:color="auto" w:fill="auto"/>
            <w:noWrap/>
            <w:vAlign w:val="center"/>
            <w:hideMark/>
          </w:tcPr>
          <w:p w14:paraId="41A3DE62"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N/A</w:t>
            </w:r>
          </w:p>
        </w:tc>
        <w:tc>
          <w:tcPr>
            <w:tcW w:w="939" w:type="dxa"/>
            <w:tcBorders>
              <w:top w:val="nil"/>
              <w:left w:val="nil"/>
              <w:bottom w:val="nil"/>
              <w:right w:val="nil"/>
            </w:tcBorders>
            <w:shd w:val="clear" w:color="auto" w:fill="auto"/>
            <w:noWrap/>
            <w:vAlign w:val="center"/>
            <w:hideMark/>
          </w:tcPr>
          <w:p w14:paraId="46971A8A"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Party</w:t>
            </w:r>
          </w:p>
        </w:tc>
        <w:tc>
          <w:tcPr>
            <w:tcW w:w="1672" w:type="dxa"/>
            <w:tcBorders>
              <w:top w:val="nil"/>
              <w:left w:val="nil"/>
              <w:bottom w:val="nil"/>
              <w:right w:val="nil"/>
            </w:tcBorders>
            <w:shd w:val="clear" w:color="auto" w:fill="auto"/>
            <w:noWrap/>
            <w:vAlign w:val="center"/>
            <w:hideMark/>
          </w:tcPr>
          <w:p w14:paraId="2DE1EECF"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National politics</w:t>
            </w:r>
          </w:p>
        </w:tc>
        <w:tc>
          <w:tcPr>
            <w:tcW w:w="934" w:type="dxa"/>
            <w:tcBorders>
              <w:top w:val="nil"/>
              <w:left w:val="nil"/>
              <w:bottom w:val="nil"/>
              <w:right w:val="nil"/>
            </w:tcBorders>
            <w:shd w:val="clear" w:color="auto" w:fill="auto"/>
            <w:noWrap/>
            <w:vAlign w:val="center"/>
            <w:hideMark/>
          </w:tcPr>
          <w:p w14:paraId="4F934A66"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General</w:t>
            </w:r>
          </w:p>
        </w:tc>
        <w:tc>
          <w:tcPr>
            <w:tcW w:w="2004" w:type="dxa"/>
            <w:tcBorders>
              <w:top w:val="nil"/>
              <w:left w:val="nil"/>
              <w:bottom w:val="nil"/>
              <w:right w:val="nil"/>
            </w:tcBorders>
            <w:shd w:val="clear" w:color="auto" w:fill="auto"/>
            <w:noWrap/>
            <w:vAlign w:val="center"/>
            <w:hideMark/>
          </w:tcPr>
          <w:p w14:paraId="609A04AB"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Social Capital Theory</w:t>
            </w:r>
          </w:p>
        </w:tc>
        <w:tc>
          <w:tcPr>
            <w:tcW w:w="1342" w:type="dxa"/>
            <w:tcBorders>
              <w:top w:val="nil"/>
              <w:left w:val="nil"/>
              <w:bottom w:val="nil"/>
              <w:right w:val="nil"/>
            </w:tcBorders>
            <w:shd w:val="clear" w:color="auto" w:fill="auto"/>
            <w:noWrap/>
            <w:vAlign w:val="center"/>
            <w:hideMark/>
          </w:tcPr>
          <w:p w14:paraId="0FB1F741"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1613" w:type="dxa"/>
            <w:tcBorders>
              <w:top w:val="nil"/>
              <w:left w:val="nil"/>
              <w:bottom w:val="nil"/>
              <w:right w:val="nil"/>
            </w:tcBorders>
            <w:shd w:val="clear" w:color="auto" w:fill="auto"/>
            <w:noWrap/>
            <w:vAlign w:val="center"/>
            <w:hideMark/>
          </w:tcPr>
          <w:p w14:paraId="39673801"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 xml:space="preserve">Survey </w:t>
            </w:r>
          </w:p>
        </w:tc>
        <w:tc>
          <w:tcPr>
            <w:tcW w:w="1482" w:type="dxa"/>
            <w:tcBorders>
              <w:top w:val="nil"/>
              <w:left w:val="nil"/>
              <w:bottom w:val="nil"/>
              <w:right w:val="nil"/>
            </w:tcBorders>
            <w:shd w:val="clear" w:color="auto" w:fill="auto"/>
            <w:noWrap/>
            <w:vAlign w:val="center"/>
            <w:hideMark/>
          </w:tcPr>
          <w:p w14:paraId="47DC4B77"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Young voters</w:t>
            </w:r>
          </w:p>
        </w:tc>
        <w:tc>
          <w:tcPr>
            <w:tcW w:w="1009" w:type="dxa"/>
            <w:tcBorders>
              <w:top w:val="nil"/>
              <w:left w:val="nil"/>
              <w:bottom w:val="nil"/>
              <w:right w:val="nil"/>
            </w:tcBorders>
            <w:shd w:val="clear" w:color="auto" w:fill="auto"/>
            <w:noWrap/>
            <w:vAlign w:val="center"/>
            <w:hideMark/>
          </w:tcPr>
          <w:p w14:paraId="6947EA8C"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451" w:type="dxa"/>
            <w:tcBorders>
              <w:top w:val="nil"/>
              <w:left w:val="nil"/>
              <w:bottom w:val="nil"/>
              <w:right w:val="nil"/>
            </w:tcBorders>
            <w:shd w:val="clear" w:color="auto" w:fill="auto"/>
            <w:noWrap/>
            <w:vAlign w:val="center"/>
            <w:hideMark/>
          </w:tcPr>
          <w:p w14:paraId="06FDE04B"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7470" w:type="dxa"/>
            <w:tcBorders>
              <w:top w:val="nil"/>
              <w:left w:val="nil"/>
              <w:bottom w:val="nil"/>
              <w:right w:val="nil"/>
            </w:tcBorders>
            <w:shd w:val="clear" w:color="auto" w:fill="auto"/>
            <w:vAlign w:val="center"/>
            <w:hideMark/>
          </w:tcPr>
          <w:p w14:paraId="54925225"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Political parties’ customer relationship-building activities and visibility on social media result in an increase in political participation among young voters. The relationship is mediated by political efficacy (internal and external).</w:t>
            </w:r>
          </w:p>
        </w:tc>
      </w:tr>
      <w:tr w:rsidR="00996AE0" w:rsidRPr="00996AE0" w14:paraId="34D9E05C" w14:textId="77777777" w:rsidTr="009156CF">
        <w:trPr>
          <w:trHeight w:val="480"/>
        </w:trPr>
        <w:tc>
          <w:tcPr>
            <w:tcW w:w="1497" w:type="dxa"/>
            <w:tcBorders>
              <w:top w:val="nil"/>
              <w:left w:val="nil"/>
              <w:bottom w:val="nil"/>
              <w:right w:val="nil"/>
            </w:tcBorders>
            <w:shd w:val="clear" w:color="auto" w:fill="auto"/>
            <w:noWrap/>
            <w:vAlign w:val="center"/>
            <w:hideMark/>
          </w:tcPr>
          <w:p w14:paraId="488F5F0D" w14:textId="77777777" w:rsidR="00996AE0" w:rsidRPr="00996AE0" w:rsidRDefault="00996AE0" w:rsidP="009156CF">
            <w:pPr>
              <w:rPr>
                <w:rFonts w:ascii="Times New Roman" w:eastAsia="Times New Roman" w:hAnsi="Times New Roman" w:cs="Times New Roman"/>
                <w:b/>
                <w:bCs/>
                <w:color w:val="000000"/>
                <w:sz w:val="15"/>
                <w:szCs w:val="15"/>
              </w:rPr>
            </w:pPr>
            <w:r w:rsidRPr="00996AE0">
              <w:rPr>
                <w:rFonts w:ascii="Times New Roman" w:eastAsia="Times New Roman" w:hAnsi="Times New Roman" w:cs="Times New Roman"/>
                <w:b/>
                <w:bCs/>
                <w:color w:val="000000" w:themeColor="text1"/>
                <w:sz w:val="15"/>
                <w:szCs w:val="15"/>
                <w:lang w:val="en-US"/>
              </w:rPr>
              <w:t>Antoniades &amp; Mohr, 2020</w:t>
            </w:r>
          </w:p>
        </w:tc>
        <w:tc>
          <w:tcPr>
            <w:tcW w:w="948" w:type="dxa"/>
            <w:tcBorders>
              <w:top w:val="nil"/>
              <w:left w:val="nil"/>
              <w:bottom w:val="nil"/>
              <w:right w:val="nil"/>
            </w:tcBorders>
            <w:shd w:val="clear" w:color="auto" w:fill="auto"/>
            <w:noWrap/>
            <w:vAlign w:val="center"/>
            <w:hideMark/>
          </w:tcPr>
          <w:p w14:paraId="3F3E4B11"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2020</w:t>
            </w:r>
          </w:p>
        </w:tc>
        <w:tc>
          <w:tcPr>
            <w:tcW w:w="1939" w:type="dxa"/>
            <w:tcBorders>
              <w:top w:val="nil"/>
              <w:left w:val="nil"/>
              <w:bottom w:val="nil"/>
              <w:right w:val="nil"/>
            </w:tcBorders>
            <w:shd w:val="clear" w:color="auto" w:fill="auto"/>
            <w:noWrap/>
            <w:vAlign w:val="center"/>
            <w:hideMark/>
          </w:tcPr>
          <w:p w14:paraId="53D2A0BE"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USA</w:t>
            </w:r>
          </w:p>
        </w:tc>
        <w:tc>
          <w:tcPr>
            <w:tcW w:w="1180" w:type="dxa"/>
            <w:tcBorders>
              <w:top w:val="nil"/>
              <w:left w:val="nil"/>
              <w:bottom w:val="nil"/>
              <w:right w:val="nil"/>
            </w:tcBorders>
            <w:shd w:val="clear" w:color="auto" w:fill="auto"/>
            <w:noWrap/>
            <w:vAlign w:val="center"/>
            <w:hideMark/>
          </w:tcPr>
          <w:p w14:paraId="526D837F"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N/A</w:t>
            </w:r>
          </w:p>
        </w:tc>
        <w:tc>
          <w:tcPr>
            <w:tcW w:w="939" w:type="dxa"/>
            <w:tcBorders>
              <w:top w:val="nil"/>
              <w:left w:val="nil"/>
              <w:bottom w:val="nil"/>
              <w:right w:val="nil"/>
            </w:tcBorders>
            <w:shd w:val="clear" w:color="auto" w:fill="auto"/>
            <w:noWrap/>
            <w:vAlign w:val="center"/>
            <w:hideMark/>
          </w:tcPr>
          <w:p w14:paraId="4E5A7D3F"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Candidate</w:t>
            </w:r>
          </w:p>
        </w:tc>
        <w:tc>
          <w:tcPr>
            <w:tcW w:w="1672" w:type="dxa"/>
            <w:tcBorders>
              <w:top w:val="nil"/>
              <w:left w:val="nil"/>
              <w:bottom w:val="nil"/>
              <w:right w:val="nil"/>
            </w:tcBorders>
            <w:shd w:val="clear" w:color="auto" w:fill="auto"/>
            <w:noWrap/>
            <w:vAlign w:val="center"/>
            <w:hideMark/>
          </w:tcPr>
          <w:p w14:paraId="0083B920"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 xml:space="preserve">Local and state </w:t>
            </w:r>
          </w:p>
        </w:tc>
        <w:tc>
          <w:tcPr>
            <w:tcW w:w="934" w:type="dxa"/>
            <w:tcBorders>
              <w:top w:val="nil"/>
              <w:left w:val="nil"/>
              <w:bottom w:val="nil"/>
              <w:right w:val="nil"/>
            </w:tcBorders>
            <w:shd w:val="clear" w:color="auto" w:fill="auto"/>
            <w:noWrap/>
            <w:vAlign w:val="center"/>
            <w:hideMark/>
          </w:tcPr>
          <w:p w14:paraId="5861AEEE"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General</w:t>
            </w:r>
          </w:p>
        </w:tc>
        <w:tc>
          <w:tcPr>
            <w:tcW w:w="2004" w:type="dxa"/>
            <w:tcBorders>
              <w:top w:val="nil"/>
              <w:left w:val="nil"/>
              <w:bottom w:val="nil"/>
              <w:right w:val="nil"/>
            </w:tcBorders>
            <w:shd w:val="clear" w:color="auto" w:fill="auto"/>
            <w:noWrap/>
            <w:vAlign w:val="center"/>
            <w:hideMark/>
          </w:tcPr>
          <w:p w14:paraId="3680C40B"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Resource-Based View</w:t>
            </w:r>
          </w:p>
        </w:tc>
        <w:tc>
          <w:tcPr>
            <w:tcW w:w="1342" w:type="dxa"/>
            <w:tcBorders>
              <w:top w:val="nil"/>
              <w:left w:val="nil"/>
              <w:bottom w:val="nil"/>
              <w:right w:val="nil"/>
            </w:tcBorders>
            <w:shd w:val="clear" w:color="auto" w:fill="auto"/>
            <w:noWrap/>
            <w:vAlign w:val="center"/>
            <w:hideMark/>
          </w:tcPr>
          <w:p w14:paraId="04EDA84D"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1613" w:type="dxa"/>
            <w:tcBorders>
              <w:top w:val="nil"/>
              <w:left w:val="nil"/>
              <w:bottom w:val="nil"/>
              <w:right w:val="nil"/>
            </w:tcBorders>
            <w:shd w:val="clear" w:color="auto" w:fill="auto"/>
            <w:noWrap/>
            <w:vAlign w:val="center"/>
            <w:hideMark/>
          </w:tcPr>
          <w:p w14:paraId="2C5E3E55"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Survey</w:t>
            </w:r>
          </w:p>
        </w:tc>
        <w:tc>
          <w:tcPr>
            <w:tcW w:w="1482" w:type="dxa"/>
            <w:tcBorders>
              <w:top w:val="nil"/>
              <w:left w:val="nil"/>
              <w:bottom w:val="nil"/>
              <w:right w:val="nil"/>
            </w:tcBorders>
            <w:shd w:val="clear" w:color="auto" w:fill="auto"/>
            <w:noWrap/>
            <w:vAlign w:val="center"/>
            <w:hideMark/>
          </w:tcPr>
          <w:p w14:paraId="368A0ABC"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Politicians</w:t>
            </w:r>
          </w:p>
        </w:tc>
        <w:tc>
          <w:tcPr>
            <w:tcW w:w="1009" w:type="dxa"/>
            <w:tcBorders>
              <w:top w:val="nil"/>
              <w:left w:val="nil"/>
              <w:bottom w:val="nil"/>
              <w:right w:val="nil"/>
            </w:tcBorders>
            <w:shd w:val="clear" w:color="auto" w:fill="auto"/>
            <w:noWrap/>
            <w:vAlign w:val="center"/>
            <w:hideMark/>
          </w:tcPr>
          <w:p w14:paraId="68CAAF8D"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451" w:type="dxa"/>
            <w:tcBorders>
              <w:top w:val="nil"/>
              <w:left w:val="nil"/>
              <w:bottom w:val="nil"/>
              <w:right w:val="nil"/>
            </w:tcBorders>
            <w:shd w:val="clear" w:color="auto" w:fill="auto"/>
            <w:noWrap/>
            <w:vAlign w:val="center"/>
            <w:hideMark/>
          </w:tcPr>
          <w:p w14:paraId="42BDAB95"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7470" w:type="dxa"/>
            <w:tcBorders>
              <w:top w:val="nil"/>
              <w:left w:val="nil"/>
              <w:bottom w:val="nil"/>
              <w:right w:val="nil"/>
            </w:tcBorders>
            <w:shd w:val="clear" w:color="auto" w:fill="auto"/>
            <w:vAlign w:val="center"/>
            <w:hideMark/>
          </w:tcPr>
          <w:p w14:paraId="016C5A89"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Adaptation and relationship-building capabilities predict a politician’s use of social media, which in turn affects the politician’s reputation.</w:t>
            </w:r>
          </w:p>
        </w:tc>
      </w:tr>
      <w:tr w:rsidR="00996AE0" w:rsidRPr="00996AE0" w14:paraId="67537304" w14:textId="77777777" w:rsidTr="009156CF">
        <w:trPr>
          <w:trHeight w:val="480"/>
        </w:trPr>
        <w:tc>
          <w:tcPr>
            <w:tcW w:w="1497" w:type="dxa"/>
            <w:tcBorders>
              <w:top w:val="nil"/>
              <w:left w:val="nil"/>
              <w:bottom w:val="nil"/>
              <w:right w:val="nil"/>
            </w:tcBorders>
            <w:shd w:val="clear" w:color="auto" w:fill="auto"/>
            <w:noWrap/>
            <w:vAlign w:val="center"/>
            <w:hideMark/>
          </w:tcPr>
          <w:p w14:paraId="2580F1CE" w14:textId="77777777" w:rsidR="00996AE0" w:rsidRPr="00996AE0" w:rsidRDefault="00996AE0" w:rsidP="009156CF">
            <w:pPr>
              <w:rPr>
                <w:rFonts w:ascii="Times New Roman" w:eastAsia="Times New Roman" w:hAnsi="Times New Roman" w:cs="Times New Roman"/>
                <w:b/>
                <w:bCs/>
                <w:color w:val="000000"/>
                <w:sz w:val="15"/>
                <w:szCs w:val="15"/>
              </w:rPr>
            </w:pPr>
            <w:r w:rsidRPr="00996AE0">
              <w:rPr>
                <w:rFonts w:ascii="Times New Roman" w:eastAsia="Times New Roman" w:hAnsi="Times New Roman" w:cs="Times New Roman"/>
                <w:b/>
                <w:bCs/>
                <w:color w:val="000000" w:themeColor="text1"/>
                <w:sz w:val="15"/>
                <w:szCs w:val="15"/>
                <w:lang w:val="en-US"/>
              </w:rPr>
              <w:t>Antoniades &amp; Mohr, 2019</w:t>
            </w:r>
          </w:p>
        </w:tc>
        <w:tc>
          <w:tcPr>
            <w:tcW w:w="948" w:type="dxa"/>
            <w:tcBorders>
              <w:top w:val="nil"/>
              <w:left w:val="nil"/>
              <w:bottom w:val="nil"/>
              <w:right w:val="nil"/>
            </w:tcBorders>
            <w:shd w:val="clear" w:color="auto" w:fill="auto"/>
            <w:noWrap/>
            <w:vAlign w:val="center"/>
            <w:hideMark/>
          </w:tcPr>
          <w:p w14:paraId="5EC93CA5"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2019</w:t>
            </w:r>
          </w:p>
        </w:tc>
        <w:tc>
          <w:tcPr>
            <w:tcW w:w="1939" w:type="dxa"/>
            <w:tcBorders>
              <w:top w:val="nil"/>
              <w:left w:val="nil"/>
              <w:bottom w:val="nil"/>
              <w:right w:val="nil"/>
            </w:tcBorders>
            <w:shd w:val="clear" w:color="auto" w:fill="auto"/>
            <w:noWrap/>
            <w:vAlign w:val="center"/>
            <w:hideMark/>
          </w:tcPr>
          <w:p w14:paraId="69286F1A"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Cyprus</w:t>
            </w:r>
          </w:p>
        </w:tc>
        <w:tc>
          <w:tcPr>
            <w:tcW w:w="1180" w:type="dxa"/>
            <w:tcBorders>
              <w:top w:val="nil"/>
              <w:left w:val="nil"/>
              <w:bottom w:val="nil"/>
              <w:right w:val="nil"/>
            </w:tcBorders>
            <w:shd w:val="clear" w:color="auto" w:fill="auto"/>
            <w:noWrap/>
            <w:vAlign w:val="center"/>
            <w:hideMark/>
          </w:tcPr>
          <w:p w14:paraId="4F3B22D8"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Presidential election (year not specified)</w:t>
            </w:r>
          </w:p>
        </w:tc>
        <w:tc>
          <w:tcPr>
            <w:tcW w:w="939" w:type="dxa"/>
            <w:tcBorders>
              <w:top w:val="nil"/>
              <w:left w:val="nil"/>
              <w:bottom w:val="nil"/>
              <w:right w:val="nil"/>
            </w:tcBorders>
            <w:shd w:val="clear" w:color="auto" w:fill="auto"/>
            <w:noWrap/>
            <w:vAlign w:val="center"/>
            <w:hideMark/>
          </w:tcPr>
          <w:p w14:paraId="2AB48F9D"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Candidate</w:t>
            </w:r>
          </w:p>
        </w:tc>
        <w:tc>
          <w:tcPr>
            <w:tcW w:w="1672" w:type="dxa"/>
            <w:tcBorders>
              <w:top w:val="nil"/>
              <w:left w:val="nil"/>
              <w:bottom w:val="nil"/>
              <w:right w:val="nil"/>
            </w:tcBorders>
            <w:shd w:val="clear" w:color="auto" w:fill="auto"/>
            <w:noWrap/>
            <w:vAlign w:val="center"/>
            <w:hideMark/>
          </w:tcPr>
          <w:p w14:paraId="6BF63706"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Presidential politics</w:t>
            </w:r>
          </w:p>
        </w:tc>
        <w:tc>
          <w:tcPr>
            <w:tcW w:w="934" w:type="dxa"/>
            <w:tcBorders>
              <w:top w:val="nil"/>
              <w:left w:val="nil"/>
              <w:bottom w:val="nil"/>
              <w:right w:val="nil"/>
            </w:tcBorders>
            <w:shd w:val="clear" w:color="auto" w:fill="auto"/>
            <w:noWrap/>
            <w:vAlign w:val="center"/>
            <w:hideMark/>
          </w:tcPr>
          <w:p w14:paraId="5FA9DBD6"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General</w:t>
            </w:r>
          </w:p>
        </w:tc>
        <w:tc>
          <w:tcPr>
            <w:tcW w:w="2004" w:type="dxa"/>
            <w:tcBorders>
              <w:top w:val="nil"/>
              <w:left w:val="nil"/>
              <w:bottom w:val="nil"/>
              <w:right w:val="nil"/>
            </w:tcBorders>
            <w:shd w:val="clear" w:color="auto" w:fill="auto"/>
            <w:noWrap/>
            <w:vAlign w:val="center"/>
            <w:hideMark/>
          </w:tcPr>
          <w:p w14:paraId="126387EC"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Resource-Based View</w:t>
            </w:r>
          </w:p>
        </w:tc>
        <w:tc>
          <w:tcPr>
            <w:tcW w:w="1342" w:type="dxa"/>
            <w:tcBorders>
              <w:top w:val="nil"/>
              <w:left w:val="nil"/>
              <w:bottom w:val="nil"/>
              <w:right w:val="nil"/>
            </w:tcBorders>
            <w:shd w:val="clear" w:color="auto" w:fill="auto"/>
            <w:noWrap/>
            <w:vAlign w:val="center"/>
            <w:hideMark/>
          </w:tcPr>
          <w:p w14:paraId="0F6220C9"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1613" w:type="dxa"/>
            <w:tcBorders>
              <w:top w:val="nil"/>
              <w:left w:val="nil"/>
              <w:bottom w:val="nil"/>
              <w:right w:val="nil"/>
            </w:tcBorders>
            <w:shd w:val="clear" w:color="auto" w:fill="auto"/>
            <w:noWrap/>
            <w:vAlign w:val="center"/>
            <w:hideMark/>
          </w:tcPr>
          <w:p w14:paraId="42906D66"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Survey</w:t>
            </w:r>
          </w:p>
        </w:tc>
        <w:tc>
          <w:tcPr>
            <w:tcW w:w="1482" w:type="dxa"/>
            <w:tcBorders>
              <w:top w:val="nil"/>
              <w:left w:val="nil"/>
              <w:bottom w:val="nil"/>
              <w:right w:val="nil"/>
            </w:tcBorders>
            <w:shd w:val="clear" w:color="auto" w:fill="auto"/>
            <w:noWrap/>
            <w:vAlign w:val="center"/>
            <w:hideMark/>
          </w:tcPr>
          <w:p w14:paraId="39C1CC9A"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Politicians</w:t>
            </w:r>
          </w:p>
        </w:tc>
        <w:tc>
          <w:tcPr>
            <w:tcW w:w="1009" w:type="dxa"/>
            <w:tcBorders>
              <w:top w:val="nil"/>
              <w:left w:val="nil"/>
              <w:bottom w:val="nil"/>
              <w:right w:val="nil"/>
            </w:tcBorders>
            <w:shd w:val="clear" w:color="auto" w:fill="auto"/>
            <w:noWrap/>
            <w:vAlign w:val="center"/>
            <w:hideMark/>
          </w:tcPr>
          <w:p w14:paraId="5AD31506"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451" w:type="dxa"/>
            <w:tcBorders>
              <w:top w:val="nil"/>
              <w:left w:val="nil"/>
              <w:bottom w:val="nil"/>
              <w:right w:val="nil"/>
            </w:tcBorders>
            <w:shd w:val="clear" w:color="auto" w:fill="auto"/>
            <w:noWrap/>
            <w:vAlign w:val="center"/>
            <w:hideMark/>
          </w:tcPr>
          <w:p w14:paraId="6EDA624A"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7470" w:type="dxa"/>
            <w:tcBorders>
              <w:top w:val="nil"/>
              <w:left w:val="nil"/>
              <w:bottom w:val="nil"/>
              <w:right w:val="nil"/>
            </w:tcBorders>
            <w:shd w:val="clear" w:color="auto" w:fill="auto"/>
            <w:vAlign w:val="center"/>
            <w:hideMark/>
          </w:tcPr>
          <w:p w14:paraId="4AF9AC4A"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A presidential candidate’s ability to lead and innovate has a positive impact on social media. The use of social media has a positive effect on a presidential candidate’s popularity and citizen loyalty.</w:t>
            </w:r>
          </w:p>
        </w:tc>
      </w:tr>
      <w:tr w:rsidR="00996AE0" w:rsidRPr="00996AE0" w14:paraId="1018AA5D" w14:textId="77777777" w:rsidTr="009156CF">
        <w:trPr>
          <w:trHeight w:val="480"/>
        </w:trPr>
        <w:tc>
          <w:tcPr>
            <w:tcW w:w="1497" w:type="dxa"/>
            <w:tcBorders>
              <w:top w:val="nil"/>
              <w:left w:val="nil"/>
              <w:bottom w:val="nil"/>
              <w:right w:val="nil"/>
            </w:tcBorders>
            <w:shd w:val="clear" w:color="auto" w:fill="auto"/>
            <w:noWrap/>
            <w:vAlign w:val="center"/>
            <w:hideMark/>
          </w:tcPr>
          <w:p w14:paraId="07703C05" w14:textId="77777777" w:rsidR="00996AE0" w:rsidRPr="00996AE0" w:rsidRDefault="00996AE0" w:rsidP="009156CF">
            <w:pPr>
              <w:rPr>
                <w:rFonts w:ascii="Times New Roman" w:eastAsia="Times New Roman" w:hAnsi="Times New Roman" w:cs="Times New Roman"/>
                <w:b/>
                <w:bCs/>
                <w:color w:val="000000"/>
                <w:sz w:val="15"/>
                <w:szCs w:val="15"/>
              </w:rPr>
            </w:pPr>
            <w:r w:rsidRPr="00996AE0">
              <w:rPr>
                <w:rFonts w:ascii="Times New Roman" w:eastAsia="Times New Roman" w:hAnsi="Times New Roman" w:cs="Times New Roman"/>
                <w:b/>
                <w:bCs/>
                <w:color w:val="000000" w:themeColor="text1"/>
                <w:sz w:val="15"/>
                <w:szCs w:val="15"/>
                <w:lang w:val="en-US"/>
              </w:rPr>
              <w:t>Antoniades, 2020</w:t>
            </w:r>
          </w:p>
        </w:tc>
        <w:tc>
          <w:tcPr>
            <w:tcW w:w="948" w:type="dxa"/>
            <w:tcBorders>
              <w:top w:val="nil"/>
              <w:left w:val="nil"/>
              <w:bottom w:val="nil"/>
              <w:right w:val="nil"/>
            </w:tcBorders>
            <w:shd w:val="clear" w:color="auto" w:fill="auto"/>
            <w:noWrap/>
            <w:vAlign w:val="center"/>
            <w:hideMark/>
          </w:tcPr>
          <w:p w14:paraId="77BB3DF1"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2020</w:t>
            </w:r>
          </w:p>
        </w:tc>
        <w:tc>
          <w:tcPr>
            <w:tcW w:w="1939" w:type="dxa"/>
            <w:tcBorders>
              <w:top w:val="nil"/>
              <w:left w:val="nil"/>
              <w:bottom w:val="nil"/>
              <w:right w:val="nil"/>
            </w:tcBorders>
            <w:shd w:val="clear" w:color="auto" w:fill="auto"/>
            <w:noWrap/>
            <w:vAlign w:val="center"/>
            <w:hideMark/>
          </w:tcPr>
          <w:p w14:paraId="6544343E"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USA</w:t>
            </w:r>
          </w:p>
        </w:tc>
        <w:tc>
          <w:tcPr>
            <w:tcW w:w="1180" w:type="dxa"/>
            <w:tcBorders>
              <w:top w:val="nil"/>
              <w:left w:val="nil"/>
              <w:bottom w:val="nil"/>
              <w:right w:val="nil"/>
            </w:tcBorders>
            <w:shd w:val="clear" w:color="auto" w:fill="auto"/>
            <w:noWrap/>
            <w:vAlign w:val="center"/>
            <w:hideMark/>
          </w:tcPr>
          <w:p w14:paraId="04952BBC"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N/A</w:t>
            </w:r>
          </w:p>
        </w:tc>
        <w:tc>
          <w:tcPr>
            <w:tcW w:w="939" w:type="dxa"/>
            <w:tcBorders>
              <w:top w:val="nil"/>
              <w:left w:val="nil"/>
              <w:bottom w:val="nil"/>
              <w:right w:val="nil"/>
            </w:tcBorders>
            <w:shd w:val="clear" w:color="auto" w:fill="auto"/>
            <w:noWrap/>
            <w:vAlign w:val="center"/>
            <w:hideMark/>
          </w:tcPr>
          <w:p w14:paraId="69BB6C6A"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Candidate</w:t>
            </w:r>
          </w:p>
        </w:tc>
        <w:tc>
          <w:tcPr>
            <w:tcW w:w="1672" w:type="dxa"/>
            <w:tcBorders>
              <w:top w:val="nil"/>
              <w:left w:val="nil"/>
              <w:bottom w:val="nil"/>
              <w:right w:val="nil"/>
            </w:tcBorders>
            <w:shd w:val="clear" w:color="auto" w:fill="auto"/>
            <w:noWrap/>
            <w:vAlign w:val="center"/>
            <w:hideMark/>
          </w:tcPr>
          <w:p w14:paraId="563B0349"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Local and state</w:t>
            </w:r>
          </w:p>
        </w:tc>
        <w:tc>
          <w:tcPr>
            <w:tcW w:w="934" w:type="dxa"/>
            <w:tcBorders>
              <w:top w:val="nil"/>
              <w:left w:val="nil"/>
              <w:bottom w:val="nil"/>
              <w:right w:val="nil"/>
            </w:tcBorders>
            <w:shd w:val="clear" w:color="auto" w:fill="auto"/>
            <w:noWrap/>
            <w:vAlign w:val="center"/>
            <w:hideMark/>
          </w:tcPr>
          <w:p w14:paraId="30F9ED20"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General</w:t>
            </w:r>
          </w:p>
        </w:tc>
        <w:tc>
          <w:tcPr>
            <w:tcW w:w="2004" w:type="dxa"/>
            <w:tcBorders>
              <w:top w:val="nil"/>
              <w:left w:val="nil"/>
              <w:bottom w:val="nil"/>
              <w:right w:val="nil"/>
            </w:tcBorders>
            <w:shd w:val="clear" w:color="auto" w:fill="auto"/>
            <w:noWrap/>
            <w:vAlign w:val="center"/>
            <w:hideMark/>
          </w:tcPr>
          <w:p w14:paraId="7F0AA3C9"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Communication tools (public relations, advertising, media, social media)</w:t>
            </w:r>
          </w:p>
        </w:tc>
        <w:tc>
          <w:tcPr>
            <w:tcW w:w="1342" w:type="dxa"/>
            <w:tcBorders>
              <w:top w:val="nil"/>
              <w:left w:val="nil"/>
              <w:bottom w:val="nil"/>
              <w:right w:val="nil"/>
            </w:tcBorders>
            <w:shd w:val="clear" w:color="auto" w:fill="auto"/>
            <w:noWrap/>
            <w:vAlign w:val="center"/>
            <w:hideMark/>
          </w:tcPr>
          <w:p w14:paraId="563A5AF1"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1613" w:type="dxa"/>
            <w:tcBorders>
              <w:top w:val="nil"/>
              <w:left w:val="nil"/>
              <w:bottom w:val="nil"/>
              <w:right w:val="nil"/>
            </w:tcBorders>
            <w:shd w:val="clear" w:color="auto" w:fill="auto"/>
            <w:noWrap/>
            <w:vAlign w:val="center"/>
            <w:hideMark/>
          </w:tcPr>
          <w:p w14:paraId="17BFB262"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 xml:space="preserve">Survey </w:t>
            </w:r>
          </w:p>
        </w:tc>
        <w:tc>
          <w:tcPr>
            <w:tcW w:w="1482" w:type="dxa"/>
            <w:tcBorders>
              <w:top w:val="nil"/>
              <w:left w:val="nil"/>
              <w:bottom w:val="nil"/>
              <w:right w:val="nil"/>
            </w:tcBorders>
            <w:shd w:val="clear" w:color="auto" w:fill="auto"/>
            <w:noWrap/>
            <w:vAlign w:val="center"/>
            <w:hideMark/>
          </w:tcPr>
          <w:p w14:paraId="302B237B"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Politicians</w:t>
            </w:r>
          </w:p>
        </w:tc>
        <w:tc>
          <w:tcPr>
            <w:tcW w:w="1009" w:type="dxa"/>
            <w:tcBorders>
              <w:top w:val="nil"/>
              <w:left w:val="nil"/>
              <w:bottom w:val="nil"/>
              <w:right w:val="nil"/>
            </w:tcBorders>
            <w:shd w:val="clear" w:color="auto" w:fill="auto"/>
            <w:noWrap/>
            <w:vAlign w:val="center"/>
            <w:hideMark/>
          </w:tcPr>
          <w:p w14:paraId="01FD0346"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451" w:type="dxa"/>
            <w:tcBorders>
              <w:top w:val="nil"/>
              <w:left w:val="nil"/>
              <w:bottom w:val="nil"/>
              <w:right w:val="nil"/>
            </w:tcBorders>
            <w:shd w:val="clear" w:color="auto" w:fill="auto"/>
            <w:noWrap/>
            <w:vAlign w:val="center"/>
            <w:hideMark/>
          </w:tcPr>
          <w:p w14:paraId="627342E2"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7470" w:type="dxa"/>
            <w:tcBorders>
              <w:top w:val="nil"/>
              <w:left w:val="nil"/>
              <w:bottom w:val="nil"/>
              <w:right w:val="nil"/>
            </w:tcBorders>
            <w:shd w:val="clear" w:color="auto" w:fill="auto"/>
            <w:vAlign w:val="center"/>
            <w:hideMark/>
          </w:tcPr>
          <w:p w14:paraId="7AD9C99E"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The use of public relations and social media have a positive relationship with political performance and voter orientation. Traditional media use only affects political performance. Political advertising has no impact.</w:t>
            </w:r>
          </w:p>
        </w:tc>
      </w:tr>
      <w:tr w:rsidR="00996AE0" w:rsidRPr="00996AE0" w14:paraId="2EDAD7EE" w14:textId="77777777" w:rsidTr="009156CF">
        <w:trPr>
          <w:trHeight w:val="720"/>
        </w:trPr>
        <w:tc>
          <w:tcPr>
            <w:tcW w:w="1497" w:type="dxa"/>
            <w:tcBorders>
              <w:top w:val="nil"/>
              <w:left w:val="nil"/>
              <w:bottom w:val="nil"/>
              <w:right w:val="nil"/>
            </w:tcBorders>
            <w:shd w:val="clear" w:color="auto" w:fill="auto"/>
            <w:noWrap/>
            <w:vAlign w:val="center"/>
            <w:hideMark/>
          </w:tcPr>
          <w:p w14:paraId="1D4C5DEC" w14:textId="77777777" w:rsidR="00996AE0" w:rsidRPr="00996AE0" w:rsidRDefault="00996AE0" w:rsidP="009156CF">
            <w:pPr>
              <w:rPr>
                <w:rFonts w:ascii="Times New Roman" w:eastAsia="Times New Roman" w:hAnsi="Times New Roman" w:cs="Times New Roman"/>
                <w:b/>
                <w:bCs/>
                <w:color w:val="000000"/>
                <w:sz w:val="15"/>
                <w:szCs w:val="15"/>
              </w:rPr>
            </w:pPr>
            <w:r w:rsidRPr="00996AE0">
              <w:rPr>
                <w:rFonts w:ascii="Times New Roman" w:eastAsia="Times New Roman" w:hAnsi="Times New Roman" w:cs="Times New Roman"/>
                <w:b/>
                <w:bCs/>
                <w:color w:val="000000" w:themeColor="text1"/>
                <w:sz w:val="15"/>
                <w:szCs w:val="15"/>
                <w:lang w:val="en-US"/>
              </w:rPr>
              <w:t>Becker, 2020</w:t>
            </w:r>
          </w:p>
        </w:tc>
        <w:tc>
          <w:tcPr>
            <w:tcW w:w="948" w:type="dxa"/>
            <w:tcBorders>
              <w:top w:val="nil"/>
              <w:left w:val="nil"/>
              <w:bottom w:val="nil"/>
              <w:right w:val="nil"/>
            </w:tcBorders>
            <w:shd w:val="clear" w:color="auto" w:fill="auto"/>
            <w:noWrap/>
            <w:vAlign w:val="center"/>
            <w:hideMark/>
          </w:tcPr>
          <w:p w14:paraId="15BBD9B0"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2020</w:t>
            </w:r>
          </w:p>
        </w:tc>
        <w:tc>
          <w:tcPr>
            <w:tcW w:w="1939" w:type="dxa"/>
            <w:tcBorders>
              <w:top w:val="nil"/>
              <w:left w:val="nil"/>
              <w:bottom w:val="nil"/>
              <w:right w:val="nil"/>
            </w:tcBorders>
            <w:shd w:val="clear" w:color="auto" w:fill="auto"/>
            <w:noWrap/>
            <w:vAlign w:val="center"/>
            <w:hideMark/>
          </w:tcPr>
          <w:p w14:paraId="629AFC31"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USA</w:t>
            </w:r>
          </w:p>
        </w:tc>
        <w:tc>
          <w:tcPr>
            <w:tcW w:w="1180" w:type="dxa"/>
            <w:tcBorders>
              <w:top w:val="nil"/>
              <w:left w:val="nil"/>
              <w:bottom w:val="nil"/>
              <w:right w:val="nil"/>
            </w:tcBorders>
            <w:shd w:val="clear" w:color="auto" w:fill="auto"/>
            <w:noWrap/>
            <w:vAlign w:val="center"/>
            <w:hideMark/>
          </w:tcPr>
          <w:p w14:paraId="6EC9DA09"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2016</w:t>
            </w:r>
          </w:p>
        </w:tc>
        <w:tc>
          <w:tcPr>
            <w:tcW w:w="939" w:type="dxa"/>
            <w:tcBorders>
              <w:top w:val="nil"/>
              <w:left w:val="nil"/>
              <w:bottom w:val="nil"/>
              <w:right w:val="nil"/>
            </w:tcBorders>
            <w:shd w:val="clear" w:color="auto" w:fill="auto"/>
            <w:noWrap/>
            <w:vAlign w:val="center"/>
            <w:hideMark/>
          </w:tcPr>
          <w:p w14:paraId="50BE7D3C"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Candidate</w:t>
            </w:r>
          </w:p>
        </w:tc>
        <w:tc>
          <w:tcPr>
            <w:tcW w:w="1672" w:type="dxa"/>
            <w:tcBorders>
              <w:top w:val="nil"/>
              <w:left w:val="nil"/>
              <w:bottom w:val="nil"/>
              <w:right w:val="nil"/>
            </w:tcBorders>
            <w:shd w:val="clear" w:color="auto" w:fill="auto"/>
            <w:noWrap/>
            <w:vAlign w:val="center"/>
            <w:hideMark/>
          </w:tcPr>
          <w:p w14:paraId="36D74B47"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Presidential politics</w:t>
            </w:r>
          </w:p>
        </w:tc>
        <w:tc>
          <w:tcPr>
            <w:tcW w:w="934" w:type="dxa"/>
            <w:tcBorders>
              <w:top w:val="nil"/>
              <w:left w:val="nil"/>
              <w:bottom w:val="nil"/>
              <w:right w:val="nil"/>
            </w:tcBorders>
            <w:shd w:val="clear" w:color="auto" w:fill="auto"/>
            <w:noWrap/>
            <w:vAlign w:val="center"/>
            <w:hideMark/>
          </w:tcPr>
          <w:p w14:paraId="7C6FAC85"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Twitter</w:t>
            </w:r>
          </w:p>
        </w:tc>
        <w:tc>
          <w:tcPr>
            <w:tcW w:w="2004" w:type="dxa"/>
            <w:tcBorders>
              <w:top w:val="nil"/>
              <w:left w:val="nil"/>
              <w:bottom w:val="nil"/>
              <w:right w:val="nil"/>
            </w:tcBorders>
            <w:shd w:val="clear" w:color="auto" w:fill="auto"/>
            <w:noWrap/>
            <w:vAlign w:val="center"/>
            <w:hideMark/>
          </w:tcPr>
          <w:p w14:paraId="633A6054"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Political humor, inoculation effect, two-sided messages</w:t>
            </w:r>
          </w:p>
        </w:tc>
        <w:tc>
          <w:tcPr>
            <w:tcW w:w="1342" w:type="dxa"/>
            <w:tcBorders>
              <w:top w:val="nil"/>
              <w:left w:val="nil"/>
              <w:bottom w:val="nil"/>
              <w:right w:val="nil"/>
            </w:tcBorders>
            <w:shd w:val="clear" w:color="auto" w:fill="auto"/>
            <w:noWrap/>
            <w:vAlign w:val="center"/>
            <w:hideMark/>
          </w:tcPr>
          <w:p w14:paraId="518E53A7"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1613" w:type="dxa"/>
            <w:tcBorders>
              <w:top w:val="nil"/>
              <w:left w:val="nil"/>
              <w:bottom w:val="nil"/>
              <w:right w:val="nil"/>
            </w:tcBorders>
            <w:shd w:val="clear" w:color="auto" w:fill="auto"/>
            <w:noWrap/>
            <w:vAlign w:val="center"/>
            <w:hideMark/>
          </w:tcPr>
          <w:p w14:paraId="5C2BFF0A"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Experiment</w:t>
            </w:r>
          </w:p>
        </w:tc>
        <w:tc>
          <w:tcPr>
            <w:tcW w:w="1482" w:type="dxa"/>
            <w:tcBorders>
              <w:top w:val="nil"/>
              <w:left w:val="nil"/>
              <w:bottom w:val="nil"/>
              <w:right w:val="nil"/>
            </w:tcBorders>
            <w:shd w:val="clear" w:color="auto" w:fill="auto"/>
            <w:noWrap/>
            <w:vAlign w:val="center"/>
            <w:hideMark/>
          </w:tcPr>
          <w:p w14:paraId="1EE40684"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Voters</w:t>
            </w:r>
          </w:p>
        </w:tc>
        <w:tc>
          <w:tcPr>
            <w:tcW w:w="1009" w:type="dxa"/>
            <w:tcBorders>
              <w:top w:val="nil"/>
              <w:left w:val="nil"/>
              <w:bottom w:val="nil"/>
              <w:right w:val="nil"/>
            </w:tcBorders>
            <w:shd w:val="clear" w:color="auto" w:fill="auto"/>
            <w:noWrap/>
            <w:vAlign w:val="center"/>
            <w:hideMark/>
          </w:tcPr>
          <w:p w14:paraId="2CDAAE4D"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451" w:type="dxa"/>
            <w:tcBorders>
              <w:top w:val="nil"/>
              <w:left w:val="nil"/>
              <w:bottom w:val="nil"/>
              <w:right w:val="nil"/>
            </w:tcBorders>
            <w:shd w:val="clear" w:color="auto" w:fill="auto"/>
            <w:noWrap/>
            <w:vAlign w:val="center"/>
            <w:hideMark/>
          </w:tcPr>
          <w:p w14:paraId="5C5D8A3A"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7470" w:type="dxa"/>
            <w:tcBorders>
              <w:top w:val="nil"/>
              <w:left w:val="nil"/>
              <w:bottom w:val="nil"/>
              <w:right w:val="nil"/>
            </w:tcBorders>
            <w:shd w:val="clear" w:color="auto" w:fill="auto"/>
            <w:vAlign w:val="center"/>
            <w:hideMark/>
          </w:tcPr>
          <w:p w14:paraId="0B8CAD23"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The viewers of Saturday Night Live skit mocking Trump having prior knowledge of Trump’s response to SNL and his history with SNL viewed Clinton and Pence less favorably. Knowing Trump’s response to SNL created an inoculation effect.</w:t>
            </w:r>
          </w:p>
        </w:tc>
      </w:tr>
      <w:tr w:rsidR="00996AE0" w:rsidRPr="00996AE0" w14:paraId="646E3897" w14:textId="77777777" w:rsidTr="009156CF">
        <w:trPr>
          <w:trHeight w:val="960"/>
        </w:trPr>
        <w:tc>
          <w:tcPr>
            <w:tcW w:w="1497" w:type="dxa"/>
            <w:tcBorders>
              <w:top w:val="nil"/>
              <w:left w:val="nil"/>
              <w:bottom w:val="nil"/>
              <w:right w:val="nil"/>
            </w:tcBorders>
            <w:shd w:val="clear" w:color="auto" w:fill="auto"/>
            <w:noWrap/>
            <w:vAlign w:val="center"/>
            <w:hideMark/>
          </w:tcPr>
          <w:p w14:paraId="1C9A927D" w14:textId="77777777" w:rsidR="00996AE0" w:rsidRPr="00996AE0" w:rsidRDefault="00996AE0" w:rsidP="009156CF">
            <w:pPr>
              <w:rPr>
                <w:rFonts w:ascii="Times New Roman" w:eastAsia="Times New Roman" w:hAnsi="Times New Roman" w:cs="Times New Roman"/>
                <w:b/>
                <w:bCs/>
                <w:color w:val="000000"/>
                <w:sz w:val="15"/>
                <w:szCs w:val="15"/>
              </w:rPr>
            </w:pPr>
            <w:r w:rsidRPr="00996AE0">
              <w:rPr>
                <w:rFonts w:ascii="Times New Roman" w:eastAsia="Times New Roman" w:hAnsi="Times New Roman" w:cs="Times New Roman"/>
                <w:b/>
                <w:bCs/>
                <w:color w:val="000000" w:themeColor="text1"/>
                <w:sz w:val="15"/>
                <w:szCs w:val="15"/>
                <w:lang w:val="en-US"/>
              </w:rPr>
              <w:t>Bennett, 2016</w:t>
            </w:r>
          </w:p>
        </w:tc>
        <w:tc>
          <w:tcPr>
            <w:tcW w:w="948" w:type="dxa"/>
            <w:tcBorders>
              <w:top w:val="nil"/>
              <w:left w:val="nil"/>
              <w:bottom w:val="nil"/>
              <w:right w:val="nil"/>
            </w:tcBorders>
            <w:shd w:val="clear" w:color="auto" w:fill="auto"/>
            <w:noWrap/>
            <w:vAlign w:val="center"/>
            <w:hideMark/>
          </w:tcPr>
          <w:p w14:paraId="70F294C2"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2016</w:t>
            </w:r>
          </w:p>
        </w:tc>
        <w:tc>
          <w:tcPr>
            <w:tcW w:w="1939" w:type="dxa"/>
            <w:tcBorders>
              <w:top w:val="nil"/>
              <w:left w:val="nil"/>
              <w:bottom w:val="nil"/>
              <w:right w:val="nil"/>
            </w:tcBorders>
            <w:shd w:val="clear" w:color="auto" w:fill="auto"/>
            <w:noWrap/>
            <w:vAlign w:val="center"/>
            <w:hideMark/>
          </w:tcPr>
          <w:p w14:paraId="2541BE08"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USA and EU</w:t>
            </w:r>
          </w:p>
        </w:tc>
        <w:tc>
          <w:tcPr>
            <w:tcW w:w="1180" w:type="dxa"/>
            <w:tcBorders>
              <w:top w:val="nil"/>
              <w:left w:val="nil"/>
              <w:bottom w:val="nil"/>
              <w:right w:val="nil"/>
            </w:tcBorders>
            <w:shd w:val="clear" w:color="auto" w:fill="auto"/>
            <w:noWrap/>
            <w:vAlign w:val="center"/>
            <w:hideMark/>
          </w:tcPr>
          <w:p w14:paraId="6623ED94"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N/A</w:t>
            </w:r>
          </w:p>
        </w:tc>
        <w:tc>
          <w:tcPr>
            <w:tcW w:w="939" w:type="dxa"/>
            <w:tcBorders>
              <w:top w:val="nil"/>
              <w:left w:val="nil"/>
              <w:bottom w:val="nil"/>
              <w:right w:val="nil"/>
            </w:tcBorders>
            <w:shd w:val="clear" w:color="auto" w:fill="auto"/>
            <w:noWrap/>
            <w:vAlign w:val="center"/>
            <w:hideMark/>
          </w:tcPr>
          <w:p w14:paraId="0B5E3B35"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Party</w:t>
            </w:r>
          </w:p>
        </w:tc>
        <w:tc>
          <w:tcPr>
            <w:tcW w:w="1672" w:type="dxa"/>
            <w:tcBorders>
              <w:top w:val="nil"/>
              <w:left w:val="nil"/>
              <w:bottom w:val="nil"/>
              <w:right w:val="nil"/>
            </w:tcBorders>
            <w:shd w:val="clear" w:color="auto" w:fill="auto"/>
            <w:noWrap/>
            <w:vAlign w:val="center"/>
            <w:hideMark/>
          </w:tcPr>
          <w:p w14:paraId="39121E12"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National politics</w:t>
            </w:r>
          </w:p>
        </w:tc>
        <w:tc>
          <w:tcPr>
            <w:tcW w:w="934" w:type="dxa"/>
            <w:tcBorders>
              <w:top w:val="nil"/>
              <w:left w:val="nil"/>
              <w:bottom w:val="nil"/>
              <w:right w:val="nil"/>
            </w:tcBorders>
            <w:shd w:val="clear" w:color="auto" w:fill="auto"/>
            <w:noWrap/>
            <w:vAlign w:val="center"/>
            <w:hideMark/>
          </w:tcPr>
          <w:p w14:paraId="07186CC3"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General</w:t>
            </w:r>
          </w:p>
        </w:tc>
        <w:tc>
          <w:tcPr>
            <w:tcW w:w="2004" w:type="dxa"/>
            <w:tcBorders>
              <w:top w:val="nil"/>
              <w:left w:val="nil"/>
              <w:bottom w:val="nil"/>
              <w:right w:val="nil"/>
            </w:tcBorders>
            <w:shd w:val="clear" w:color="auto" w:fill="auto"/>
            <w:noWrap/>
            <w:vAlign w:val="center"/>
            <w:hideMark/>
          </w:tcPr>
          <w:p w14:paraId="4F112E9C"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Data driven marketing, micro-targeting</w:t>
            </w:r>
          </w:p>
        </w:tc>
        <w:tc>
          <w:tcPr>
            <w:tcW w:w="1342" w:type="dxa"/>
            <w:tcBorders>
              <w:top w:val="nil"/>
              <w:left w:val="nil"/>
              <w:bottom w:val="nil"/>
              <w:right w:val="nil"/>
            </w:tcBorders>
            <w:shd w:val="clear" w:color="auto" w:fill="auto"/>
            <w:noWrap/>
            <w:vAlign w:val="center"/>
            <w:hideMark/>
          </w:tcPr>
          <w:p w14:paraId="6135F23C"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1613" w:type="dxa"/>
            <w:tcBorders>
              <w:top w:val="nil"/>
              <w:left w:val="nil"/>
              <w:bottom w:val="nil"/>
              <w:right w:val="nil"/>
            </w:tcBorders>
            <w:shd w:val="clear" w:color="auto" w:fill="auto"/>
            <w:noWrap/>
            <w:vAlign w:val="center"/>
            <w:hideMark/>
          </w:tcPr>
          <w:p w14:paraId="6D9AC049"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Commentary/viewpoint</w:t>
            </w:r>
          </w:p>
        </w:tc>
        <w:tc>
          <w:tcPr>
            <w:tcW w:w="1482" w:type="dxa"/>
            <w:tcBorders>
              <w:top w:val="nil"/>
              <w:left w:val="nil"/>
              <w:bottom w:val="nil"/>
              <w:right w:val="nil"/>
            </w:tcBorders>
            <w:shd w:val="clear" w:color="auto" w:fill="auto"/>
            <w:noWrap/>
            <w:vAlign w:val="center"/>
            <w:hideMark/>
          </w:tcPr>
          <w:p w14:paraId="64CF9E36"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Secondary data</w:t>
            </w:r>
          </w:p>
        </w:tc>
        <w:tc>
          <w:tcPr>
            <w:tcW w:w="1009" w:type="dxa"/>
            <w:tcBorders>
              <w:top w:val="nil"/>
              <w:left w:val="nil"/>
              <w:bottom w:val="nil"/>
              <w:right w:val="nil"/>
            </w:tcBorders>
            <w:shd w:val="clear" w:color="auto" w:fill="auto"/>
            <w:noWrap/>
            <w:vAlign w:val="center"/>
            <w:hideMark/>
          </w:tcPr>
          <w:p w14:paraId="0BF57AD3"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451" w:type="dxa"/>
            <w:tcBorders>
              <w:top w:val="nil"/>
              <w:left w:val="nil"/>
              <w:bottom w:val="nil"/>
              <w:right w:val="nil"/>
            </w:tcBorders>
            <w:shd w:val="clear" w:color="auto" w:fill="auto"/>
            <w:noWrap/>
            <w:vAlign w:val="center"/>
            <w:hideMark/>
          </w:tcPr>
          <w:p w14:paraId="6375B822"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7470" w:type="dxa"/>
            <w:tcBorders>
              <w:top w:val="nil"/>
              <w:left w:val="nil"/>
              <w:bottom w:val="nil"/>
              <w:right w:val="nil"/>
            </w:tcBorders>
            <w:shd w:val="clear" w:color="auto" w:fill="auto"/>
            <w:vAlign w:val="center"/>
            <w:hideMark/>
          </w:tcPr>
          <w:p w14:paraId="3625D522"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 xml:space="preserve">American political marketing is driven by the vast collection and assimilation of data from private sources, party databases, etc. This is partly due to a constitutional framework that allows it (First Amendment). Canada and UK are following suit. However, EU laws and attitudes are very strict on the kind of voter information that can be stored. An emphasis on data-driven politics is due to party de-alignment. </w:t>
            </w:r>
          </w:p>
        </w:tc>
      </w:tr>
      <w:tr w:rsidR="00996AE0" w:rsidRPr="00996AE0" w14:paraId="7063BCE4" w14:textId="77777777" w:rsidTr="009156CF">
        <w:trPr>
          <w:trHeight w:val="1200"/>
        </w:trPr>
        <w:tc>
          <w:tcPr>
            <w:tcW w:w="1497" w:type="dxa"/>
            <w:tcBorders>
              <w:top w:val="nil"/>
              <w:left w:val="nil"/>
              <w:bottom w:val="nil"/>
              <w:right w:val="nil"/>
            </w:tcBorders>
            <w:shd w:val="clear" w:color="auto" w:fill="auto"/>
            <w:noWrap/>
            <w:vAlign w:val="center"/>
            <w:hideMark/>
          </w:tcPr>
          <w:p w14:paraId="737DDE61" w14:textId="77777777" w:rsidR="00996AE0" w:rsidRPr="00996AE0" w:rsidRDefault="00996AE0" w:rsidP="009156CF">
            <w:pPr>
              <w:rPr>
                <w:rFonts w:ascii="Times New Roman" w:eastAsia="Times New Roman" w:hAnsi="Times New Roman" w:cs="Times New Roman"/>
                <w:b/>
                <w:bCs/>
                <w:color w:val="000000"/>
                <w:sz w:val="15"/>
                <w:szCs w:val="15"/>
              </w:rPr>
            </w:pPr>
            <w:r w:rsidRPr="00996AE0">
              <w:rPr>
                <w:rFonts w:ascii="Times New Roman" w:eastAsia="Times New Roman" w:hAnsi="Times New Roman" w:cs="Times New Roman"/>
                <w:b/>
                <w:bCs/>
                <w:color w:val="000000" w:themeColor="text1"/>
                <w:sz w:val="15"/>
                <w:szCs w:val="15"/>
                <w:lang w:val="en-US"/>
              </w:rPr>
              <w:t>Berman et al., 2019</w:t>
            </w:r>
          </w:p>
        </w:tc>
        <w:tc>
          <w:tcPr>
            <w:tcW w:w="948" w:type="dxa"/>
            <w:tcBorders>
              <w:top w:val="nil"/>
              <w:left w:val="nil"/>
              <w:bottom w:val="nil"/>
              <w:right w:val="nil"/>
            </w:tcBorders>
            <w:shd w:val="clear" w:color="auto" w:fill="auto"/>
            <w:noWrap/>
            <w:vAlign w:val="center"/>
            <w:hideMark/>
          </w:tcPr>
          <w:p w14:paraId="3EC93429"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2019</w:t>
            </w:r>
          </w:p>
        </w:tc>
        <w:tc>
          <w:tcPr>
            <w:tcW w:w="1939" w:type="dxa"/>
            <w:tcBorders>
              <w:top w:val="nil"/>
              <w:left w:val="nil"/>
              <w:bottom w:val="nil"/>
              <w:right w:val="nil"/>
            </w:tcBorders>
            <w:shd w:val="clear" w:color="auto" w:fill="auto"/>
            <w:noWrap/>
            <w:vAlign w:val="center"/>
            <w:hideMark/>
          </w:tcPr>
          <w:p w14:paraId="47E2EBBA"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USA</w:t>
            </w:r>
          </w:p>
        </w:tc>
        <w:tc>
          <w:tcPr>
            <w:tcW w:w="1180" w:type="dxa"/>
            <w:tcBorders>
              <w:top w:val="nil"/>
              <w:left w:val="nil"/>
              <w:bottom w:val="nil"/>
              <w:right w:val="nil"/>
            </w:tcBorders>
            <w:shd w:val="clear" w:color="auto" w:fill="auto"/>
            <w:noWrap/>
            <w:vAlign w:val="center"/>
            <w:hideMark/>
          </w:tcPr>
          <w:p w14:paraId="677A0873"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2016</w:t>
            </w:r>
          </w:p>
        </w:tc>
        <w:tc>
          <w:tcPr>
            <w:tcW w:w="939" w:type="dxa"/>
            <w:tcBorders>
              <w:top w:val="nil"/>
              <w:left w:val="nil"/>
              <w:bottom w:val="nil"/>
              <w:right w:val="nil"/>
            </w:tcBorders>
            <w:shd w:val="clear" w:color="auto" w:fill="auto"/>
            <w:noWrap/>
            <w:vAlign w:val="center"/>
            <w:hideMark/>
          </w:tcPr>
          <w:p w14:paraId="4FA3015D"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Candidate</w:t>
            </w:r>
          </w:p>
        </w:tc>
        <w:tc>
          <w:tcPr>
            <w:tcW w:w="1672" w:type="dxa"/>
            <w:tcBorders>
              <w:top w:val="nil"/>
              <w:left w:val="nil"/>
              <w:bottom w:val="nil"/>
              <w:right w:val="nil"/>
            </w:tcBorders>
            <w:shd w:val="clear" w:color="auto" w:fill="auto"/>
            <w:noWrap/>
            <w:vAlign w:val="center"/>
            <w:hideMark/>
          </w:tcPr>
          <w:p w14:paraId="3B78219B"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Presidential politics</w:t>
            </w:r>
          </w:p>
        </w:tc>
        <w:tc>
          <w:tcPr>
            <w:tcW w:w="934" w:type="dxa"/>
            <w:tcBorders>
              <w:top w:val="nil"/>
              <w:left w:val="nil"/>
              <w:bottom w:val="nil"/>
              <w:right w:val="nil"/>
            </w:tcBorders>
            <w:shd w:val="clear" w:color="auto" w:fill="auto"/>
            <w:noWrap/>
            <w:vAlign w:val="center"/>
            <w:hideMark/>
          </w:tcPr>
          <w:p w14:paraId="0AAE0277"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Twitter</w:t>
            </w:r>
          </w:p>
        </w:tc>
        <w:tc>
          <w:tcPr>
            <w:tcW w:w="2004" w:type="dxa"/>
            <w:tcBorders>
              <w:top w:val="nil"/>
              <w:left w:val="nil"/>
              <w:bottom w:val="nil"/>
              <w:right w:val="nil"/>
            </w:tcBorders>
            <w:shd w:val="clear" w:color="auto" w:fill="auto"/>
            <w:noWrap/>
            <w:vAlign w:val="center"/>
            <w:hideMark/>
          </w:tcPr>
          <w:p w14:paraId="50A149D3"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Political tweeting, virality</w:t>
            </w:r>
          </w:p>
        </w:tc>
        <w:tc>
          <w:tcPr>
            <w:tcW w:w="1342" w:type="dxa"/>
            <w:tcBorders>
              <w:top w:val="nil"/>
              <w:left w:val="nil"/>
              <w:bottom w:val="nil"/>
              <w:right w:val="nil"/>
            </w:tcBorders>
            <w:shd w:val="clear" w:color="auto" w:fill="auto"/>
            <w:noWrap/>
            <w:vAlign w:val="center"/>
            <w:hideMark/>
          </w:tcPr>
          <w:p w14:paraId="5699FF24"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1613" w:type="dxa"/>
            <w:tcBorders>
              <w:top w:val="nil"/>
              <w:left w:val="nil"/>
              <w:bottom w:val="nil"/>
              <w:right w:val="nil"/>
            </w:tcBorders>
            <w:shd w:val="clear" w:color="auto" w:fill="auto"/>
            <w:noWrap/>
            <w:vAlign w:val="center"/>
            <w:hideMark/>
          </w:tcPr>
          <w:p w14:paraId="6CDDD999"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Content analysis</w:t>
            </w:r>
          </w:p>
        </w:tc>
        <w:tc>
          <w:tcPr>
            <w:tcW w:w="1482" w:type="dxa"/>
            <w:tcBorders>
              <w:top w:val="nil"/>
              <w:left w:val="nil"/>
              <w:bottom w:val="nil"/>
              <w:right w:val="nil"/>
            </w:tcBorders>
            <w:shd w:val="clear" w:color="auto" w:fill="auto"/>
            <w:noWrap/>
            <w:vAlign w:val="center"/>
            <w:hideMark/>
          </w:tcPr>
          <w:p w14:paraId="15F1B467"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Twitter data and debates</w:t>
            </w:r>
          </w:p>
        </w:tc>
        <w:tc>
          <w:tcPr>
            <w:tcW w:w="1009" w:type="dxa"/>
            <w:tcBorders>
              <w:top w:val="nil"/>
              <w:left w:val="nil"/>
              <w:bottom w:val="nil"/>
              <w:right w:val="nil"/>
            </w:tcBorders>
            <w:shd w:val="clear" w:color="auto" w:fill="auto"/>
            <w:noWrap/>
            <w:vAlign w:val="center"/>
            <w:hideMark/>
          </w:tcPr>
          <w:p w14:paraId="74A28398"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451" w:type="dxa"/>
            <w:tcBorders>
              <w:top w:val="nil"/>
              <w:left w:val="nil"/>
              <w:bottom w:val="nil"/>
              <w:right w:val="nil"/>
            </w:tcBorders>
            <w:shd w:val="clear" w:color="auto" w:fill="auto"/>
            <w:noWrap/>
            <w:vAlign w:val="center"/>
            <w:hideMark/>
          </w:tcPr>
          <w:p w14:paraId="199F568E"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7470" w:type="dxa"/>
            <w:tcBorders>
              <w:top w:val="nil"/>
              <w:left w:val="nil"/>
              <w:bottom w:val="nil"/>
              <w:right w:val="nil"/>
            </w:tcBorders>
            <w:shd w:val="clear" w:color="auto" w:fill="auto"/>
            <w:vAlign w:val="center"/>
            <w:hideMark/>
          </w:tcPr>
          <w:p w14:paraId="10C854A3"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The drivers of political tweets (user-generated content) and retweets vary during and after a political event (presidential debates and Obama’s final state of the union address). During debates, Twitter acts as a medium for narration. Short tweets are more likely to be shared. After debates, Twitter acts as an interpretive medium. Longer and detailed tweets, which include success and achievement-oriented words along with emotion, are retweeted. Tweets surged when contentious issues were discussed (e.g. immigration and abortion). Issues and topics became less important after the debate.</w:t>
            </w:r>
          </w:p>
        </w:tc>
      </w:tr>
      <w:tr w:rsidR="00996AE0" w:rsidRPr="00996AE0" w14:paraId="32259D9E" w14:textId="77777777" w:rsidTr="009156CF">
        <w:trPr>
          <w:trHeight w:val="960"/>
        </w:trPr>
        <w:tc>
          <w:tcPr>
            <w:tcW w:w="1497" w:type="dxa"/>
            <w:tcBorders>
              <w:top w:val="nil"/>
              <w:left w:val="nil"/>
              <w:bottom w:val="nil"/>
              <w:right w:val="nil"/>
            </w:tcBorders>
            <w:shd w:val="clear" w:color="auto" w:fill="auto"/>
            <w:noWrap/>
            <w:vAlign w:val="center"/>
            <w:hideMark/>
          </w:tcPr>
          <w:p w14:paraId="3D526233" w14:textId="77777777" w:rsidR="00996AE0" w:rsidRPr="00996AE0" w:rsidRDefault="00996AE0" w:rsidP="009156CF">
            <w:pPr>
              <w:rPr>
                <w:rFonts w:ascii="Times New Roman" w:eastAsia="Times New Roman" w:hAnsi="Times New Roman" w:cs="Times New Roman"/>
                <w:b/>
                <w:bCs/>
                <w:color w:val="000000"/>
                <w:sz w:val="15"/>
                <w:szCs w:val="15"/>
              </w:rPr>
            </w:pPr>
            <w:r w:rsidRPr="00996AE0">
              <w:rPr>
                <w:rFonts w:ascii="Times New Roman" w:eastAsia="Times New Roman" w:hAnsi="Times New Roman" w:cs="Times New Roman"/>
                <w:b/>
                <w:bCs/>
                <w:color w:val="000000" w:themeColor="text1"/>
                <w:sz w:val="15"/>
                <w:szCs w:val="15"/>
                <w:lang w:val="en-US"/>
              </w:rPr>
              <w:t>Billard &amp; Moran, 2020</w:t>
            </w:r>
          </w:p>
        </w:tc>
        <w:tc>
          <w:tcPr>
            <w:tcW w:w="948" w:type="dxa"/>
            <w:tcBorders>
              <w:top w:val="nil"/>
              <w:left w:val="nil"/>
              <w:bottom w:val="nil"/>
              <w:right w:val="nil"/>
            </w:tcBorders>
            <w:shd w:val="clear" w:color="auto" w:fill="auto"/>
            <w:noWrap/>
            <w:vAlign w:val="center"/>
            <w:hideMark/>
          </w:tcPr>
          <w:p w14:paraId="1C8E239C"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2020</w:t>
            </w:r>
          </w:p>
        </w:tc>
        <w:tc>
          <w:tcPr>
            <w:tcW w:w="1939" w:type="dxa"/>
            <w:tcBorders>
              <w:top w:val="nil"/>
              <w:left w:val="nil"/>
              <w:bottom w:val="nil"/>
              <w:right w:val="nil"/>
            </w:tcBorders>
            <w:shd w:val="clear" w:color="auto" w:fill="auto"/>
            <w:noWrap/>
            <w:vAlign w:val="center"/>
            <w:hideMark/>
          </w:tcPr>
          <w:p w14:paraId="13F8CC6D"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USA</w:t>
            </w:r>
          </w:p>
        </w:tc>
        <w:tc>
          <w:tcPr>
            <w:tcW w:w="1180" w:type="dxa"/>
            <w:tcBorders>
              <w:top w:val="nil"/>
              <w:left w:val="nil"/>
              <w:bottom w:val="nil"/>
              <w:right w:val="nil"/>
            </w:tcBorders>
            <w:shd w:val="clear" w:color="auto" w:fill="auto"/>
            <w:noWrap/>
            <w:vAlign w:val="center"/>
            <w:hideMark/>
          </w:tcPr>
          <w:p w14:paraId="4AC72047"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N/A</w:t>
            </w:r>
          </w:p>
        </w:tc>
        <w:tc>
          <w:tcPr>
            <w:tcW w:w="939" w:type="dxa"/>
            <w:tcBorders>
              <w:top w:val="nil"/>
              <w:left w:val="nil"/>
              <w:bottom w:val="nil"/>
              <w:right w:val="nil"/>
            </w:tcBorders>
            <w:shd w:val="clear" w:color="auto" w:fill="auto"/>
            <w:noWrap/>
            <w:vAlign w:val="center"/>
            <w:hideMark/>
          </w:tcPr>
          <w:p w14:paraId="542E23DA"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Candidate</w:t>
            </w:r>
          </w:p>
        </w:tc>
        <w:tc>
          <w:tcPr>
            <w:tcW w:w="1672" w:type="dxa"/>
            <w:tcBorders>
              <w:top w:val="nil"/>
              <w:left w:val="nil"/>
              <w:bottom w:val="nil"/>
              <w:right w:val="nil"/>
            </w:tcBorders>
            <w:shd w:val="clear" w:color="auto" w:fill="auto"/>
            <w:noWrap/>
            <w:vAlign w:val="center"/>
            <w:hideMark/>
          </w:tcPr>
          <w:p w14:paraId="092236CB"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National politics</w:t>
            </w:r>
          </w:p>
        </w:tc>
        <w:tc>
          <w:tcPr>
            <w:tcW w:w="934" w:type="dxa"/>
            <w:tcBorders>
              <w:top w:val="nil"/>
              <w:left w:val="nil"/>
              <w:bottom w:val="nil"/>
              <w:right w:val="nil"/>
            </w:tcBorders>
            <w:shd w:val="clear" w:color="auto" w:fill="auto"/>
            <w:noWrap/>
            <w:vAlign w:val="center"/>
            <w:hideMark/>
          </w:tcPr>
          <w:p w14:paraId="009CC000"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Twitter and general</w:t>
            </w:r>
          </w:p>
        </w:tc>
        <w:tc>
          <w:tcPr>
            <w:tcW w:w="2004" w:type="dxa"/>
            <w:tcBorders>
              <w:top w:val="nil"/>
              <w:left w:val="nil"/>
              <w:bottom w:val="nil"/>
              <w:right w:val="nil"/>
            </w:tcBorders>
            <w:shd w:val="clear" w:color="auto" w:fill="auto"/>
            <w:noWrap/>
            <w:vAlign w:val="center"/>
            <w:hideMark/>
          </w:tcPr>
          <w:p w14:paraId="187E6099"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Branding, connective power</w:t>
            </w:r>
          </w:p>
        </w:tc>
        <w:tc>
          <w:tcPr>
            <w:tcW w:w="1342" w:type="dxa"/>
            <w:tcBorders>
              <w:top w:val="nil"/>
              <w:left w:val="nil"/>
              <w:bottom w:val="nil"/>
              <w:right w:val="nil"/>
            </w:tcBorders>
            <w:shd w:val="clear" w:color="auto" w:fill="auto"/>
            <w:noWrap/>
            <w:vAlign w:val="center"/>
            <w:hideMark/>
          </w:tcPr>
          <w:p w14:paraId="434C8195"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1613" w:type="dxa"/>
            <w:tcBorders>
              <w:top w:val="nil"/>
              <w:left w:val="nil"/>
              <w:bottom w:val="nil"/>
              <w:right w:val="nil"/>
            </w:tcBorders>
            <w:shd w:val="clear" w:color="auto" w:fill="auto"/>
            <w:noWrap/>
            <w:vAlign w:val="center"/>
            <w:hideMark/>
          </w:tcPr>
          <w:p w14:paraId="691418B7"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Conceptual, case-study</w:t>
            </w:r>
          </w:p>
        </w:tc>
        <w:tc>
          <w:tcPr>
            <w:tcW w:w="1482" w:type="dxa"/>
            <w:tcBorders>
              <w:top w:val="nil"/>
              <w:left w:val="nil"/>
              <w:bottom w:val="nil"/>
              <w:right w:val="nil"/>
            </w:tcBorders>
            <w:shd w:val="clear" w:color="auto" w:fill="auto"/>
            <w:noWrap/>
            <w:vAlign w:val="center"/>
            <w:hideMark/>
          </w:tcPr>
          <w:p w14:paraId="43051612"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Secondary data</w:t>
            </w:r>
          </w:p>
        </w:tc>
        <w:tc>
          <w:tcPr>
            <w:tcW w:w="1009" w:type="dxa"/>
            <w:tcBorders>
              <w:top w:val="nil"/>
              <w:left w:val="nil"/>
              <w:bottom w:val="nil"/>
              <w:right w:val="nil"/>
            </w:tcBorders>
            <w:shd w:val="clear" w:color="auto" w:fill="auto"/>
            <w:noWrap/>
            <w:vAlign w:val="center"/>
            <w:hideMark/>
          </w:tcPr>
          <w:p w14:paraId="352C9877"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451" w:type="dxa"/>
            <w:tcBorders>
              <w:top w:val="nil"/>
              <w:left w:val="nil"/>
              <w:bottom w:val="nil"/>
              <w:right w:val="nil"/>
            </w:tcBorders>
            <w:shd w:val="clear" w:color="auto" w:fill="auto"/>
            <w:noWrap/>
            <w:vAlign w:val="center"/>
            <w:hideMark/>
          </w:tcPr>
          <w:p w14:paraId="0AE1E49A"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7470" w:type="dxa"/>
            <w:tcBorders>
              <w:top w:val="nil"/>
              <w:left w:val="nil"/>
              <w:bottom w:val="nil"/>
              <w:right w:val="nil"/>
            </w:tcBorders>
            <w:shd w:val="clear" w:color="auto" w:fill="auto"/>
            <w:vAlign w:val="center"/>
            <w:hideMark/>
          </w:tcPr>
          <w:p w14:paraId="170B937B"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Authors posit a theory of networked branding. Networked branding takes into account the growing power of consumers to transform, develop, and sustain brand value and meaning. Brands act as spaces where communication and relationship building occurs. Networked branding takes into account the multiple actors including non-human actors. NPS (National Park Service, USA) and Donald Trump serve as examples of this networked brand culture.</w:t>
            </w:r>
          </w:p>
        </w:tc>
      </w:tr>
      <w:tr w:rsidR="00996AE0" w:rsidRPr="00996AE0" w14:paraId="11279594" w14:textId="77777777" w:rsidTr="009156CF">
        <w:trPr>
          <w:trHeight w:val="1700"/>
        </w:trPr>
        <w:tc>
          <w:tcPr>
            <w:tcW w:w="1497" w:type="dxa"/>
            <w:tcBorders>
              <w:top w:val="nil"/>
              <w:left w:val="nil"/>
              <w:bottom w:val="nil"/>
              <w:right w:val="nil"/>
            </w:tcBorders>
            <w:shd w:val="clear" w:color="auto" w:fill="auto"/>
            <w:noWrap/>
            <w:vAlign w:val="center"/>
            <w:hideMark/>
          </w:tcPr>
          <w:p w14:paraId="681C7842" w14:textId="77777777" w:rsidR="00996AE0" w:rsidRPr="00996AE0" w:rsidRDefault="00996AE0" w:rsidP="009156CF">
            <w:pPr>
              <w:rPr>
                <w:rFonts w:ascii="Times New Roman" w:eastAsia="Times New Roman" w:hAnsi="Times New Roman" w:cs="Times New Roman"/>
                <w:b/>
                <w:bCs/>
                <w:color w:val="000000"/>
                <w:sz w:val="15"/>
                <w:szCs w:val="15"/>
              </w:rPr>
            </w:pPr>
            <w:r w:rsidRPr="00996AE0">
              <w:rPr>
                <w:rFonts w:ascii="Times New Roman" w:eastAsia="Times New Roman" w:hAnsi="Times New Roman" w:cs="Times New Roman"/>
                <w:b/>
                <w:bCs/>
                <w:color w:val="000000" w:themeColor="text1"/>
                <w:sz w:val="15"/>
                <w:szCs w:val="15"/>
                <w:lang w:val="en-US"/>
              </w:rPr>
              <w:t>Bode &amp; Dalrymple, 2016</w:t>
            </w:r>
          </w:p>
        </w:tc>
        <w:tc>
          <w:tcPr>
            <w:tcW w:w="948" w:type="dxa"/>
            <w:tcBorders>
              <w:top w:val="nil"/>
              <w:left w:val="nil"/>
              <w:bottom w:val="nil"/>
              <w:right w:val="nil"/>
            </w:tcBorders>
            <w:shd w:val="clear" w:color="auto" w:fill="auto"/>
            <w:noWrap/>
            <w:vAlign w:val="center"/>
            <w:hideMark/>
          </w:tcPr>
          <w:p w14:paraId="273E6F38"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2016</w:t>
            </w:r>
          </w:p>
        </w:tc>
        <w:tc>
          <w:tcPr>
            <w:tcW w:w="1939" w:type="dxa"/>
            <w:tcBorders>
              <w:top w:val="nil"/>
              <w:left w:val="nil"/>
              <w:bottom w:val="nil"/>
              <w:right w:val="nil"/>
            </w:tcBorders>
            <w:shd w:val="clear" w:color="auto" w:fill="auto"/>
            <w:noWrap/>
            <w:vAlign w:val="center"/>
            <w:hideMark/>
          </w:tcPr>
          <w:p w14:paraId="213D78C2"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USA</w:t>
            </w:r>
          </w:p>
        </w:tc>
        <w:tc>
          <w:tcPr>
            <w:tcW w:w="1180" w:type="dxa"/>
            <w:tcBorders>
              <w:top w:val="nil"/>
              <w:left w:val="nil"/>
              <w:bottom w:val="nil"/>
              <w:right w:val="nil"/>
            </w:tcBorders>
            <w:shd w:val="clear" w:color="auto" w:fill="auto"/>
            <w:noWrap/>
            <w:vAlign w:val="center"/>
            <w:hideMark/>
          </w:tcPr>
          <w:p w14:paraId="4E4E73E8"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2010</w:t>
            </w:r>
          </w:p>
        </w:tc>
        <w:tc>
          <w:tcPr>
            <w:tcW w:w="939" w:type="dxa"/>
            <w:tcBorders>
              <w:top w:val="nil"/>
              <w:left w:val="nil"/>
              <w:bottom w:val="nil"/>
              <w:right w:val="nil"/>
            </w:tcBorders>
            <w:shd w:val="clear" w:color="auto" w:fill="auto"/>
            <w:noWrap/>
            <w:vAlign w:val="center"/>
            <w:hideMark/>
          </w:tcPr>
          <w:p w14:paraId="32C1656C"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Candidate</w:t>
            </w:r>
          </w:p>
        </w:tc>
        <w:tc>
          <w:tcPr>
            <w:tcW w:w="1672" w:type="dxa"/>
            <w:tcBorders>
              <w:top w:val="nil"/>
              <w:left w:val="nil"/>
              <w:bottom w:val="nil"/>
              <w:right w:val="nil"/>
            </w:tcBorders>
            <w:shd w:val="clear" w:color="auto" w:fill="auto"/>
            <w:noWrap/>
            <w:vAlign w:val="center"/>
            <w:hideMark/>
          </w:tcPr>
          <w:p w14:paraId="405CA76B"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US Congress (Congress, Senate, Gubernatorial)</w:t>
            </w:r>
          </w:p>
        </w:tc>
        <w:tc>
          <w:tcPr>
            <w:tcW w:w="934" w:type="dxa"/>
            <w:tcBorders>
              <w:top w:val="nil"/>
              <w:left w:val="nil"/>
              <w:bottom w:val="nil"/>
              <w:right w:val="nil"/>
            </w:tcBorders>
            <w:shd w:val="clear" w:color="auto" w:fill="auto"/>
            <w:noWrap/>
            <w:vAlign w:val="center"/>
            <w:hideMark/>
          </w:tcPr>
          <w:p w14:paraId="3D8F7CC7"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Twitter</w:t>
            </w:r>
          </w:p>
        </w:tc>
        <w:tc>
          <w:tcPr>
            <w:tcW w:w="2004" w:type="dxa"/>
            <w:tcBorders>
              <w:top w:val="nil"/>
              <w:left w:val="nil"/>
              <w:bottom w:val="nil"/>
              <w:right w:val="nil"/>
            </w:tcBorders>
            <w:shd w:val="clear" w:color="auto" w:fill="auto"/>
            <w:noWrap/>
            <w:vAlign w:val="center"/>
            <w:hideMark/>
          </w:tcPr>
          <w:p w14:paraId="44B2AE04"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Opinion leadership, Two-Step Flow of Information Theory</w:t>
            </w:r>
          </w:p>
        </w:tc>
        <w:tc>
          <w:tcPr>
            <w:tcW w:w="1342" w:type="dxa"/>
            <w:tcBorders>
              <w:top w:val="nil"/>
              <w:left w:val="nil"/>
              <w:bottom w:val="nil"/>
              <w:right w:val="nil"/>
            </w:tcBorders>
            <w:shd w:val="clear" w:color="auto" w:fill="auto"/>
            <w:noWrap/>
            <w:vAlign w:val="center"/>
            <w:hideMark/>
          </w:tcPr>
          <w:p w14:paraId="15CAB37C"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1613" w:type="dxa"/>
            <w:tcBorders>
              <w:top w:val="nil"/>
              <w:left w:val="nil"/>
              <w:bottom w:val="nil"/>
              <w:right w:val="nil"/>
            </w:tcBorders>
            <w:shd w:val="clear" w:color="auto" w:fill="auto"/>
            <w:noWrap/>
            <w:vAlign w:val="center"/>
            <w:hideMark/>
          </w:tcPr>
          <w:p w14:paraId="1C546255"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Survey</w:t>
            </w:r>
          </w:p>
        </w:tc>
        <w:tc>
          <w:tcPr>
            <w:tcW w:w="1482" w:type="dxa"/>
            <w:tcBorders>
              <w:top w:val="nil"/>
              <w:left w:val="nil"/>
              <w:bottom w:val="nil"/>
              <w:right w:val="nil"/>
            </w:tcBorders>
            <w:shd w:val="clear" w:color="auto" w:fill="auto"/>
            <w:noWrap/>
            <w:vAlign w:val="center"/>
            <w:hideMark/>
          </w:tcPr>
          <w:p w14:paraId="6C4D18E3"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 xml:space="preserve">Followers of political candidates </w:t>
            </w:r>
          </w:p>
        </w:tc>
        <w:tc>
          <w:tcPr>
            <w:tcW w:w="1009" w:type="dxa"/>
            <w:tcBorders>
              <w:top w:val="nil"/>
              <w:left w:val="nil"/>
              <w:bottom w:val="nil"/>
              <w:right w:val="nil"/>
            </w:tcBorders>
            <w:shd w:val="clear" w:color="auto" w:fill="auto"/>
            <w:noWrap/>
            <w:vAlign w:val="center"/>
            <w:hideMark/>
          </w:tcPr>
          <w:p w14:paraId="64C0BDA4"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451" w:type="dxa"/>
            <w:tcBorders>
              <w:top w:val="nil"/>
              <w:left w:val="nil"/>
              <w:bottom w:val="nil"/>
              <w:right w:val="nil"/>
            </w:tcBorders>
            <w:shd w:val="clear" w:color="auto" w:fill="auto"/>
            <w:noWrap/>
            <w:vAlign w:val="center"/>
            <w:hideMark/>
          </w:tcPr>
          <w:p w14:paraId="51381C1C"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7470" w:type="dxa"/>
            <w:tcBorders>
              <w:top w:val="nil"/>
              <w:left w:val="nil"/>
              <w:bottom w:val="nil"/>
              <w:right w:val="nil"/>
            </w:tcBorders>
            <w:shd w:val="clear" w:color="auto" w:fill="auto"/>
            <w:vAlign w:val="center"/>
            <w:hideMark/>
          </w:tcPr>
          <w:p w14:paraId="709B4EB6"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 xml:space="preserve">Political Twitter users are not reflective of the US population (race or gender) and are more politically involved than average Americans. Active engagement on Twitter positively impacts online political participation. Exposure to disagreement on Twitter is negatively related to online political participation. Twitter disagreement decreases online and offline participation but increases political tweeting. Political Twitter reading is negatively linked to political participation. Perceived social influence and political motivation are linked to retweeting. Informational motivation has a negative effect though. </w:t>
            </w:r>
          </w:p>
        </w:tc>
      </w:tr>
      <w:tr w:rsidR="00996AE0" w:rsidRPr="00996AE0" w14:paraId="46FA19B0" w14:textId="77777777" w:rsidTr="009156CF">
        <w:trPr>
          <w:trHeight w:val="720"/>
        </w:trPr>
        <w:tc>
          <w:tcPr>
            <w:tcW w:w="1497" w:type="dxa"/>
            <w:tcBorders>
              <w:top w:val="nil"/>
              <w:left w:val="nil"/>
              <w:bottom w:val="nil"/>
              <w:right w:val="nil"/>
            </w:tcBorders>
            <w:shd w:val="clear" w:color="auto" w:fill="auto"/>
            <w:noWrap/>
            <w:vAlign w:val="center"/>
            <w:hideMark/>
          </w:tcPr>
          <w:p w14:paraId="36A2132D" w14:textId="77777777" w:rsidR="00996AE0" w:rsidRPr="00996AE0" w:rsidRDefault="00996AE0" w:rsidP="009156CF">
            <w:pPr>
              <w:rPr>
                <w:rFonts w:ascii="Times New Roman" w:eastAsia="Times New Roman" w:hAnsi="Times New Roman" w:cs="Times New Roman"/>
                <w:b/>
                <w:bCs/>
                <w:color w:val="000000"/>
                <w:sz w:val="15"/>
                <w:szCs w:val="15"/>
              </w:rPr>
            </w:pPr>
            <w:r w:rsidRPr="00996AE0">
              <w:rPr>
                <w:rFonts w:ascii="Times New Roman" w:eastAsia="Times New Roman" w:hAnsi="Times New Roman" w:cs="Times New Roman"/>
                <w:b/>
                <w:bCs/>
                <w:color w:val="000000" w:themeColor="text1"/>
                <w:sz w:val="15"/>
                <w:szCs w:val="15"/>
                <w:lang w:val="en-US"/>
              </w:rPr>
              <w:t>Boerman &amp; Kruikemeier, 2016</w:t>
            </w:r>
          </w:p>
        </w:tc>
        <w:tc>
          <w:tcPr>
            <w:tcW w:w="948" w:type="dxa"/>
            <w:tcBorders>
              <w:top w:val="nil"/>
              <w:left w:val="nil"/>
              <w:bottom w:val="nil"/>
              <w:right w:val="nil"/>
            </w:tcBorders>
            <w:shd w:val="clear" w:color="auto" w:fill="auto"/>
            <w:noWrap/>
            <w:vAlign w:val="center"/>
            <w:hideMark/>
          </w:tcPr>
          <w:p w14:paraId="02C678F9"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2016</w:t>
            </w:r>
          </w:p>
        </w:tc>
        <w:tc>
          <w:tcPr>
            <w:tcW w:w="1939" w:type="dxa"/>
            <w:tcBorders>
              <w:top w:val="nil"/>
              <w:left w:val="nil"/>
              <w:bottom w:val="nil"/>
              <w:right w:val="nil"/>
            </w:tcBorders>
            <w:shd w:val="clear" w:color="auto" w:fill="auto"/>
            <w:noWrap/>
            <w:vAlign w:val="center"/>
            <w:hideMark/>
          </w:tcPr>
          <w:p w14:paraId="131B90D9"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Netherlands</w:t>
            </w:r>
          </w:p>
        </w:tc>
        <w:tc>
          <w:tcPr>
            <w:tcW w:w="1180" w:type="dxa"/>
            <w:tcBorders>
              <w:top w:val="nil"/>
              <w:left w:val="nil"/>
              <w:bottom w:val="nil"/>
              <w:right w:val="nil"/>
            </w:tcBorders>
            <w:shd w:val="clear" w:color="auto" w:fill="auto"/>
            <w:noWrap/>
            <w:vAlign w:val="center"/>
            <w:hideMark/>
          </w:tcPr>
          <w:p w14:paraId="239084A4"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N/A</w:t>
            </w:r>
          </w:p>
        </w:tc>
        <w:tc>
          <w:tcPr>
            <w:tcW w:w="939" w:type="dxa"/>
            <w:tcBorders>
              <w:top w:val="nil"/>
              <w:left w:val="nil"/>
              <w:bottom w:val="nil"/>
              <w:right w:val="nil"/>
            </w:tcBorders>
            <w:shd w:val="clear" w:color="auto" w:fill="auto"/>
            <w:noWrap/>
            <w:vAlign w:val="center"/>
            <w:hideMark/>
          </w:tcPr>
          <w:p w14:paraId="7A3D4DB5"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Party</w:t>
            </w:r>
          </w:p>
        </w:tc>
        <w:tc>
          <w:tcPr>
            <w:tcW w:w="1672" w:type="dxa"/>
            <w:tcBorders>
              <w:top w:val="nil"/>
              <w:left w:val="nil"/>
              <w:bottom w:val="nil"/>
              <w:right w:val="nil"/>
            </w:tcBorders>
            <w:shd w:val="clear" w:color="auto" w:fill="auto"/>
            <w:noWrap/>
            <w:vAlign w:val="center"/>
            <w:hideMark/>
          </w:tcPr>
          <w:p w14:paraId="1CDB198F"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National politics</w:t>
            </w:r>
          </w:p>
        </w:tc>
        <w:tc>
          <w:tcPr>
            <w:tcW w:w="934" w:type="dxa"/>
            <w:tcBorders>
              <w:top w:val="nil"/>
              <w:left w:val="nil"/>
              <w:bottom w:val="nil"/>
              <w:right w:val="nil"/>
            </w:tcBorders>
            <w:shd w:val="clear" w:color="auto" w:fill="auto"/>
            <w:noWrap/>
            <w:vAlign w:val="center"/>
            <w:hideMark/>
          </w:tcPr>
          <w:p w14:paraId="1C703FB8"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Twitter</w:t>
            </w:r>
          </w:p>
        </w:tc>
        <w:tc>
          <w:tcPr>
            <w:tcW w:w="2004" w:type="dxa"/>
            <w:tcBorders>
              <w:top w:val="nil"/>
              <w:left w:val="nil"/>
              <w:bottom w:val="nil"/>
              <w:right w:val="nil"/>
            </w:tcBorders>
            <w:shd w:val="clear" w:color="auto" w:fill="auto"/>
            <w:noWrap/>
            <w:vAlign w:val="center"/>
            <w:hideMark/>
          </w:tcPr>
          <w:p w14:paraId="1949353C"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Persuasion Knowledge Model</w:t>
            </w:r>
          </w:p>
        </w:tc>
        <w:tc>
          <w:tcPr>
            <w:tcW w:w="1342" w:type="dxa"/>
            <w:tcBorders>
              <w:top w:val="nil"/>
              <w:left w:val="nil"/>
              <w:bottom w:val="nil"/>
              <w:right w:val="nil"/>
            </w:tcBorders>
            <w:shd w:val="clear" w:color="auto" w:fill="auto"/>
            <w:noWrap/>
            <w:vAlign w:val="center"/>
            <w:hideMark/>
          </w:tcPr>
          <w:p w14:paraId="288C0BE6"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1613" w:type="dxa"/>
            <w:tcBorders>
              <w:top w:val="nil"/>
              <w:left w:val="nil"/>
              <w:bottom w:val="nil"/>
              <w:right w:val="nil"/>
            </w:tcBorders>
            <w:shd w:val="clear" w:color="auto" w:fill="auto"/>
            <w:noWrap/>
            <w:vAlign w:val="center"/>
            <w:hideMark/>
          </w:tcPr>
          <w:p w14:paraId="1FB14CE0"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Experiment</w:t>
            </w:r>
          </w:p>
        </w:tc>
        <w:tc>
          <w:tcPr>
            <w:tcW w:w="1482" w:type="dxa"/>
            <w:tcBorders>
              <w:top w:val="nil"/>
              <w:left w:val="nil"/>
              <w:bottom w:val="nil"/>
              <w:right w:val="nil"/>
            </w:tcBorders>
            <w:shd w:val="clear" w:color="auto" w:fill="auto"/>
            <w:noWrap/>
            <w:vAlign w:val="center"/>
            <w:hideMark/>
          </w:tcPr>
          <w:p w14:paraId="6FDEEA70"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College students</w:t>
            </w:r>
          </w:p>
        </w:tc>
        <w:tc>
          <w:tcPr>
            <w:tcW w:w="1009" w:type="dxa"/>
            <w:tcBorders>
              <w:top w:val="nil"/>
              <w:left w:val="nil"/>
              <w:bottom w:val="nil"/>
              <w:right w:val="nil"/>
            </w:tcBorders>
            <w:shd w:val="clear" w:color="auto" w:fill="auto"/>
            <w:noWrap/>
            <w:vAlign w:val="center"/>
            <w:hideMark/>
          </w:tcPr>
          <w:p w14:paraId="55D4CC50"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451" w:type="dxa"/>
            <w:tcBorders>
              <w:top w:val="nil"/>
              <w:left w:val="nil"/>
              <w:bottom w:val="nil"/>
              <w:right w:val="nil"/>
            </w:tcBorders>
            <w:shd w:val="clear" w:color="auto" w:fill="auto"/>
            <w:noWrap/>
            <w:vAlign w:val="center"/>
            <w:hideMark/>
          </w:tcPr>
          <w:p w14:paraId="5FAEFC31"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7470" w:type="dxa"/>
            <w:tcBorders>
              <w:top w:val="nil"/>
              <w:left w:val="nil"/>
              <w:bottom w:val="nil"/>
              <w:right w:val="nil"/>
            </w:tcBorders>
            <w:shd w:val="clear" w:color="auto" w:fill="auto"/>
            <w:vAlign w:val="center"/>
            <w:hideMark/>
          </w:tcPr>
          <w:p w14:paraId="570DC98D"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 xml:space="preserve">Social media users are less skeptical of political tweets compared to tweets from brands. However, when they see the promoted banner, their attitude towards political tweets becomes negative. Importantly, users suffer from banner blindness and hardly notice the promoted label. </w:t>
            </w:r>
          </w:p>
        </w:tc>
      </w:tr>
      <w:tr w:rsidR="00996AE0" w:rsidRPr="00996AE0" w14:paraId="2D592045" w14:textId="77777777" w:rsidTr="009156CF">
        <w:trPr>
          <w:trHeight w:val="960"/>
        </w:trPr>
        <w:tc>
          <w:tcPr>
            <w:tcW w:w="1497" w:type="dxa"/>
            <w:tcBorders>
              <w:top w:val="nil"/>
              <w:left w:val="nil"/>
              <w:bottom w:val="nil"/>
              <w:right w:val="nil"/>
            </w:tcBorders>
            <w:shd w:val="clear" w:color="auto" w:fill="auto"/>
            <w:noWrap/>
            <w:vAlign w:val="center"/>
            <w:hideMark/>
          </w:tcPr>
          <w:p w14:paraId="03B84B42" w14:textId="77777777" w:rsidR="00996AE0" w:rsidRPr="00996AE0" w:rsidRDefault="00996AE0" w:rsidP="009156CF">
            <w:pPr>
              <w:rPr>
                <w:rFonts w:ascii="Times New Roman" w:eastAsia="Times New Roman" w:hAnsi="Times New Roman" w:cs="Times New Roman"/>
                <w:b/>
                <w:bCs/>
                <w:color w:val="000000"/>
                <w:sz w:val="15"/>
                <w:szCs w:val="15"/>
              </w:rPr>
            </w:pPr>
            <w:r w:rsidRPr="00996AE0">
              <w:rPr>
                <w:rFonts w:ascii="Times New Roman" w:eastAsia="Times New Roman" w:hAnsi="Times New Roman" w:cs="Times New Roman"/>
                <w:b/>
                <w:bCs/>
                <w:color w:val="000000" w:themeColor="text1"/>
                <w:sz w:val="15"/>
                <w:szCs w:val="15"/>
                <w:lang w:val="en-US"/>
              </w:rPr>
              <w:t>Buccoliero et al., 2020</w:t>
            </w:r>
          </w:p>
        </w:tc>
        <w:tc>
          <w:tcPr>
            <w:tcW w:w="948" w:type="dxa"/>
            <w:tcBorders>
              <w:top w:val="nil"/>
              <w:left w:val="nil"/>
              <w:bottom w:val="nil"/>
              <w:right w:val="nil"/>
            </w:tcBorders>
            <w:shd w:val="clear" w:color="auto" w:fill="auto"/>
            <w:noWrap/>
            <w:vAlign w:val="center"/>
            <w:hideMark/>
          </w:tcPr>
          <w:p w14:paraId="502BE00B"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2020</w:t>
            </w:r>
          </w:p>
        </w:tc>
        <w:tc>
          <w:tcPr>
            <w:tcW w:w="1939" w:type="dxa"/>
            <w:tcBorders>
              <w:top w:val="nil"/>
              <w:left w:val="nil"/>
              <w:bottom w:val="nil"/>
              <w:right w:val="nil"/>
            </w:tcBorders>
            <w:shd w:val="clear" w:color="auto" w:fill="auto"/>
            <w:noWrap/>
            <w:vAlign w:val="center"/>
            <w:hideMark/>
          </w:tcPr>
          <w:p w14:paraId="3E3EE142"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USA</w:t>
            </w:r>
          </w:p>
        </w:tc>
        <w:tc>
          <w:tcPr>
            <w:tcW w:w="1180" w:type="dxa"/>
            <w:tcBorders>
              <w:top w:val="nil"/>
              <w:left w:val="nil"/>
              <w:bottom w:val="nil"/>
              <w:right w:val="nil"/>
            </w:tcBorders>
            <w:shd w:val="clear" w:color="auto" w:fill="auto"/>
            <w:noWrap/>
            <w:vAlign w:val="center"/>
            <w:hideMark/>
          </w:tcPr>
          <w:p w14:paraId="0D5483F6"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2016</w:t>
            </w:r>
          </w:p>
        </w:tc>
        <w:tc>
          <w:tcPr>
            <w:tcW w:w="939" w:type="dxa"/>
            <w:tcBorders>
              <w:top w:val="nil"/>
              <w:left w:val="nil"/>
              <w:bottom w:val="nil"/>
              <w:right w:val="nil"/>
            </w:tcBorders>
            <w:shd w:val="clear" w:color="auto" w:fill="auto"/>
            <w:noWrap/>
            <w:vAlign w:val="center"/>
            <w:hideMark/>
          </w:tcPr>
          <w:p w14:paraId="7E5725D1"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Candidate</w:t>
            </w:r>
          </w:p>
        </w:tc>
        <w:tc>
          <w:tcPr>
            <w:tcW w:w="1672" w:type="dxa"/>
            <w:tcBorders>
              <w:top w:val="nil"/>
              <w:left w:val="nil"/>
              <w:bottom w:val="nil"/>
              <w:right w:val="nil"/>
            </w:tcBorders>
            <w:shd w:val="clear" w:color="auto" w:fill="auto"/>
            <w:noWrap/>
            <w:vAlign w:val="center"/>
            <w:hideMark/>
          </w:tcPr>
          <w:p w14:paraId="7052BEA1"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Presidential politics</w:t>
            </w:r>
          </w:p>
        </w:tc>
        <w:tc>
          <w:tcPr>
            <w:tcW w:w="934" w:type="dxa"/>
            <w:tcBorders>
              <w:top w:val="nil"/>
              <w:left w:val="nil"/>
              <w:bottom w:val="nil"/>
              <w:right w:val="nil"/>
            </w:tcBorders>
            <w:shd w:val="clear" w:color="auto" w:fill="auto"/>
            <w:noWrap/>
            <w:vAlign w:val="center"/>
            <w:hideMark/>
          </w:tcPr>
          <w:p w14:paraId="3168227F"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Twitter</w:t>
            </w:r>
          </w:p>
        </w:tc>
        <w:tc>
          <w:tcPr>
            <w:tcW w:w="2004" w:type="dxa"/>
            <w:tcBorders>
              <w:top w:val="nil"/>
              <w:left w:val="nil"/>
              <w:bottom w:val="nil"/>
              <w:right w:val="nil"/>
            </w:tcBorders>
            <w:shd w:val="clear" w:color="auto" w:fill="auto"/>
            <w:noWrap/>
            <w:vAlign w:val="center"/>
            <w:hideMark/>
          </w:tcPr>
          <w:p w14:paraId="03002D4B"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Twitter and politics, 2016 elections</w:t>
            </w:r>
          </w:p>
        </w:tc>
        <w:tc>
          <w:tcPr>
            <w:tcW w:w="1342" w:type="dxa"/>
            <w:tcBorders>
              <w:top w:val="nil"/>
              <w:left w:val="nil"/>
              <w:bottom w:val="nil"/>
              <w:right w:val="nil"/>
            </w:tcBorders>
            <w:shd w:val="clear" w:color="auto" w:fill="auto"/>
            <w:noWrap/>
            <w:vAlign w:val="center"/>
            <w:hideMark/>
          </w:tcPr>
          <w:p w14:paraId="38D650D7"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1613" w:type="dxa"/>
            <w:tcBorders>
              <w:top w:val="nil"/>
              <w:left w:val="nil"/>
              <w:bottom w:val="nil"/>
              <w:right w:val="nil"/>
            </w:tcBorders>
            <w:shd w:val="clear" w:color="auto" w:fill="auto"/>
            <w:noWrap/>
            <w:vAlign w:val="center"/>
            <w:hideMark/>
          </w:tcPr>
          <w:p w14:paraId="10E82399"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Content analysis and social network analysis</w:t>
            </w:r>
          </w:p>
        </w:tc>
        <w:tc>
          <w:tcPr>
            <w:tcW w:w="1482" w:type="dxa"/>
            <w:tcBorders>
              <w:top w:val="nil"/>
              <w:left w:val="nil"/>
              <w:bottom w:val="nil"/>
              <w:right w:val="nil"/>
            </w:tcBorders>
            <w:shd w:val="clear" w:color="auto" w:fill="auto"/>
            <w:noWrap/>
            <w:vAlign w:val="center"/>
            <w:hideMark/>
          </w:tcPr>
          <w:p w14:paraId="34AA66BF"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Twitter accounts of candidates</w:t>
            </w:r>
          </w:p>
        </w:tc>
        <w:tc>
          <w:tcPr>
            <w:tcW w:w="1009" w:type="dxa"/>
            <w:tcBorders>
              <w:top w:val="nil"/>
              <w:left w:val="nil"/>
              <w:bottom w:val="nil"/>
              <w:right w:val="nil"/>
            </w:tcBorders>
            <w:shd w:val="clear" w:color="auto" w:fill="auto"/>
            <w:noWrap/>
            <w:vAlign w:val="center"/>
            <w:hideMark/>
          </w:tcPr>
          <w:p w14:paraId="08346FC7"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451" w:type="dxa"/>
            <w:tcBorders>
              <w:top w:val="nil"/>
              <w:left w:val="nil"/>
              <w:bottom w:val="nil"/>
              <w:right w:val="nil"/>
            </w:tcBorders>
            <w:shd w:val="clear" w:color="auto" w:fill="auto"/>
            <w:noWrap/>
            <w:vAlign w:val="center"/>
            <w:hideMark/>
          </w:tcPr>
          <w:p w14:paraId="5EB0D638"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7470" w:type="dxa"/>
            <w:tcBorders>
              <w:top w:val="nil"/>
              <w:left w:val="nil"/>
              <w:bottom w:val="nil"/>
              <w:right w:val="nil"/>
            </w:tcBorders>
            <w:shd w:val="clear" w:color="auto" w:fill="auto"/>
            <w:vAlign w:val="center"/>
            <w:hideMark/>
          </w:tcPr>
          <w:p w14:paraId="411713A3"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 xml:space="preserve">The analysis breaks down the two campaigns for posting time, tweet types, word cloud, themes, etc. The daily tweets were higher for Hillary Clinton. Clinton’s approach was issue-dominant, whereas Trump attacked more. Attacks were engaging for Trump and self-focus was effective for Clinton. Clinton had a professional social media campaign, whereas Trump’s social media use was spontaneous (amateurism).  </w:t>
            </w:r>
          </w:p>
        </w:tc>
      </w:tr>
      <w:tr w:rsidR="00996AE0" w:rsidRPr="00996AE0" w14:paraId="57D56B0E" w14:textId="77777777" w:rsidTr="009156CF">
        <w:trPr>
          <w:trHeight w:val="960"/>
        </w:trPr>
        <w:tc>
          <w:tcPr>
            <w:tcW w:w="1497" w:type="dxa"/>
            <w:tcBorders>
              <w:top w:val="nil"/>
              <w:left w:val="nil"/>
              <w:bottom w:val="nil"/>
              <w:right w:val="nil"/>
            </w:tcBorders>
            <w:shd w:val="clear" w:color="auto" w:fill="auto"/>
            <w:noWrap/>
            <w:vAlign w:val="center"/>
            <w:hideMark/>
          </w:tcPr>
          <w:p w14:paraId="4F37B88E" w14:textId="77777777" w:rsidR="00996AE0" w:rsidRPr="00996AE0" w:rsidRDefault="00996AE0" w:rsidP="009156CF">
            <w:pPr>
              <w:rPr>
                <w:rFonts w:ascii="Times New Roman" w:eastAsia="Times New Roman" w:hAnsi="Times New Roman" w:cs="Times New Roman"/>
                <w:b/>
                <w:bCs/>
                <w:color w:val="000000"/>
                <w:sz w:val="15"/>
                <w:szCs w:val="15"/>
              </w:rPr>
            </w:pPr>
            <w:r w:rsidRPr="00996AE0">
              <w:rPr>
                <w:rFonts w:ascii="Times New Roman" w:eastAsia="Times New Roman" w:hAnsi="Times New Roman" w:cs="Times New Roman"/>
                <w:b/>
                <w:bCs/>
                <w:color w:val="000000" w:themeColor="text1"/>
                <w:sz w:val="15"/>
                <w:szCs w:val="15"/>
                <w:lang w:val="en-US"/>
              </w:rPr>
              <w:t>Cacciotto, 2017</w:t>
            </w:r>
          </w:p>
        </w:tc>
        <w:tc>
          <w:tcPr>
            <w:tcW w:w="948" w:type="dxa"/>
            <w:tcBorders>
              <w:top w:val="nil"/>
              <w:left w:val="nil"/>
              <w:bottom w:val="nil"/>
              <w:right w:val="nil"/>
            </w:tcBorders>
            <w:shd w:val="clear" w:color="auto" w:fill="auto"/>
            <w:noWrap/>
            <w:vAlign w:val="center"/>
            <w:hideMark/>
          </w:tcPr>
          <w:p w14:paraId="27AFEFFC"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2017</w:t>
            </w:r>
          </w:p>
        </w:tc>
        <w:tc>
          <w:tcPr>
            <w:tcW w:w="1939" w:type="dxa"/>
            <w:tcBorders>
              <w:top w:val="nil"/>
              <w:left w:val="nil"/>
              <w:bottom w:val="nil"/>
              <w:right w:val="nil"/>
            </w:tcBorders>
            <w:shd w:val="clear" w:color="auto" w:fill="auto"/>
            <w:noWrap/>
            <w:vAlign w:val="center"/>
            <w:hideMark/>
          </w:tcPr>
          <w:p w14:paraId="23966C91"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USA</w:t>
            </w:r>
          </w:p>
        </w:tc>
        <w:tc>
          <w:tcPr>
            <w:tcW w:w="1180" w:type="dxa"/>
            <w:tcBorders>
              <w:top w:val="nil"/>
              <w:left w:val="nil"/>
              <w:bottom w:val="nil"/>
              <w:right w:val="nil"/>
            </w:tcBorders>
            <w:shd w:val="clear" w:color="auto" w:fill="auto"/>
            <w:noWrap/>
            <w:vAlign w:val="center"/>
            <w:hideMark/>
          </w:tcPr>
          <w:p w14:paraId="5CCFBE3B"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N/A</w:t>
            </w:r>
          </w:p>
        </w:tc>
        <w:tc>
          <w:tcPr>
            <w:tcW w:w="939" w:type="dxa"/>
            <w:tcBorders>
              <w:top w:val="nil"/>
              <w:left w:val="nil"/>
              <w:bottom w:val="nil"/>
              <w:right w:val="nil"/>
            </w:tcBorders>
            <w:shd w:val="clear" w:color="auto" w:fill="auto"/>
            <w:noWrap/>
            <w:vAlign w:val="center"/>
            <w:hideMark/>
          </w:tcPr>
          <w:p w14:paraId="28C1C92F"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N/A</w:t>
            </w:r>
          </w:p>
        </w:tc>
        <w:tc>
          <w:tcPr>
            <w:tcW w:w="1672" w:type="dxa"/>
            <w:tcBorders>
              <w:top w:val="nil"/>
              <w:left w:val="nil"/>
              <w:bottom w:val="nil"/>
              <w:right w:val="nil"/>
            </w:tcBorders>
            <w:shd w:val="clear" w:color="auto" w:fill="auto"/>
            <w:noWrap/>
            <w:vAlign w:val="center"/>
            <w:hideMark/>
          </w:tcPr>
          <w:p w14:paraId="2D4FCB32"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Presidential politics</w:t>
            </w:r>
          </w:p>
        </w:tc>
        <w:tc>
          <w:tcPr>
            <w:tcW w:w="934" w:type="dxa"/>
            <w:tcBorders>
              <w:top w:val="nil"/>
              <w:left w:val="nil"/>
              <w:bottom w:val="nil"/>
              <w:right w:val="nil"/>
            </w:tcBorders>
            <w:shd w:val="clear" w:color="auto" w:fill="auto"/>
            <w:noWrap/>
            <w:vAlign w:val="center"/>
            <w:hideMark/>
          </w:tcPr>
          <w:p w14:paraId="6932FCB3"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General</w:t>
            </w:r>
          </w:p>
        </w:tc>
        <w:tc>
          <w:tcPr>
            <w:tcW w:w="2004" w:type="dxa"/>
            <w:tcBorders>
              <w:top w:val="nil"/>
              <w:left w:val="nil"/>
              <w:bottom w:val="nil"/>
              <w:right w:val="nil"/>
            </w:tcBorders>
            <w:shd w:val="clear" w:color="auto" w:fill="auto"/>
            <w:noWrap/>
            <w:vAlign w:val="center"/>
            <w:hideMark/>
          </w:tcPr>
          <w:p w14:paraId="6415606D"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Political consulting in the USA</w:t>
            </w:r>
          </w:p>
        </w:tc>
        <w:tc>
          <w:tcPr>
            <w:tcW w:w="1342" w:type="dxa"/>
            <w:tcBorders>
              <w:top w:val="nil"/>
              <w:left w:val="nil"/>
              <w:bottom w:val="nil"/>
              <w:right w:val="nil"/>
            </w:tcBorders>
            <w:shd w:val="clear" w:color="auto" w:fill="auto"/>
            <w:noWrap/>
            <w:vAlign w:val="center"/>
            <w:hideMark/>
          </w:tcPr>
          <w:p w14:paraId="23212A0A"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1613" w:type="dxa"/>
            <w:tcBorders>
              <w:top w:val="nil"/>
              <w:left w:val="nil"/>
              <w:bottom w:val="nil"/>
              <w:right w:val="nil"/>
            </w:tcBorders>
            <w:shd w:val="clear" w:color="auto" w:fill="auto"/>
            <w:noWrap/>
            <w:vAlign w:val="center"/>
            <w:hideMark/>
          </w:tcPr>
          <w:p w14:paraId="4A567F73"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Commentary</w:t>
            </w:r>
          </w:p>
        </w:tc>
        <w:tc>
          <w:tcPr>
            <w:tcW w:w="1482" w:type="dxa"/>
            <w:tcBorders>
              <w:top w:val="nil"/>
              <w:left w:val="nil"/>
              <w:bottom w:val="nil"/>
              <w:right w:val="nil"/>
            </w:tcBorders>
            <w:shd w:val="clear" w:color="auto" w:fill="auto"/>
            <w:noWrap/>
            <w:vAlign w:val="center"/>
            <w:hideMark/>
          </w:tcPr>
          <w:p w14:paraId="736432FE"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Secondary data</w:t>
            </w:r>
          </w:p>
        </w:tc>
        <w:tc>
          <w:tcPr>
            <w:tcW w:w="1009" w:type="dxa"/>
            <w:tcBorders>
              <w:top w:val="nil"/>
              <w:left w:val="nil"/>
              <w:bottom w:val="nil"/>
              <w:right w:val="nil"/>
            </w:tcBorders>
            <w:shd w:val="clear" w:color="auto" w:fill="auto"/>
            <w:noWrap/>
            <w:vAlign w:val="center"/>
            <w:hideMark/>
          </w:tcPr>
          <w:p w14:paraId="660540C5"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451" w:type="dxa"/>
            <w:tcBorders>
              <w:top w:val="nil"/>
              <w:left w:val="nil"/>
              <w:bottom w:val="nil"/>
              <w:right w:val="nil"/>
            </w:tcBorders>
            <w:shd w:val="clear" w:color="auto" w:fill="auto"/>
            <w:noWrap/>
            <w:vAlign w:val="center"/>
            <w:hideMark/>
          </w:tcPr>
          <w:p w14:paraId="7292A133"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7470" w:type="dxa"/>
            <w:tcBorders>
              <w:top w:val="nil"/>
              <w:left w:val="nil"/>
              <w:bottom w:val="nil"/>
              <w:right w:val="nil"/>
            </w:tcBorders>
            <w:shd w:val="clear" w:color="auto" w:fill="auto"/>
            <w:vAlign w:val="center"/>
            <w:hideMark/>
          </w:tcPr>
          <w:p w14:paraId="7E3F2759"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First stage of political consultancy -1920s to 1950s (radio and television, reliance on PR and advertising). Second stage - 1960s to 1980s (television, establishment of political consulting). Third stage - 1980s to 2000s (television and internet). Fourth stage - 2012 onwards (fast era of communication - social media and digital). Political consulting is becoming highly tech-driven and specialized. The need for specialist consultants will increase.</w:t>
            </w:r>
          </w:p>
        </w:tc>
      </w:tr>
      <w:tr w:rsidR="00996AE0" w:rsidRPr="00996AE0" w14:paraId="1AA3B47D" w14:textId="77777777" w:rsidTr="009156CF">
        <w:trPr>
          <w:trHeight w:val="960"/>
        </w:trPr>
        <w:tc>
          <w:tcPr>
            <w:tcW w:w="1497" w:type="dxa"/>
            <w:tcBorders>
              <w:top w:val="nil"/>
              <w:left w:val="nil"/>
              <w:bottom w:val="nil"/>
              <w:right w:val="nil"/>
            </w:tcBorders>
            <w:shd w:val="clear" w:color="auto" w:fill="auto"/>
            <w:noWrap/>
            <w:vAlign w:val="center"/>
            <w:hideMark/>
          </w:tcPr>
          <w:p w14:paraId="3178DD51" w14:textId="77777777" w:rsidR="00996AE0" w:rsidRPr="00996AE0" w:rsidRDefault="00996AE0" w:rsidP="009156CF">
            <w:pPr>
              <w:rPr>
                <w:rFonts w:ascii="Times New Roman" w:eastAsia="Times New Roman" w:hAnsi="Times New Roman" w:cs="Times New Roman"/>
                <w:b/>
                <w:bCs/>
                <w:color w:val="000000"/>
                <w:sz w:val="15"/>
                <w:szCs w:val="15"/>
              </w:rPr>
            </w:pPr>
            <w:r w:rsidRPr="00996AE0">
              <w:rPr>
                <w:rFonts w:ascii="Times New Roman" w:eastAsia="Times New Roman" w:hAnsi="Times New Roman" w:cs="Times New Roman"/>
                <w:b/>
                <w:bCs/>
                <w:color w:val="000000" w:themeColor="text1"/>
                <w:sz w:val="15"/>
                <w:szCs w:val="15"/>
                <w:lang w:val="en-US"/>
              </w:rPr>
              <w:t>Calderón-Monge, 2017</w:t>
            </w:r>
          </w:p>
        </w:tc>
        <w:tc>
          <w:tcPr>
            <w:tcW w:w="948" w:type="dxa"/>
            <w:tcBorders>
              <w:top w:val="nil"/>
              <w:left w:val="nil"/>
              <w:bottom w:val="nil"/>
              <w:right w:val="nil"/>
            </w:tcBorders>
            <w:shd w:val="clear" w:color="auto" w:fill="auto"/>
            <w:noWrap/>
            <w:vAlign w:val="center"/>
            <w:hideMark/>
          </w:tcPr>
          <w:p w14:paraId="04CF2F1E"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2017</w:t>
            </w:r>
          </w:p>
        </w:tc>
        <w:tc>
          <w:tcPr>
            <w:tcW w:w="1939" w:type="dxa"/>
            <w:tcBorders>
              <w:top w:val="nil"/>
              <w:left w:val="nil"/>
              <w:bottom w:val="nil"/>
              <w:right w:val="nil"/>
            </w:tcBorders>
            <w:shd w:val="clear" w:color="auto" w:fill="auto"/>
            <w:noWrap/>
            <w:vAlign w:val="center"/>
            <w:hideMark/>
          </w:tcPr>
          <w:p w14:paraId="1B4F3857"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Spain</w:t>
            </w:r>
          </w:p>
        </w:tc>
        <w:tc>
          <w:tcPr>
            <w:tcW w:w="1180" w:type="dxa"/>
            <w:tcBorders>
              <w:top w:val="nil"/>
              <w:left w:val="nil"/>
              <w:bottom w:val="nil"/>
              <w:right w:val="nil"/>
            </w:tcBorders>
            <w:shd w:val="clear" w:color="auto" w:fill="auto"/>
            <w:noWrap/>
            <w:vAlign w:val="center"/>
            <w:hideMark/>
          </w:tcPr>
          <w:p w14:paraId="49311C0D"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N/A</w:t>
            </w:r>
          </w:p>
        </w:tc>
        <w:tc>
          <w:tcPr>
            <w:tcW w:w="939" w:type="dxa"/>
            <w:tcBorders>
              <w:top w:val="nil"/>
              <w:left w:val="nil"/>
              <w:bottom w:val="nil"/>
              <w:right w:val="nil"/>
            </w:tcBorders>
            <w:shd w:val="clear" w:color="auto" w:fill="auto"/>
            <w:noWrap/>
            <w:vAlign w:val="center"/>
            <w:hideMark/>
          </w:tcPr>
          <w:p w14:paraId="7C0DEC45"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Party</w:t>
            </w:r>
          </w:p>
        </w:tc>
        <w:tc>
          <w:tcPr>
            <w:tcW w:w="1672" w:type="dxa"/>
            <w:tcBorders>
              <w:top w:val="nil"/>
              <w:left w:val="nil"/>
              <w:bottom w:val="nil"/>
              <w:right w:val="nil"/>
            </w:tcBorders>
            <w:shd w:val="clear" w:color="auto" w:fill="auto"/>
            <w:noWrap/>
            <w:vAlign w:val="center"/>
            <w:hideMark/>
          </w:tcPr>
          <w:p w14:paraId="3D2E1332"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National politics</w:t>
            </w:r>
          </w:p>
        </w:tc>
        <w:tc>
          <w:tcPr>
            <w:tcW w:w="934" w:type="dxa"/>
            <w:tcBorders>
              <w:top w:val="nil"/>
              <w:left w:val="nil"/>
              <w:bottom w:val="nil"/>
              <w:right w:val="nil"/>
            </w:tcBorders>
            <w:shd w:val="clear" w:color="auto" w:fill="auto"/>
            <w:noWrap/>
            <w:vAlign w:val="center"/>
            <w:hideMark/>
          </w:tcPr>
          <w:p w14:paraId="2BA33005"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Twitter</w:t>
            </w:r>
          </w:p>
        </w:tc>
        <w:tc>
          <w:tcPr>
            <w:tcW w:w="2004" w:type="dxa"/>
            <w:tcBorders>
              <w:top w:val="nil"/>
              <w:left w:val="nil"/>
              <w:bottom w:val="nil"/>
              <w:right w:val="nil"/>
            </w:tcBorders>
            <w:shd w:val="clear" w:color="auto" w:fill="auto"/>
            <w:noWrap/>
            <w:vAlign w:val="center"/>
            <w:hideMark/>
          </w:tcPr>
          <w:p w14:paraId="2E75F4E7"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Emotions, social movement, Twitter</w:t>
            </w:r>
          </w:p>
        </w:tc>
        <w:tc>
          <w:tcPr>
            <w:tcW w:w="1342" w:type="dxa"/>
            <w:tcBorders>
              <w:top w:val="nil"/>
              <w:left w:val="nil"/>
              <w:bottom w:val="nil"/>
              <w:right w:val="nil"/>
            </w:tcBorders>
            <w:shd w:val="clear" w:color="auto" w:fill="auto"/>
            <w:noWrap/>
            <w:vAlign w:val="center"/>
            <w:hideMark/>
          </w:tcPr>
          <w:p w14:paraId="7E410786"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1613" w:type="dxa"/>
            <w:tcBorders>
              <w:top w:val="nil"/>
              <w:left w:val="nil"/>
              <w:bottom w:val="nil"/>
              <w:right w:val="nil"/>
            </w:tcBorders>
            <w:shd w:val="clear" w:color="auto" w:fill="auto"/>
            <w:noWrap/>
            <w:vAlign w:val="center"/>
            <w:hideMark/>
          </w:tcPr>
          <w:p w14:paraId="1FCA9612"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Content analysis</w:t>
            </w:r>
          </w:p>
        </w:tc>
        <w:tc>
          <w:tcPr>
            <w:tcW w:w="1482" w:type="dxa"/>
            <w:tcBorders>
              <w:top w:val="nil"/>
              <w:left w:val="nil"/>
              <w:bottom w:val="nil"/>
              <w:right w:val="nil"/>
            </w:tcBorders>
            <w:shd w:val="clear" w:color="auto" w:fill="auto"/>
            <w:noWrap/>
            <w:vAlign w:val="center"/>
            <w:hideMark/>
          </w:tcPr>
          <w:p w14:paraId="39EBE3B7"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Twitter pages of political parties</w:t>
            </w:r>
          </w:p>
        </w:tc>
        <w:tc>
          <w:tcPr>
            <w:tcW w:w="1009" w:type="dxa"/>
            <w:tcBorders>
              <w:top w:val="nil"/>
              <w:left w:val="nil"/>
              <w:bottom w:val="nil"/>
              <w:right w:val="nil"/>
            </w:tcBorders>
            <w:shd w:val="clear" w:color="auto" w:fill="auto"/>
            <w:noWrap/>
            <w:vAlign w:val="center"/>
            <w:hideMark/>
          </w:tcPr>
          <w:p w14:paraId="298BBFA5"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451" w:type="dxa"/>
            <w:tcBorders>
              <w:top w:val="nil"/>
              <w:left w:val="nil"/>
              <w:bottom w:val="nil"/>
              <w:right w:val="nil"/>
            </w:tcBorders>
            <w:shd w:val="clear" w:color="auto" w:fill="auto"/>
            <w:noWrap/>
            <w:vAlign w:val="center"/>
            <w:hideMark/>
          </w:tcPr>
          <w:p w14:paraId="7143E073"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7470" w:type="dxa"/>
            <w:tcBorders>
              <w:top w:val="nil"/>
              <w:left w:val="nil"/>
              <w:bottom w:val="nil"/>
              <w:right w:val="nil"/>
            </w:tcBorders>
            <w:shd w:val="clear" w:color="auto" w:fill="auto"/>
            <w:vAlign w:val="center"/>
            <w:hideMark/>
          </w:tcPr>
          <w:p w14:paraId="54068EDE"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The researchers observed expressions of negative emotions (anger, irony, shame) towards the incumbent party and mixed emotions towards the opposition party. However, mostly positive emotions, mainly hope (joy, optimism), were seen on the pages of new parties. The opposition managed emotions by getting citizens to participate in future political proposals (manifesto), whereas governing party adopted a rational approach.</w:t>
            </w:r>
          </w:p>
        </w:tc>
      </w:tr>
      <w:tr w:rsidR="00996AE0" w:rsidRPr="00996AE0" w14:paraId="4C52E1A2" w14:textId="77777777" w:rsidTr="009156CF">
        <w:trPr>
          <w:trHeight w:val="720"/>
        </w:trPr>
        <w:tc>
          <w:tcPr>
            <w:tcW w:w="1497" w:type="dxa"/>
            <w:tcBorders>
              <w:top w:val="nil"/>
              <w:left w:val="nil"/>
              <w:bottom w:val="nil"/>
              <w:right w:val="nil"/>
            </w:tcBorders>
            <w:shd w:val="clear" w:color="auto" w:fill="auto"/>
            <w:noWrap/>
            <w:vAlign w:val="center"/>
            <w:hideMark/>
          </w:tcPr>
          <w:p w14:paraId="154FF116" w14:textId="77777777" w:rsidR="00996AE0" w:rsidRPr="00996AE0" w:rsidRDefault="00996AE0" w:rsidP="009156CF">
            <w:pPr>
              <w:rPr>
                <w:rFonts w:ascii="Times New Roman" w:eastAsia="Times New Roman" w:hAnsi="Times New Roman" w:cs="Times New Roman"/>
                <w:b/>
                <w:bCs/>
                <w:color w:val="000000"/>
                <w:sz w:val="15"/>
                <w:szCs w:val="15"/>
              </w:rPr>
            </w:pPr>
            <w:r w:rsidRPr="00996AE0">
              <w:rPr>
                <w:rFonts w:ascii="Times New Roman" w:eastAsia="Times New Roman" w:hAnsi="Times New Roman" w:cs="Times New Roman"/>
                <w:b/>
                <w:bCs/>
                <w:color w:val="000000" w:themeColor="text1"/>
                <w:sz w:val="15"/>
                <w:szCs w:val="15"/>
                <w:lang w:val="en-US"/>
              </w:rPr>
              <w:t>Cameron et al., 2016</w:t>
            </w:r>
          </w:p>
        </w:tc>
        <w:tc>
          <w:tcPr>
            <w:tcW w:w="948" w:type="dxa"/>
            <w:tcBorders>
              <w:top w:val="nil"/>
              <w:left w:val="nil"/>
              <w:bottom w:val="nil"/>
              <w:right w:val="nil"/>
            </w:tcBorders>
            <w:shd w:val="clear" w:color="auto" w:fill="auto"/>
            <w:noWrap/>
            <w:vAlign w:val="center"/>
            <w:hideMark/>
          </w:tcPr>
          <w:p w14:paraId="36E08C05"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2016</w:t>
            </w:r>
          </w:p>
        </w:tc>
        <w:tc>
          <w:tcPr>
            <w:tcW w:w="1939" w:type="dxa"/>
            <w:tcBorders>
              <w:top w:val="nil"/>
              <w:left w:val="nil"/>
              <w:bottom w:val="nil"/>
              <w:right w:val="nil"/>
            </w:tcBorders>
            <w:shd w:val="clear" w:color="auto" w:fill="auto"/>
            <w:noWrap/>
            <w:vAlign w:val="center"/>
            <w:hideMark/>
          </w:tcPr>
          <w:p w14:paraId="5F686A0A"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New Zealand</w:t>
            </w:r>
          </w:p>
        </w:tc>
        <w:tc>
          <w:tcPr>
            <w:tcW w:w="1180" w:type="dxa"/>
            <w:tcBorders>
              <w:top w:val="nil"/>
              <w:left w:val="nil"/>
              <w:bottom w:val="nil"/>
              <w:right w:val="nil"/>
            </w:tcBorders>
            <w:shd w:val="clear" w:color="auto" w:fill="auto"/>
            <w:noWrap/>
            <w:vAlign w:val="center"/>
            <w:hideMark/>
          </w:tcPr>
          <w:p w14:paraId="43B8F3C0"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2011</w:t>
            </w:r>
          </w:p>
        </w:tc>
        <w:tc>
          <w:tcPr>
            <w:tcW w:w="939" w:type="dxa"/>
            <w:tcBorders>
              <w:top w:val="nil"/>
              <w:left w:val="nil"/>
              <w:bottom w:val="nil"/>
              <w:right w:val="nil"/>
            </w:tcBorders>
            <w:shd w:val="clear" w:color="auto" w:fill="auto"/>
            <w:noWrap/>
            <w:vAlign w:val="center"/>
            <w:hideMark/>
          </w:tcPr>
          <w:p w14:paraId="296BD8BB"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Candidate</w:t>
            </w:r>
          </w:p>
        </w:tc>
        <w:tc>
          <w:tcPr>
            <w:tcW w:w="1672" w:type="dxa"/>
            <w:tcBorders>
              <w:top w:val="nil"/>
              <w:left w:val="nil"/>
              <w:bottom w:val="nil"/>
              <w:right w:val="nil"/>
            </w:tcBorders>
            <w:shd w:val="clear" w:color="auto" w:fill="auto"/>
            <w:noWrap/>
            <w:vAlign w:val="center"/>
            <w:hideMark/>
          </w:tcPr>
          <w:p w14:paraId="29663874"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National politics</w:t>
            </w:r>
          </w:p>
        </w:tc>
        <w:tc>
          <w:tcPr>
            <w:tcW w:w="934" w:type="dxa"/>
            <w:tcBorders>
              <w:top w:val="nil"/>
              <w:left w:val="nil"/>
              <w:bottom w:val="nil"/>
              <w:right w:val="nil"/>
            </w:tcBorders>
            <w:shd w:val="clear" w:color="auto" w:fill="auto"/>
            <w:noWrap/>
            <w:vAlign w:val="center"/>
            <w:hideMark/>
          </w:tcPr>
          <w:p w14:paraId="51908EA9"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Facebook and Twitter</w:t>
            </w:r>
          </w:p>
        </w:tc>
        <w:tc>
          <w:tcPr>
            <w:tcW w:w="2004" w:type="dxa"/>
            <w:tcBorders>
              <w:top w:val="nil"/>
              <w:left w:val="nil"/>
              <w:bottom w:val="nil"/>
              <w:right w:val="nil"/>
            </w:tcBorders>
            <w:shd w:val="clear" w:color="auto" w:fill="auto"/>
            <w:noWrap/>
            <w:vAlign w:val="center"/>
            <w:hideMark/>
          </w:tcPr>
          <w:p w14:paraId="31BDBF0A"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Social media and election predictability</w:t>
            </w:r>
          </w:p>
        </w:tc>
        <w:tc>
          <w:tcPr>
            <w:tcW w:w="1342" w:type="dxa"/>
            <w:tcBorders>
              <w:top w:val="nil"/>
              <w:left w:val="nil"/>
              <w:bottom w:val="nil"/>
              <w:right w:val="nil"/>
            </w:tcBorders>
            <w:shd w:val="clear" w:color="auto" w:fill="auto"/>
            <w:noWrap/>
            <w:vAlign w:val="center"/>
            <w:hideMark/>
          </w:tcPr>
          <w:p w14:paraId="5756ADB6"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1613" w:type="dxa"/>
            <w:tcBorders>
              <w:top w:val="nil"/>
              <w:left w:val="nil"/>
              <w:bottom w:val="nil"/>
              <w:right w:val="nil"/>
            </w:tcBorders>
            <w:shd w:val="clear" w:color="auto" w:fill="auto"/>
            <w:noWrap/>
            <w:vAlign w:val="center"/>
            <w:hideMark/>
          </w:tcPr>
          <w:p w14:paraId="3352F91B"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Content analysis</w:t>
            </w:r>
          </w:p>
        </w:tc>
        <w:tc>
          <w:tcPr>
            <w:tcW w:w="1482" w:type="dxa"/>
            <w:tcBorders>
              <w:top w:val="nil"/>
              <w:left w:val="nil"/>
              <w:bottom w:val="nil"/>
              <w:right w:val="nil"/>
            </w:tcBorders>
            <w:shd w:val="clear" w:color="auto" w:fill="auto"/>
            <w:noWrap/>
            <w:vAlign w:val="center"/>
            <w:hideMark/>
          </w:tcPr>
          <w:p w14:paraId="112B606C"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Candidates' Facebook and Twitter accounts</w:t>
            </w:r>
          </w:p>
        </w:tc>
        <w:tc>
          <w:tcPr>
            <w:tcW w:w="1009" w:type="dxa"/>
            <w:tcBorders>
              <w:top w:val="nil"/>
              <w:left w:val="nil"/>
              <w:bottom w:val="nil"/>
              <w:right w:val="nil"/>
            </w:tcBorders>
            <w:shd w:val="clear" w:color="auto" w:fill="auto"/>
            <w:noWrap/>
            <w:vAlign w:val="center"/>
            <w:hideMark/>
          </w:tcPr>
          <w:p w14:paraId="481EBA05"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451" w:type="dxa"/>
            <w:tcBorders>
              <w:top w:val="nil"/>
              <w:left w:val="nil"/>
              <w:bottom w:val="nil"/>
              <w:right w:val="nil"/>
            </w:tcBorders>
            <w:shd w:val="clear" w:color="auto" w:fill="auto"/>
            <w:noWrap/>
            <w:vAlign w:val="center"/>
            <w:hideMark/>
          </w:tcPr>
          <w:p w14:paraId="5DD320CA"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7470" w:type="dxa"/>
            <w:tcBorders>
              <w:top w:val="nil"/>
              <w:left w:val="nil"/>
              <w:bottom w:val="nil"/>
              <w:right w:val="nil"/>
            </w:tcBorders>
            <w:shd w:val="clear" w:color="auto" w:fill="auto"/>
            <w:vAlign w:val="center"/>
            <w:hideMark/>
          </w:tcPr>
          <w:p w14:paraId="079DD076"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The number of Facebook friends on election day and the change in the number of friends in the preceding months can predict an election’s outcome. However, the effect is minuscule, which means that social media presence may be impactful in very close races. Facebook predicted elections better than Twitter.</w:t>
            </w:r>
          </w:p>
        </w:tc>
      </w:tr>
      <w:tr w:rsidR="00996AE0" w:rsidRPr="00996AE0" w14:paraId="0C2EEEC4" w14:textId="77777777" w:rsidTr="009156CF">
        <w:trPr>
          <w:trHeight w:val="720"/>
        </w:trPr>
        <w:tc>
          <w:tcPr>
            <w:tcW w:w="1497" w:type="dxa"/>
            <w:tcBorders>
              <w:top w:val="nil"/>
              <w:left w:val="nil"/>
              <w:bottom w:val="nil"/>
              <w:right w:val="nil"/>
            </w:tcBorders>
            <w:shd w:val="clear" w:color="auto" w:fill="auto"/>
            <w:noWrap/>
            <w:vAlign w:val="center"/>
            <w:hideMark/>
          </w:tcPr>
          <w:p w14:paraId="22A6E87B" w14:textId="77777777" w:rsidR="00996AE0" w:rsidRPr="00996AE0" w:rsidRDefault="00996AE0" w:rsidP="009156CF">
            <w:pPr>
              <w:rPr>
                <w:rFonts w:ascii="Times New Roman" w:eastAsia="Times New Roman" w:hAnsi="Times New Roman" w:cs="Times New Roman"/>
                <w:b/>
                <w:bCs/>
                <w:color w:val="000000"/>
                <w:sz w:val="15"/>
                <w:szCs w:val="15"/>
              </w:rPr>
            </w:pPr>
            <w:r w:rsidRPr="00996AE0">
              <w:rPr>
                <w:rFonts w:ascii="Times New Roman" w:eastAsia="Times New Roman" w:hAnsi="Times New Roman" w:cs="Times New Roman"/>
                <w:b/>
                <w:bCs/>
                <w:color w:val="000000" w:themeColor="text1"/>
                <w:sz w:val="15"/>
                <w:szCs w:val="15"/>
                <w:lang w:val="en-US"/>
              </w:rPr>
              <w:lastRenderedPageBreak/>
              <w:t>Cogburn &amp; Espinoza-Vasquez, 2011</w:t>
            </w:r>
          </w:p>
        </w:tc>
        <w:tc>
          <w:tcPr>
            <w:tcW w:w="948" w:type="dxa"/>
            <w:tcBorders>
              <w:top w:val="nil"/>
              <w:left w:val="nil"/>
              <w:bottom w:val="nil"/>
              <w:right w:val="nil"/>
            </w:tcBorders>
            <w:shd w:val="clear" w:color="auto" w:fill="auto"/>
            <w:noWrap/>
            <w:vAlign w:val="center"/>
            <w:hideMark/>
          </w:tcPr>
          <w:p w14:paraId="78318E59"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2011</w:t>
            </w:r>
          </w:p>
        </w:tc>
        <w:tc>
          <w:tcPr>
            <w:tcW w:w="1939" w:type="dxa"/>
            <w:tcBorders>
              <w:top w:val="nil"/>
              <w:left w:val="nil"/>
              <w:bottom w:val="nil"/>
              <w:right w:val="nil"/>
            </w:tcBorders>
            <w:shd w:val="clear" w:color="auto" w:fill="auto"/>
            <w:noWrap/>
            <w:vAlign w:val="center"/>
            <w:hideMark/>
          </w:tcPr>
          <w:p w14:paraId="202EDA1B"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USA</w:t>
            </w:r>
          </w:p>
        </w:tc>
        <w:tc>
          <w:tcPr>
            <w:tcW w:w="1180" w:type="dxa"/>
            <w:tcBorders>
              <w:top w:val="nil"/>
              <w:left w:val="nil"/>
              <w:bottom w:val="nil"/>
              <w:right w:val="nil"/>
            </w:tcBorders>
            <w:shd w:val="clear" w:color="auto" w:fill="auto"/>
            <w:noWrap/>
            <w:vAlign w:val="center"/>
            <w:hideMark/>
          </w:tcPr>
          <w:p w14:paraId="4071F555"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2008</w:t>
            </w:r>
          </w:p>
        </w:tc>
        <w:tc>
          <w:tcPr>
            <w:tcW w:w="939" w:type="dxa"/>
            <w:tcBorders>
              <w:top w:val="nil"/>
              <w:left w:val="nil"/>
              <w:bottom w:val="nil"/>
              <w:right w:val="nil"/>
            </w:tcBorders>
            <w:shd w:val="clear" w:color="auto" w:fill="auto"/>
            <w:noWrap/>
            <w:vAlign w:val="center"/>
            <w:hideMark/>
          </w:tcPr>
          <w:p w14:paraId="6EDD8835"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Candidate</w:t>
            </w:r>
          </w:p>
        </w:tc>
        <w:tc>
          <w:tcPr>
            <w:tcW w:w="1672" w:type="dxa"/>
            <w:tcBorders>
              <w:top w:val="nil"/>
              <w:left w:val="nil"/>
              <w:bottom w:val="nil"/>
              <w:right w:val="nil"/>
            </w:tcBorders>
            <w:shd w:val="clear" w:color="auto" w:fill="auto"/>
            <w:noWrap/>
            <w:vAlign w:val="center"/>
            <w:hideMark/>
          </w:tcPr>
          <w:p w14:paraId="43BF3A49"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Presidential politics</w:t>
            </w:r>
          </w:p>
        </w:tc>
        <w:tc>
          <w:tcPr>
            <w:tcW w:w="934" w:type="dxa"/>
            <w:tcBorders>
              <w:top w:val="nil"/>
              <w:left w:val="nil"/>
              <w:bottom w:val="nil"/>
              <w:right w:val="nil"/>
            </w:tcBorders>
            <w:shd w:val="clear" w:color="auto" w:fill="auto"/>
            <w:noWrap/>
            <w:vAlign w:val="center"/>
            <w:hideMark/>
          </w:tcPr>
          <w:p w14:paraId="1A2BE50E"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General</w:t>
            </w:r>
          </w:p>
        </w:tc>
        <w:tc>
          <w:tcPr>
            <w:tcW w:w="2004" w:type="dxa"/>
            <w:tcBorders>
              <w:top w:val="nil"/>
              <w:left w:val="nil"/>
              <w:bottom w:val="nil"/>
              <w:right w:val="nil"/>
            </w:tcBorders>
            <w:shd w:val="clear" w:color="auto" w:fill="auto"/>
            <w:noWrap/>
            <w:vAlign w:val="center"/>
            <w:hideMark/>
          </w:tcPr>
          <w:p w14:paraId="20FEF818"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Web2.0, social movements, campaigning</w:t>
            </w:r>
          </w:p>
        </w:tc>
        <w:tc>
          <w:tcPr>
            <w:tcW w:w="1342" w:type="dxa"/>
            <w:tcBorders>
              <w:top w:val="nil"/>
              <w:left w:val="nil"/>
              <w:bottom w:val="nil"/>
              <w:right w:val="nil"/>
            </w:tcBorders>
            <w:shd w:val="clear" w:color="auto" w:fill="auto"/>
            <w:noWrap/>
            <w:vAlign w:val="center"/>
            <w:hideMark/>
          </w:tcPr>
          <w:p w14:paraId="7080786C"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1613" w:type="dxa"/>
            <w:tcBorders>
              <w:top w:val="nil"/>
              <w:left w:val="nil"/>
              <w:bottom w:val="nil"/>
              <w:right w:val="nil"/>
            </w:tcBorders>
            <w:shd w:val="clear" w:color="auto" w:fill="auto"/>
            <w:noWrap/>
            <w:vAlign w:val="center"/>
            <w:hideMark/>
          </w:tcPr>
          <w:p w14:paraId="0B98C0EC"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Case-study</w:t>
            </w:r>
          </w:p>
        </w:tc>
        <w:tc>
          <w:tcPr>
            <w:tcW w:w="1482" w:type="dxa"/>
            <w:tcBorders>
              <w:top w:val="nil"/>
              <w:left w:val="nil"/>
              <w:bottom w:val="nil"/>
              <w:right w:val="nil"/>
            </w:tcBorders>
            <w:shd w:val="clear" w:color="auto" w:fill="auto"/>
            <w:noWrap/>
            <w:vAlign w:val="center"/>
            <w:hideMark/>
          </w:tcPr>
          <w:p w14:paraId="7E2DD09B"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Secondary data</w:t>
            </w:r>
          </w:p>
        </w:tc>
        <w:tc>
          <w:tcPr>
            <w:tcW w:w="1009" w:type="dxa"/>
            <w:tcBorders>
              <w:top w:val="nil"/>
              <w:left w:val="nil"/>
              <w:bottom w:val="nil"/>
              <w:right w:val="nil"/>
            </w:tcBorders>
            <w:shd w:val="clear" w:color="auto" w:fill="auto"/>
            <w:noWrap/>
            <w:vAlign w:val="center"/>
            <w:hideMark/>
          </w:tcPr>
          <w:p w14:paraId="3EA8D753"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451" w:type="dxa"/>
            <w:tcBorders>
              <w:top w:val="nil"/>
              <w:left w:val="nil"/>
              <w:bottom w:val="nil"/>
              <w:right w:val="nil"/>
            </w:tcBorders>
            <w:shd w:val="clear" w:color="auto" w:fill="auto"/>
            <w:noWrap/>
            <w:vAlign w:val="center"/>
            <w:hideMark/>
          </w:tcPr>
          <w:p w14:paraId="6E595F4B"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7470" w:type="dxa"/>
            <w:tcBorders>
              <w:top w:val="nil"/>
              <w:left w:val="nil"/>
              <w:bottom w:val="nil"/>
              <w:right w:val="nil"/>
            </w:tcBorders>
            <w:shd w:val="clear" w:color="auto" w:fill="auto"/>
            <w:vAlign w:val="center"/>
            <w:hideMark/>
          </w:tcPr>
          <w:p w14:paraId="75A9BFC5"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Obama’s 2008 campaign relied on new media, with his website being the central feature. The campaign excelled at grassroots organization and mobilization using web 2.0 technologies. Facebook was used to organize, Twitter was used to send news, and YouTube was used to communicate with the voters. Emails were used for campaign donations.</w:t>
            </w:r>
          </w:p>
        </w:tc>
      </w:tr>
      <w:tr w:rsidR="00996AE0" w:rsidRPr="00996AE0" w14:paraId="0962B2EB" w14:textId="77777777" w:rsidTr="009156CF">
        <w:trPr>
          <w:trHeight w:val="540"/>
        </w:trPr>
        <w:tc>
          <w:tcPr>
            <w:tcW w:w="1497" w:type="dxa"/>
            <w:tcBorders>
              <w:top w:val="nil"/>
              <w:left w:val="nil"/>
              <w:bottom w:val="nil"/>
              <w:right w:val="nil"/>
            </w:tcBorders>
            <w:shd w:val="clear" w:color="auto" w:fill="auto"/>
            <w:noWrap/>
            <w:vAlign w:val="center"/>
            <w:hideMark/>
          </w:tcPr>
          <w:p w14:paraId="7F8A94F7" w14:textId="77777777" w:rsidR="00996AE0" w:rsidRPr="00996AE0" w:rsidRDefault="00996AE0" w:rsidP="009156CF">
            <w:pPr>
              <w:rPr>
                <w:rFonts w:ascii="Times New Roman" w:eastAsia="Times New Roman" w:hAnsi="Times New Roman" w:cs="Times New Roman"/>
                <w:b/>
                <w:bCs/>
                <w:color w:val="000000"/>
                <w:sz w:val="15"/>
                <w:szCs w:val="15"/>
              </w:rPr>
            </w:pPr>
            <w:r w:rsidRPr="00996AE0">
              <w:rPr>
                <w:rFonts w:ascii="Times New Roman" w:eastAsia="Times New Roman" w:hAnsi="Times New Roman" w:cs="Times New Roman"/>
                <w:b/>
                <w:bCs/>
                <w:color w:val="000000" w:themeColor="text1"/>
                <w:sz w:val="15"/>
                <w:szCs w:val="15"/>
                <w:lang w:val="en-US"/>
              </w:rPr>
              <w:t>Colliander et al., 2017</w:t>
            </w:r>
          </w:p>
        </w:tc>
        <w:tc>
          <w:tcPr>
            <w:tcW w:w="948" w:type="dxa"/>
            <w:tcBorders>
              <w:top w:val="nil"/>
              <w:left w:val="nil"/>
              <w:bottom w:val="nil"/>
              <w:right w:val="nil"/>
            </w:tcBorders>
            <w:shd w:val="clear" w:color="auto" w:fill="auto"/>
            <w:noWrap/>
            <w:vAlign w:val="center"/>
            <w:hideMark/>
          </w:tcPr>
          <w:p w14:paraId="0281B7AD"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2017</w:t>
            </w:r>
          </w:p>
        </w:tc>
        <w:tc>
          <w:tcPr>
            <w:tcW w:w="1939" w:type="dxa"/>
            <w:tcBorders>
              <w:top w:val="nil"/>
              <w:left w:val="nil"/>
              <w:bottom w:val="nil"/>
              <w:right w:val="nil"/>
            </w:tcBorders>
            <w:shd w:val="clear" w:color="auto" w:fill="auto"/>
            <w:noWrap/>
            <w:vAlign w:val="center"/>
            <w:hideMark/>
          </w:tcPr>
          <w:p w14:paraId="457029B6"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Sweden</w:t>
            </w:r>
          </w:p>
        </w:tc>
        <w:tc>
          <w:tcPr>
            <w:tcW w:w="1180" w:type="dxa"/>
            <w:tcBorders>
              <w:top w:val="nil"/>
              <w:left w:val="nil"/>
              <w:bottom w:val="nil"/>
              <w:right w:val="nil"/>
            </w:tcBorders>
            <w:shd w:val="clear" w:color="auto" w:fill="auto"/>
            <w:noWrap/>
            <w:vAlign w:val="center"/>
            <w:hideMark/>
          </w:tcPr>
          <w:p w14:paraId="7AFCF7FE"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N/A</w:t>
            </w:r>
          </w:p>
        </w:tc>
        <w:tc>
          <w:tcPr>
            <w:tcW w:w="939" w:type="dxa"/>
            <w:tcBorders>
              <w:top w:val="nil"/>
              <w:left w:val="nil"/>
              <w:bottom w:val="nil"/>
              <w:right w:val="nil"/>
            </w:tcBorders>
            <w:shd w:val="clear" w:color="auto" w:fill="auto"/>
            <w:noWrap/>
            <w:vAlign w:val="center"/>
            <w:hideMark/>
          </w:tcPr>
          <w:p w14:paraId="55C2CA0D"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Candidate and party</w:t>
            </w:r>
          </w:p>
        </w:tc>
        <w:tc>
          <w:tcPr>
            <w:tcW w:w="1672" w:type="dxa"/>
            <w:tcBorders>
              <w:top w:val="nil"/>
              <w:left w:val="nil"/>
              <w:bottom w:val="nil"/>
              <w:right w:val="nil"/>
            </w:tcBorders>
            <w:shd w:val="clear" w:color="auto" w:fill="auto"/>
            <w:noWrap/>
            <w:vAlign w:val="center"/>
            <w:hideMark/>
          </w:tcPr>
          <w:p w14:paraId="2CCE3B73"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Parliamentary politics</w:t>
            </w:r>
          </w:p>
        </w:tc>
        <w:tc>
          <w:tcPr>
            <w:tcW w:w="934" w:type="dxa"/>
            <w:tcBorders>
              <w:top w:val="nil"/>
              <w:left w:val="nil"/>
              <w:bottom w:val="nil"/>
              <w:right w:val="nil"/>
            </w:tcBorders>
            <w:shd w:val="clear" w:color="auto" w:fill="auto"/>
            <w:noWrap/>
            <w:vAlign w:val="center"/>
            <w:hideMark/>
          </w:tcPr>
          <w:p w14:paraId="7ECB85BD"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Twitter</w:t>
            </w:r>
          </w:p>
        </w:tc>
        <w:tc>
          <w:tcPr>
            <w:tcW w:w="2004" w:type="dxa"/>
            <w:tcBorders>
              <w:top w:val="nil"/>
              <w:left w:val="nil"/>
              <w:bottom w:val="nil"/>
              <w:right w:val="nil"/>
            </w:tcBorders>
            <w:shd w:val="clear" w:color="auto" w:fill="auto"/>
            <w:noWrap/>
            <w:vAlign w:val="center"/>
            <w:hideMark/>
          </w:tcPr>
          <w:p w14:paraId="60D69121"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Self-presentation</w:t>
            </w:r>
          </w:p>
        </w:tc>
        <w:tc>
          <w:tcPr>
            <w:tcW w:w="1342" w:type="dxa"/>
            <w:tcBorders>
              <w:top w:val="nil"/>
              <w:left w:val="nil"/>
              <w:bottom w:val="nil"/>
              <w:right w:val="nil"/>
            </w:tcBorders>
            <w:shd w:val="clear" w:color="auto" w:fill="auto"/>
            <w:noWrap/>
            <w:vAlign w:val="center"/>
            <w:hideMark/>
          </w:tcPr>
          <w:p w14:paraId="228A875E"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1613" w:type="dxa"/>
            <w:tcBorders>
              <w:top w:val="nil"/>
              <w:left w:val="nil"/>
              <w:bottom w:val="nil"/>
              <w:right w:val="nil"/>
            </w:tcBorders>
            <w:shd w:val="clear" w:color="auto" w:fill="auto"/>
            <w:noWrap/>
            <w:vAlign w:val="center"/>
            <w:hideMark/>
          </w:tcPr>
          <w:p w14:paraId="3777D599"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Experiment</w:t>
            </w:r>
          </w:p>
        </w:tc>
        <w:tc>
          <w:tcPr>
            <w:tcW w:w="1482" w:type="dxa"/>
            <w:tcBorders>
              <w:top w:val="nil"/>
              <w:left w:val="nil"/>
              <w:bottom w:val="nil"/>
              <w:right w:val="nil"/>
            </w:tcBorders>
            <w:shd w:val="clear" w:color="auto" w:fill="auto"/>
            <w:noWrap/>
            <w:vAlign w:val="center"/>
            <w:hideMark/>
          </w:tcPr>
          <w:p w14:paraId="0B4A2E1F"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Voters</w:t>
            </w:r>
          </w:p>
        </w:tc>
        <w:tc>
          <w:tcPr>
            <w:tcW w:w="1009" w:type="dxa"/>
            <w:tcBorders>
              <w:top w:val="nil"/>
              <w:left w:val="nil"/>
              <w:bottom w:val="nil"/>
              <w:right w:val="nil"/>
            </w:tcBorders>
            <w:shd w:val="clear" w:color="auto" w:fill="auto"/>
            <w:noWrap/>
            <w:vAlign w:val="center"/>
            <w:hideMark/>
          </w:tcPr>
          <w:p w14:paraId="37D7FF14"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451" w:type="dxa"/>
            <w:tcBorders>
              <w:top w:val="nil"/>
              <w:left w:val="nil"/>
              <w:bottom w:val="nil"/>
              <w:right w:val="nil"/>
            </w:tcBorders>
            <w:shd w:val="clear" w:color="auto" w:fill="auto"/>
            <w:noWrap/>
            <w:vAlign w:val="center"/>
            <w:hideMark/>
          </w:tcPr>
          <w:p w14:paraId="7461755C"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7470" w:type="dxa"/>
            <w:tcBorders>
              <w:top w:val="nil"/>
              <w:left w:val="nil"/>
              <w:bottom w:val="nil"/>
              <w:right w:val="nil"/>
            </w:tcBorders>
            <w:shd w:val="clear" w:color="auto" w:fill="auto"/>
            <w:vAlign w:val="center"/>
            <w:hideMark/>
          </w:tcPr>
          <w:p w14:paraId="59E0351E"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A within-tweet balancing strategy (front and backstage) is better on Twitter. The strategy leads to positive outcomes for the party. Politicians should add a personal touch to their professional communications.</w:t>
            </w:r>
          </w:p>
        </w:tc>
      </w:tr>
      <w:tr w:rsidR="00996AE0" w:rsidRPr="00996AE0" w14:paraId="16651164" w14:textId="77777777" w:rsidTr="009156CF">
        <w:trPr>
          <w:trHeight w:val="960"/>
        </w:trPr>
        <w:tc>
          <w:tcPr>
            <w:tcW w:w="1497" w:type="dxa"/>
            <w:tcBorders>
              <w:top w:val="nil"/>
              <w:left w:val="nil"/>
              <w:bottom w:val="nil"/>
              <w:right w:val="nil"/>
            </w:tcBorders>
            <w:shd w:val="clear" w:color="auto" w:fill="auto"/>
            <w:noWrap/>
            <w:vAlign w:val="center"/>
            <w:hideMark/>
          </w:tcPr>
          <w:p w14:paraId="2A768DE1" w14:textId="77777777" w:rsidR="00996AE0" w:rsidRPr="00996AE0" w:rsidRDefault="00996AE0" w:rsidP="009156CF">
            <w:pPr>
              <w:rPr>
                <w:rFonts w:ascii="Times New Roman" w:eastAsia="Times New Roman" w:hAnsi="Times New Roman" w:cs="Times New Roman"/>
                <w:b/>
                <w:bCs/>
                <w:color w:val="000000"/>
                <w:sz w:val="15"/>
                <w:szCs w:val="15"/>
              </w:rPr>
            </w:pPr>
            <w:r w:rsidRPr="00996AE0">
              <w:rPr>
                <w:rFonts w:ascii="Times New Roman" w:eastAsia="Times New Roman" w:hAnsi="Times New Roman" w:cs="Times New Roman"/>
                <w:b/>
                <w:bCs/>
                <w:color w:val="000000" w:themeColor="text1"/>
                <w:sz w:val="15"/>
                <w:szCs w:val="15"/>
                <w:lang w:val="en-US"/>
              </w:rPr>
              <w:t>Cornfield, 2017</w:t>
            </w:r>
          </w:p>
        </w:tc>
        <w:tc>
          <w:tcPr>
            <w:tcW w:w="948" w:type="dxa"/>
            <w:tcBorders>
              <w:top w:val="nil"/>
              <w:left w:val="nil"/>
              <w:bottom w:val="nil"/>
              <w:right w:val="nil"/>
            </w:tcBorders>
            <w:shd w:val="clear" w:color="auto" w:fill="auto"/>
            <w:noWrap/>
            <w:vAlign w:val="center"/>
            <w:hideMark/>
          </w:tcPr>
          <w:p w14:paraId="212DC689"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2017</w:t>
            </w:r>
          </w:p>
        </w:tc>
        <w:tc>
          <w:tcPr>
            <w:tcW w:w="1939" w:type="dxa"/>
            <w:tcBorders>
              <w:top w:val="nil"/>
              <w:left w:val="nil"/>
              <w:bottom w:val="nil"/>
              <w:right w:val="nil"/>
            </w:tcBorders>
            <w:shd w:val="clear" w:color="auto" w:fill="auto"/>
            <w:noWrap/>
            <w:vAlign w:val="center"/>
            <w:hideMark/>
          </w:tcPr>
          <w:p w14:paraId="7426286B"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USA</w:t>
            </w:r>
          </w:p>
        </w:tc>
        <w:tc>
          <w:tcPr>
            <w:tcW w:w="1180" w:type="dxa"/>
            <w:tcBorders>
              <w:top w:val="nil"/>
              <w:left w:val="nil"/>
              <w:bottom w:val="nil"/>
              <w:right w:val="nil"/>
            </w:tcBorders>
            <w:shd w:val="clear" w:color="auto" w:fill="auto"/>
            <w:noWrap/>
            <w:vAlign w:val="center"/>
            <w:hideMark/>
          </w:tcPr>
          <w:p w14:paraId="76E988FA"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2016</w:t>
            </w:r>
          </w:p>
        </w:tc>
        <w:tc>
          <w:tcPr>
            <w:tcW w:w="939" w:type="dxa"/>
            <w:tcBorders>
              <w:top w:val="nil"/>
              <w:left w:val="nil"/>
              <w:bottom w:val="nil"/>
              <w:right w:val="nil"/>
            </w:tcBorders>
            <w:shd w:val="clear" w:color="auto" w:fill="auto"/>
            <w:noWrap/>
            <w:vAlign w:val="center"/>
            <w:hideMark/>
          </w:tcPr>
          <w:p w14:paraId="7838E59D"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 xml:space="preserve">Candidate </w:t>
            </w:r>
          </w:p>
        </w:tc>
        <w:tc>
          <w:tcPr>
            <w:tcW w:w="1672" w:type="dxa"/>
            <w:tcBorders>
              <w:top w:val="nil"/>
              <w:left w:val="nil"/>
              <w:bottom w:val="nil"/>
              <w:right w:val="nil"/>
            </w:tcBorders>
            <w:shd w:val="clear" w:color="auto" w:fill="auto"/>
            <w:noWrap/>
            <w:vAlign w:val="center"/>
            <w:hideMark/>
          </w:tcPr>
          <w:p w14:paraId="39CDAF8C"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Presidential politics (preprimaries)</w:t>
            </w:r>
          </w:p>
        </w:tc>
        <w:tc>
          <w:tcPr>
            <w:tcW w:w="934" w:type="dxa"/>
            <w:tcBorders>
              <w:top w:val="nil"/>
              <w:left w:val="nil"/>
              <w:bottom w:val="nil"/>
              <w:right w:val="nil"/>
            </w:tcBorders>
            <w:shd w:val="clear" w:color="auto" w:fill="auto"/>
            <w:noWrap/>
            <w:vAlign w:val="center"/>
            <w:hideMark/>
          </w:tcPr>
          <w:p w14:paraId="22D45CE9"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Twitter</w:t>
            </w:r>
          </w:p>
        </w:tc>
        <w:tc>
          <w:tcPr>
            <w:tcW w:w="2004" w:type="dxa"/>
            <w:tcBorders>
              <w:top w:val="nil"/>
              <w:left w:val="nil"/>
              <w:bottom w:val="nil"/>
              <w:right w:val="nil"/>
            </w:tcBorders>
            <w:shd w:val="clear" w:color="auto" w:fill="auto"/>
            <w:noWrap/>
            <w:vAlign w:val="center"/>
            <w:hideMark/>
          </w:tcPr>
          <w:p w14:paraId="47FD2252"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Debates and 2016</w:t>
            </w:r>
          </w:p>
        </w:tc>
        <w:tc>
          <w:tcPr>
            <w:tcW w:w="1342" w:type="dxa"/>
            <w:tcBorders>
              <w:top w:val="nil"/>
              <w:left w:val="nil"/>
              <w:bottom w:val="nil"/>
              <w:right w:val="nil"/>
            </w:tcBorders>
            <w:shd w:val="clear" w:color="auto" w:fill="auto"/>
            <w:noWrap/>
            <w:vAlign w:val="center"/>
            <w:hideMark/>
          </w:tcPr>
          <w:p w14:paraId="551A8F29"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1613" w:type="dxa"/>
            <w:tcBorders>
              <w:top w:val="nil"/>
              <w:left w:val="nil"/>
              <w:bottom w:val="nil"/>
              <w:right w:val="nil"/>
            </w:tcBorders>
            <w:shd w:val="clear" w:color="auto" w:fill="auto"/>
            <w:noWrap/>
            <w:vAlign w:val="center"/>
            <w:hideMark/>
          </w:tcPr>
          <w:p w14:paraId="76F2FCE5"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Content analysis (mixed-method)</w:t>
            </w:r>
          </w:p>
        </w:tc>
        <w:tc>
          <w:tcPr>
            <w:tcW w:w="1482" w:type="dxa"/>
            <w:tcBorders>
              <w:top w:val="nil"/>
              <w:left w:val="nil"/>
              <w:bottom w:val="nil"/>
              <w:right w:val="nil"/>
            </w:tcBorders>
            <w:shd w:val="clear" w:color="auto" w:fill="auto"/>
            <w:noWrap/>
            <w:vAlign w:val="center"/>
            <w:hideMark/>
          </w:tcPr>
          <w:p w14:paraId="62DCD7B3"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Candidates' Twitter and debates</w:t>
            </w:r>
          </w:p>
        </w:tc>
        <w:tc>
          <w:tcPr>
            <w:tcW w:w="1009" w:type="dxa"/>
            <w:tcBorders>
              <w:top w:val="nil"/>
              <w:left w:val="nil"/>
              <w:bottom w:val="nil"/>
              <w:right w:val="nil"/>
            </w:tcBorders>
            <w:shd w:val="clear" w:color="auto" w:fill="auto"/>
            <w:noWrap/>
            <w:vAlign w:val="center"/>
            <w:hideMark/>
          </w:tcPr>
          <w:p w14:paraId="4D4BC744"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451" w:type="dxa"/>
            <w:tcBorders>
              <w:top w:val="nil"/>
              <w:left w:val="nil"/>
              <w:bottom w:val="nil"/>
              <w:right w:val="nil"/>
            </w:tcBorders>
            <w:shd w:val="clear" w:color="auto" w:fill="auto"/>
            <w:noWrap/>
            <w:vAlign w:val="center"/>
            <w:hideMark/>
          </w:tcPr>
          <w:p w14:paraId="6F28625A"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7470" w:type="dxa"/>
            <w:tcBorders>
              <w:top w:val="nil"/>
              <w:left w:val="nil"/>
              <w:bottom w:val="nil"/>
              <w:right w:val="nil"/>
            </w:tcBorders>
            <w:shd w:val="clear" w:color="auto" w:fill="auto"/>
            <w:vAlign w:val="center"/>
            <w:hideMark/>
          </w:tcPr>
          <w:p w14:paraId="7B52110D"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The study shows that around debates (or campaign events), the political marketplace (or use of) of keywords increases. The use of these rhetorical keywords helps define the context of the event. The more users tweet these keywords, the favorable it is for the candidate utilizing them. This worked in Trump’s favor, helping him bypass party elites. Trump’s strategy included: celebrity feuding, callouts to legacy media allies, retweeting fan comments, a blunt vernacular, and confrontational branding.</w:t>
            </w:r>
          </w:p>
        </w:tc>
      </w:tr>
      <w:tr w:rsidR="00996AE0" w:rsidRPr="00996AE0" w14:paraId="5CEDFD9D" w14:textId="77777777" w:rsidTr="009156CF">
        <w:trPr>
          <w:trHeight w:val="980"/>
        </w:trPr>
        <w:tc>
          <w:tcPr>
            <w:tcW w:w="1497" w:type="dxa"/>
            <w:tcBorders>
              <w:top w:val="nil"/>
              <w:left w:val="nil"/>
              <w:bottom w:val="nil"/>
              <w:right w:val="nil"/>
            </w:tcBorders>
            <w:shd w:val="clear" w:color="auto" w:fill="auto"/>
            <w:noWrap/>
            <w:vAlign w:val="center"/>
            <w:hideMark/>
          </w:tcPr>
          <w:p w14:paraId="3E58F1EF" w14:textId="77777777" w:rsidR="00996AE0" w:rsidRPr="00996AE0" w:rsidRDefault="00996AE0" w:rsidP="009156CF">
            <w:pPr>
              <w:rPr>
                <w:rFonts w:ascii="Times New Roman" w:eastAsia="Times New Roman" w:hAnsi="Times New Roman" w:cs="Times New Roman"/>
                <w:b/>
                <w:bCs/>
                <w:color w:val="000000"/>
                <w:sz w:val="15"/>
                <w:szCs w:val="15"/>
              </w:rPr>
            </w:pPr>
            <w:r w:rsidRPr="00996AE0">
              <w:rPr>
                <w:rFonts w:ascii="Times New Roman" w:eastAsia="Times New Roman" w:hAnsi="Times New Roman" w:cs="Times New Roman"/>
                <w:b/>
                <w:bCs/>
                <w:color w:val="000000" w:themeColor="text1"/>
                <w:sz w:val="15"/>
                <w:szCs w:val="15"/>
                <w:lang w:val="en-US"/>
              </w:rPr>
              <w:t>Dimitrova &amp; Bystrom, 2017</w:t>
            </w:r>
          </w:p>
        </w:tc>
        <w:tc>
          <w:tcPr>
            <w:tcW w:w="948" w:type="dxa"/>
            <w:tcBorders>
              <w:top w:val="nil"/>
              <w:left w:val="nil"/>
              <w:bottom w:val="nil"/>
              <w:right w:val="nil"/>
            </w:tcBorders>
            <w:shd w:val="clear" w:color="auto" w:fill="auto"/>
            <w:noWrap/>
            <w:vAlign w:val="center"/>
            <w:hideMark/>
          </w:tcPr>
          <w:p w14:paraId="75463809"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2017</w:t>
            </w:r>
          </w:p>
        </w:tc>
        <w:tc>
          <w:tcPr>
            <w:tcW w:w="1939" w:type="dxa"/>
            <w:tcBorders>
              <w:top w:val="nil"/>
              <w:left w:val="nil"/>
              <w:bottom w:val="nil"/>
              <w:right w:val="nil"/>
            </w:tcBorders>
            <w:shd w:val="clear" w:color="auto" w:fill="auto"/>
            <w:noWrap/>
            <w:vAlign w:val="center"/>
            <w:hideMark/>
          </w:tcPr>
          <w:p w14:paraId="21E0A5C9"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USA</w:t>
            </w:r>
          </w:p>
        </w:tc>
        <w:tc>
          <w:tcPr>
            <w:tcW w:w="1180" w:type="dxa"/>
            <w:tcBorders>
              <w:top w:val="nil"/>
              <w:left w:val="nil"/>
              <w:bottom w:val="nil"/>
              <w:right w:val="nil"/>
            </w:tcBorders>
            <w:shd w:val="clear" w:color="auto" w:fill="auto"/>
            <w:noWrap/>
            <w:vAlign w:val="center"/>
            <w:hideMark/>
          </w:tcPr>
          <w:p w14:paraId="4244D4E1"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2016</w:t>
            </w:r>
          </w:p>
        </w:tc>
        <w:tc>
          <w:tcPr>
            <w:tcW w:w="939" w:type="dxa"/>
            <w:tcBorders>
              <w:top w:val="nil"/>
              <w:left w:val="nil"/>
              <w:bottom w:val="nil"/>
              <w:right w:val="nil"/>
            </w:tcBorders>
            <w:shd w:val="clear" w:color="auto" w:fill="auto"/>
            <w:noWrap/>
            <w:vAlign w:val="center"/>
            <w:hideMark/>
          </w:tcPr>
          <w:p w14:paraId="65A792CE"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N/A</w:t>
            </w:r>
          </w:p>
        </w:tc>
        <w:tc>
          <w:tcPr>
            <w:tcW w:w="1672" w:type="dxa"/>
            <w:tcBorders>
              <w:top w:val="nil"/>
              <w:left w:val="nil"/>
              <w:bottom w:val="nil"/>
              <w:right w:val="nil"/>
            </w:tcBorders>
            <w:shd w:val="clear" w:color="auto" w:fill="auto"/>
            <w:noWrap/>
            <w:vAlign w:val="center"/>
            <w:hideMark/>
          </w:tcPr>
          <w:p w14:paraId="68B7C538"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Presidential politics (primaries)</w:t>
            </w:r>
          </w:p>
        </w:tc>
        <w:tc>
          <w:tcPr>
            <w:tcW w:w="934" w:type="dxa"/>
            <w:tcBorders>
              <w:top w:val="nil"/>
              <w:left w:val="nil"/>
              <w:bottom w:val="nil"/>
              <w:right w:val="nil"/>
            </w:tcBorders>
            <w:shd w:val="clear" w:color="auto" w:fill="auto"/>
            <w:noWrap/>
            <w:vAlign w:val="center"/>
            <w:hideMark/>
          </w:tcPr>
          <w:p w14:paraId="6D15F41F"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General</w:t>
            </w:r>
          </w:p>
        </w:tc>
        <w:tc>
          <w:tcPr>
            <w:tcW w:w="2004" w:type="dxa"/>
            <w:tcBorders>
              <w:top w:val="nil"/>
              <w:left w:val="nil"/>
              <w:bottom w:val="nil"/>
              <w:right w:val="nil"/>
            </w:tcBorders>
            <w:shd w:val="clear" w:color="auto" w:fill="auto"/>
            <w:noWrap/>
            <w:vAlign w:val="center"/>
            <w:hideMark/>
          </w:tcPr>
          <w:p w14:paraId="7E432FFC"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Communication channels, political engagement</w:t>
            </w:r>
          </w:p>
        </w:tc>
        <w:tc>
          <w:tcPr>
            <w:tcW w:w="1342" w:type="dxa"/>
            <w:tcBorders>
              <w:top w:val="nil"/>
              <w:left w:val="nil"/>
              <w:bottom w:val="nil"/>
              <w:right w:val="nil"/>
            </w:tcBorders>
            <w:shd w:val="clear" w:color="auto" w:fill="auto"/>
            <w:noWrap/>
            <w:vAlign w:val="center"/>
            <w:hideMark/>
          </w:tcPr>
          <w:p w14:paraId="7294D7F2"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1613" w:type="dxa"/>
            <w:tcBorders>
              <w:top w:val="nil"/>
              <w:left w:val="nil"/>
              <w:bottom w:val="nil"/>
              <w:right w:val="nil"/>
            </w:tcBorders>
            <w:shd w:val="clear" w:color="auto" w:fill="auto"/>
            <w:noWrap/>
            <w:vAlign w:val="center"/>
            <w:hideMark/>
          </w:tcPr>
          <w:p w14:paraId="532D536D"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Survey</w:t>
            </w:r>
          </w:p>
        </w:tc>
        <w:tc>
          <w:tcPr>
            <w:tcW w:w="1482" w:type="dxa"/>
            <w:tcBorders>
              <w:top w:val="nil"/>
              <w:left w:val="nil"/>
              <w:bottom w:val="nil"/>
              <w:right w:val="nil"/>
            </w:tcBorders>
            <w:shd w:val="clear" w:color="auto" w:fill="auto"/>
            <w:noWrap/>
            <w:vAlign w:val="center"/>
            <w:hideMark/>
          </w:tcPr>
          <w:p w14:paraId="0CE667D3"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Voters</w:t>
            </w:r>
          </w:p>
        </w:tc>
        <w:tc>
          <w:tcPr>
            <w:tcW w:w="1009" w:type="dxa"/>
            <w:tcBorders>
              <w:top w:val="nil"/>
              <w:left w:val="nil"/>
              <w:bottom w:val="nil"/>
              <w:right w:val="nil"/>
            </w:tcBorders>
            <w:shd w:val="clear" w:color="auto" w:fill="auto"/>
            <w:noWrap/>
            <w:vAlign w:val="center"/>
            <w:hideMark/>
          </w:tcPr>
          <w:p w14:paraId="7E29BA5A"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451" w:type="dxa"/>
            <w:tcBorders>
              <w:top w:val="nil"/>
              <w:left w:val="nil"/>
              <w:bottom w:val="nil"/>
              <w:right w:val="nil"/>
            </w:tcBorders>
            <w:shd w:val="clear" w:color="auto" w:fill="auto"/>
            <w:noWrap/>
            <w:vAlign w:val="center"/>
            <w:hideMark/>
          </w:tcPr>
          <w:p w14:paraId="21DF1173"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7470" w:type="dxa"/>
            <w:tcBorders>
              <w:top w:val="nil"/>
              <w:left w:val="nil"/>
              <w:bottom w:val="nil"/>
              <w:right w:val="nil"/>
            </w:tcBorders>
            <w:shd w:val="clear" w:color="auto" w:fill="auto"/>
            <w:vAlign w:val="center"/>
            <w:hideMark/>
          </w:tcPr>
          <w:p w14:paraId="05AD1AE9"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Visiting candidate websites and following candidates on social media had a negative impact on attendance in Iowa Caucus, whereas liking/sharing political content was positively related to attendance. Posting comments had no effect. Therefore, active and passive social media usage have different impacts. Age, attention to the campaign, cable news, and local TV news had a positive effect, whereas late-night comedy, radio, and posting political comments were negatively related to the attendance.</w:t>
            </w:r>
          </w:p>
        </w:tc>
      </w:tr>
      <w:tr w:rsidR="00996AE0" w:rsidRPr="00996AE0" w14:paraId="27BC6537" w14:textId="77777777" w:rsidTr="009156CF">
        <w:trPr>
          <w:trHeight w:val="740"/>
        </w:trPr>
        <w:tc>
          <w:tcPr>
            <w:tcW w:w="1497" w:type="dxa"/>
            <w:tcBorders>
              <w:top w:val="nil"/>
              <w:left w:val="nil"/>
              <w:bottom w:val="nil"/>
              <w:right w:val="nil"/>
            </w:tcBorders>
            <w:shd w:val="clear" w:color="auto" w:fill="auto"/>
            <w:noWrap/>
            <w:vAlign w:val="center"/>
            <w:hideMark/>
          </w:tcPr>
          <w:p w14:paraId="312746E1" w14:textId="77777777" w:rsidR="00996AE0" w:rsidRPr="00996AE0" w:rsidRDefault="00996AE0" w:rsidP="009156CF">
            <w:pPr>
              <w:rPr>
                <w:rFonts w:ascii="Times New Roman" w:eastAsia="Times New Roman" w:hAnsi="Times New Roman" w:cs="Times New Roman"/>
                <w:b/>
                <w:bCs/>
                <w:color w:val="000000"/>
                <w:sz w:val="15"/>
                <w:szCs w:val="15"/>
              </w:rPr>
            </w:pPr>
            <w:r w:rsidRPr="00996AE0">
              <w:rPr>
                <w:rFonts w:ascii="Times New Roman" w:eastAsia="Times New Roman" w:hAnsi="Times New Roman" w:cs="Times New Roman"/>
                <w:b/>
                <w:bCs/>
                <w:color w:val="000000" w:themeColor="text1"/>
                <w:sz w:val="15"/>
                <w:szCs w:val="15"/>
                <w:lang w:val="en-US"/>
              </w:rPr>
              <w:t>Elder &amp; Phillips, 2017</w:t>
            </w:r>
          </w:p>
        </w:tc>
        <w:tc>
          <w:tcPr>
            <w:tcW w:w="948" w:type="dxa"/>
            <w:tcBorders>
              <w:top w:val="nil"/>
              <w:left w:val="nil"/>
              <w:bottom w:val="nil"/>
              <w:right w:val="nil"/>
            </w:tcBorders>
            <w:shd w:val="clear" w:color="auto" w:fill="auto"/>
            <w:noWrap/>
            <w:vAlign w:val="center"/>
            <w:hideMark/>
          </w:tcPr>
          <w:p w14:paraId="4AD6ED38"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2017</w:t>
            </w:r>
          </w:p>
        </w:tc>
        <w:tc>
          <w:tcPr>
            <w:tcW w:w="1939" w:type="dxa"/>
            <w:tcBorders>
              <w:top w:val="nil"/>
              <w:left w:val="nil"/>
              <w:bottom w:val="nil"/>
              <w:right w:val="nil"/>
            </w:tcBorders>
            <w:shd w:val="clear" w:color="auto" w:fill="auto"/>
            <w:noWrap/>
            <w:vAlign w:val="center"/>
            <w:hideMark/>
          </w:tcPr>
          <w:p w14:paraId="32576220"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USA</w:t>
            </w:r>
          </w:p>
        </w:tc>
        <w:tc>
          <w:tcPr>
            <w:tcW w:w="1180" w:type="dxa"/>
            <w:tcBorders>
              <w:top w:val="nil"/>
              <w:left w:val="nil"/>
              <w:bottom w:val="nil"/>
              <w:right w:val="nil"/>
            </w:tcBorders>
            <w:shd w:val="clear" w:color="auto" w:fill="auto"/>
            <w:noWrap/>
            <w:vAlign w:val="center"/>
            <w:hideMark/>
          </w:tcPr>
          <w:p w14:paraId="5D5C24DD"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2016</w:t>
            </w:r>
          </w:p>
        </w:tc>
        <w:tc>
          <w:tcPr>
            <w:tcW w:w="939" w:type="dxa"/>
            <w:tcBorders>
              <w:top w:val="nil"/>
              <w:left w:val="nil"/>
              <w:bottom w:val="nil"/>
              <w:right w:val="nil"/>
            </w:tcBorders>
            <w:shd w:val="clear" w:color="auto" w:fill="auto"/>
            <w:noWrap/>
            <w:vAlign w:val="center"/>
            <w:hideMark/>
          </w:tcPr>
          <w:p w14:paraId="32FF17D0"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Candidate</w:t>
            </w:r>
          </w:p>
        </w:tc>
        <w:tc>
          <w:tcPr>
            <w:tcW w:w="1672" w:type="dxa"/>
            <w:tcBorders>
              <w:top w:val="nil"/>
              <w:left w:val="nil"/>
              <w:bottom w:val="nil"/>
              <w:right w:val="nil"/>
            </w:tcBorders>
            <w:shd w:val="clear" w:color="auto" w:fill="auto"/>
            <w:noWrap/>
            <w:vAlign w:val="center"/>
            <w:hideMark/>
          </w:tcPr>
          <w:p w14:paraId="7F41651E"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Presidential politics</w:t>
            </w:r>
          </w:p>
        </w:tc>
        <w:tc>
          <w:tcPr>
            <w:tcW w:w="934" w:type="dxa"/>
            <w:tcBorders>
              <w:top w:val="nil"/>
              <w:left w:val="nil"/>
              <w:bottom w:val="nil"/>
              <w:right w:val="nil"/>
            </w:tcBorders>
            <w:shd w:val="clear" w:color="auto" w:fill="auto"/>
            <w:noWrap/>
            <w:vAlign w:val="center"/>
            <w:hideMark/>
          </w:tcPr>
          <w:p w14:paraId="0AD138F2"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Facebook</w:t>
            </w:r>
          </w:p>
        </w:tc>
        <w:tc>
          <w:tcPr>
            <w:tcW w:w="2004" w:type="dxa"/>
            <w:tcBorders>
              <w:top w:val="nil"/>
              <w:left w:val="nil"/>
              <w:bottom w:val="nil"/>
              <w:right w:val="nil"/>
            </w:tcBorders>
            <w:shd w:val="clear" w:color="auto" w:fill="auto"/>
            <w:noWrap/>
            <w:vAlign w:val="center"/>
            <w:hideMark/>
          </w:tcPr>
          <w:p w14:paraId="178257EF"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Targeted political communication</w:t>
            </w:r>
          </w:p>
        </w:tc>
        <w:tc>
          <w:tcPr>
            <w:tcW w:w="1342" w:type="dxa"/>
            <w:tcBorders>
              <w:top w:val="nil"/>
              <w:left w:val="nil"/>
              <w:bottom w:val="nil"/>
              <w:right w:val="nil"/>
            </w:tcBorders>
            <w:shd w:val="clear" w:color="auto" w:fill="auto"/>
            <w:noWrap/>
            <w:vAlign w:val="center"/>
            <w:hideMark/>
          </w:tcPr>
          <w:p w14:paraId="7E743241"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1613" w:type="dxa"/>
            <w:tcBorders>
              <w:top w:val="nil"/>
              <w:left w:val="nil"/>
              <w:bottom w:val="nil"/>
              <w:right w:val="nil"/>
            </w:tcBorders>
            <w:shd w:val="clear" w:color="auto" w:fill="auto"/>
            <w:noWrap/>
            <w:vAlign w:val="center"/>
            <w:hideMark/>
          </w:tcPr>
          <w:p w14:paraId="4AB8DDED"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Content analysis</w:t>
            </w:r>
          </w:p>
        </w:tc>
        <w:tc>
          <w:tcPr>
            <w:tcW w:w="1482" w:type="dxa"/>
            <w:tcBorders>
              <w:top w:val="nil"/>
              <w:left w:val="nil"/>
              <w:bottom w:val="nil"/>
              <w:right w:val="nil"/>
            </w:tcBorders>
            <w:shd w:val="clear" w:color="auto" w:fill="auto"/>
            <w:noWrap/>
            <w:vAlign w:val="center"/>
            <w:hideMark/>
          </w:tcPr>
          <w:p w14:paraId="31269FBF"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Facebook videos on Hillary Clinton's page</w:t>
            </w:r>
          </w:p>
        </w:tc>
        <w:tc>
          <w:tcPr>
            <w:tcW w:w="1009" w:type="dxa"/>
            <w:tcBorders>
              <w:top w:val="nil"/>
              <w:left w:val="nil"/>
              <w:bottom w:val="nil"/>
              <w:right w:val="nil"/>
            </w:tcBorders>
            <w:shd w:val="clear" w:color="auto" w:fill="auto"/>
            <w:noWrap/>
            <w:vAlign w:val="center"/>
            <w:hideMark/>
          </w:tcPr>
          <w:p w14:paraId="31CB2347"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451" w:type="dxa"/>
            <w:tcBorders>
              <w:top w:val="nil"/>
              <w:left w:val="nil"/>
              <w:bottom w:val="nil"/>
              <w:right w:val="nil"/>
            </w:tcBorders>
            <w:shd w:val="clear" w:color="auto" w:fill="auto"/>
            <w:noWrap/>
            <w:vAlign w:val="center"/>
            <w:hideMark/>
          </w:tcPr>
          <w:p w14:paraId="591519CE"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7470" w:type="dxa"/>
            <w:tcBorders>
              <w:top w:val="nil"/>
              <w:left w:val="nil"/>
              <w:bottom w:val="nil"/>
              <w:right w:val="nil"/>
            </w:tcBorders>
            <w:shd w:val="clear" w:color="auto" w:fill="auto"/>
            <w:vAlign w:val="center"/>
            <w:hideMark/>
          </w:tcPr>
          <w:p w14:paraId="198BEAD3"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Videos using targeting (using Spanish or having Spanish text in the first five seconds) were more</w:t>
            </w:r>
            <w:r w:rsidRPr="00996AE0">
              <w:rPr>
                <w:rFonts w:ascii="Times New Roman" w:eastAsia="Times New Roman" w:hAnsi="Times New Roman" w:cs="Times New Roman"/>
                <w:color w:val="000000"/>
                <w:lang w:val="en-US"/>
              </w:rPr>
              <w:t xml:space="preserve"> </w:t>
            </w:r>
            <w:r w:rsidRPr="00996AE0">
              <w:rPr>
                <w:rFonts w:ascii="Times New Roman" w:eastAsia="Times New Roman" w:hAnsi="Times New Roman" w:cs="Times New Roman"/>
                <w:color w:val="000000"/>
                <w:sz w:val="15"/>
                <w:szCs w:val="15"/>
                <w:lang w:val="en-US"/>
              </w:rPr>
              <w:t>effective in getting ‘new likes’ from Hispanics. Live videos performed better than produced/edited videos. Videos that included Hispanic individuals performed better, particularly when Hillary Clinton was absent from the video.</w:t>
            </w:r>
          </w:p>
        </w:tc>
      </w:tr>
      <w:tr w:rsidR="00996AE0" w:rsidRPr="00996AE0" w14:paraId="4E2C9072" w14:textId="77777777" w:rsidTr="009156CF">
        <w:trPr>
          <w:trHeight w:val="860"/>
        </w:trPr>
        <w:tc>
          <w:tcPr>
            <w:tcW w:w="1497" w:type="dxa"/>
            <w:tcBorders>
              <w:top w:val="nil"/>
              <w:left w:val="nil"/>
              <w:bottom w:val="nil"/>
              <w:right w:val="nil"/>
            </w:tcBorders>
            <w:shd w:val="clear" w:color="auto" w:fill="auto"/>
            <w:noWrap/>
            <w:vAlign w:val="center"/>
            <w:hideMark/>
          </w:tcPr>
          <w:p w14:paraId="0183AA2E" w14:textId="77777777" w:rsidR="00996AE0" w:rsidRPr="00996AE0" w:rsidRDefault="00996AE0" w:rsidP="009156CF">
            <w:pPr>
              <w:rPr>
                <w:rFonts w:ascii="Times New Roman" w:eastAsia="Times New Roman" w:hAnsi="Times New Roman" w:cs="Times New Roman"/>
                <w:b/>
                <w:bCs/>
                <w:color w:val="000000"/>
                <w:sz w:val="15"/>
                <w:szCs w:val="15"/>
              </w:rPr>
            </w:pPr>
            <w:r w:rsidRPr="00996AE0">
              <w:rPr>
                <w:rFonts w:ascii="Times New Roman" w:eastAsia="Times New Roman" w:hAnsi="Times New Roman" w:cs="Times New Roman"/>
                <w:b/>
                <w:bCs/>
                <w:color w:val="000000" w:themeColor="text1"/>
                <w:sz w:val="15"/>
                <w:szCs w:val="15"/>
                <w:lang w:val="en-US"/>
              </w:rPr>
              <w:t>Garcia-Castañon et al., 2011</w:t>
            </w:r>
          </w:p>
        </w:tc>
        <w:tc>
          <w:tcPr>
            <w:tcW w:w="948" w:type="dxa"/>
            <w:tcBorders>
              <w:top w:val="nil"/>
              <w:left w:val="nil"/>
              <w:bottom w:val="nil"/>
              <w:right w:val="nil"/>
            </w:tcBorders>
            <w:shd w:val="clear" w:color="auto" w:fill="auto"/>
            <w:noWrap/>
            <w:vAlign w:val="center"/>
            <w:hideMark/>
          </w:tcPr>
          <w:p w14:paraId="332446DB"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2011</w:t>
            </w:r>
          </w:p>
        </w:tc>
        <w:tc>
          <w:tcPr>
            <w:tcW w:w="1939" w:type="dxa"/>
            <w:tcBorders>
              <w:top w:val="nil"/>
              <w:left w:val="nil"/>
              <w:bottom w:val="nil"/>
              <w:right w:val="nil"/>
            </w:tcBorders>
            <w:shd w:val="clear" w:color="auto" w:fill="auto"/>
            <w:noWrap/>
            <w:vAlign w:val="center"/>
            <w:hideMark/>
          </w:tcPr>
          <w:p w14:paraId="11BF167B"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USA</w:t>
            </w:r>
          </w:p>
        </w:tc>
        <w:tc>
          <w:tcPr>
            <w:tcW w:w="1180" w:type="dxa"/>
            <w:tcBorders>
              <w:top w:val="nil"/>
              <w:left w:val="nil"/>
              <w:bottom w:val="nil"/>
              <w:right w:val="nil"/>
            </w:tcBorders>
            <w:shd w:val="clear" w:color="auto" w:fill="auto"/>
            <w:noWrap/>
            <w:vAlign w:val="center"/>
            <w:hideMark/>
          </w:tcPr>
          <w:p w14:paraId="6ACE2045"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2008</w:t>
            </w:r>
          </w:p>
        </w:tc>
        <w:tc>
          <w:tcPr>
            <w:tcW w:w="939" w:type="dxa"/>
            <w:tcBorders>
              <w:top w:val="nil"/>
              <w:left w:val="nil"/>
              <w:bottom w:val="nil"/>
              <w:right w:val="nil"/>
            </w:tcBorders>
            <w:shd w:val="clear" w:color="auto" w:fill="auto"/>
            <w:noWrap/>
            <w:vAlign w:val="center"/>
            <w:hideMark/>
          </w:tcPr>
          <w:p w14:paraId="00B8E660"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N/A</w:t>
            </w:r>
          </w:p>
        </w:tc>
        <w:tc>
          <w:tcPr>
            <w:tcW w:w="1672" w:type="dxa"/>
            <w:tcBorders>
              <w:top w:val="nil"/>
              <w:left w:val="nil"/>
              <w:bottom w:val="nil"/>
              <w:right w:val="nil"/>
            </w:tcBorders>
            <w:shd w:val="clear" w:color="auto" w:fill="auto"/>
            <w:noWrap/>
            <w:vAlign w:val="center"/>
            <w:hideMark/>
          </w:tcPr>
          <w:p w14:paraId="506AB0F0"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Presidential politics</w:t>
            </w:r>
          </w:p>
        </w:tc>
        <w:tc>
          <w:tcPr>
            <w:tcW w:w="934" w:type="dxa"/>
            <w:tcBorders>
              <w:top w:val="nil"/>
              <w:left w:val="nil"/>
              <w:bottom w:val="nil"/>
              <w:right w:val="nil"/>
            </w:tcBorders>
            <w:shd w:val="clear" w:color="auto" w:fill="auto"/>
            <w:noWrap/>
            <w:vAlign w:val="center"/>
            <w:hideMark/>
          </w:tcPr>
          <w:p w14:paraId="2812CCA5"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General</w:t>
            </w:r>
          </w:p>
        </w:tc>
        <w:tc>
          <w:tcPr>
            <w:tcW w:w="2004" w:type="dxa"/>
            <w:tcBorders>
              <w:top w:val="nil"/>
              <w:left w:val="nil"/>
              <w:bottom w:val="nil"/>
              <w:right w:val="nil"/>
            </w:tcBorders>
            <w:shd w:val="clear" w:color="auto" w:fill="auto"/>
            <w:noWrap/>
            <w:vAlign w:val="center"/>
            <w:hideMark/>
          </w:tcPr>
          <w:p w14:paraId="744192A1"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Young voters, minorities, political mobilization, internet in politics</w:t>
            </w:r>
          </w:p>
        </w:tc>
        <w:tc>
          <w:tcPr>
            <w:tcW w:w="1342" w:type="dxa"/>
            <w:tcBorders>
              <w:top w:val="nil"/>
              <w:left w:val="nil"/>
              <w:bottom w:val="nil"/>
              <w:right w:val="nil"/>
            </w:tcBorders>
            <w:shd w:val="clear" w:color="auto" w:fill="auto"/>
            <w:noWrap/>
            <w:vAlign w:val="center"/>
            <w:hideMark/>
          </w:tcPr>
          <w:p w14:paraId="12A32FA4"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1613" w:type="dxa"/>
            <w:tcBorders>
              <w:top w:val="nil"/>
              <w:left w:val="nil"/>
              <w:bottom w:val="nil"/>
              <w:right w:val="nil"/>
            </w:tcBorders>
            <w:shd w:val="clear" w:color="auto" w:fill="auto"/>
            <w:noWrap/>
            <w:vAlign w:val="center"/>
            <w:hideMark/>
          </w:tcPr>
          <w:p w14:paraId="19675184"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Survey</w:t>
            </w:r>
          </w:p>
        </w:tc>
        <w:tc>
          <w:tcPr>
            <w:tcW w:w="1482" w:type="dxa"/>
            <w:tcBorders>
              <w:top w:val="nil"/>
              <w:left w:val="nil"/>
              <w:bottom w:val="nil"/>
              <w:right w:val="nil"/>
            </w:tcBorders>
            <w:shd w:val="clear" w:color="auto" w:fill="auto"/>
            <w:noWrap/>
            <w:vAlign w:val="center"/>
            <w:hideMark/>
          </w:tcPr>
          <w:p w14:paraId="2BAEEB81"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Registered voters (existing data)</w:t>
            </w:r>
          </w:p>
        </w:tc>
        <w:tc>
          <w:tcPr>
            <w:tcW w:w="1009" w:type="dxa"/>
            <w:tcBorders>
              <w:top w:val="nil"/>
              <w:left w:val="nil"/>
              <w:bottom w:val="nil"/>
              <w:right w:val="nil"/>
            </w:tcBorders>
            <w:shd w:val="clear" w:color="auto" w:fill="auto"/>
            <w:noWrap/>
            <w:vAlign w:val="center"/>
            <w:hideMark/>
          </w:tcPr>
          <w:p w14:paraId="708D7054"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451" w:type="dxa"/>
            <w:tcBorders>
              <w:top w:val="nil"/>
              <w:left w:val="nil"/>
              <w:bottom w:val="nil"/>
              <w:right w:val="nil"/>
            </w:tcBorders>
            <w:shd w:val="clear" w:color="auto" w:fill="auto"/>
            <w:noWrap/>
            <w:vAlign w:val="center"/>
            <w:hideMark/>
          </w:tcPr>
          <w:p w14:paraId="7D1B36C1"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7470" w:type="dxa"/>
            <w:tcBorders>
              <w:top w:val="nil"/>
              <w:left w:val="nil"/>
              <w:bottom w:val="nil"/>
              <w:right w:val="nil"/>
            </w:tcBorders>
            <w:shd w:val="clear" w:color="auto" w:fill="auto"/>
            <w:vAlign w:val="center"/>
            <w:hideMark/>
          </w:tcPr>
          <w:p w14:paraId="18108E37"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Online political activity predicts offline political participation. Young voters (white and minorities (African, Asian, Latino)) are equally likely to engage in online political activities. African-Americans are more likely to use SNSs for political activities. Older white voters are more likely to engage in online political activities compared to older members of the minorities.</w:t>
            </w:r>
          </w:p>
        </w:tc>
      </w:tr>
      <w:tr w:rsidR="00996AE0" w:rsidRPr="00996AE0" w14:paraId="197A6BF6" w14:textId="77777777" w:rsidTr="009156CF">
        <w:trPr>
          <w:trHeight w:val="720"/>
        </w:trPr>
        <w:tc>
          <w:tcPr>
            <w:tcW w:w="1497" w:type="dxa"/>
            <w:tcBorders>
              <w:top w:val="nil"/>
              <w:left w:val="nil"/>
              <w:bottom w:val="nil"/>
              <w:right w:val="nil"/>
            </w:tcBorders>
            <w:shd w:val="clear" w:color="auto" w:fill="auto"/>
            <w:noWrap/>
            <w:vAlign w:val="center"/>
            <w:hideMark/>
          </w:tcPr>
          <w:p w14:paraId="1EAE55A9" w14:textId="77777777" w:rsidR="00996AE0" w:rsidRPr="00996AE0" w:rsidRDefault="00996AE0" w:rsidP="009156CF">
            <w:pPr>
              <w:rPr>
                <w:rFonts w:ascii="Times New Roman" w:eastAsia="Times New Roman" w:hAnsi="Times New Roman" w:cs="Times New Roman"/>
                <w:b/>
                <w:bCs/>
                <w:color w:val="000000"/>
                <w:sz w:val="15"/>
                <w:szCs w:val="15"/>
              </w:rPr>
            </w:pPr>
            <w:r w:rsidRPr="00996AE0">
              <w:rPr>
                <w:rFonts w:ascii="Times New Roman" w:eastAsia="Times New Roman" w:hAnsi="Times New Roman" w:cs="Times New Roman"/>
                <w:b/>
                <w:bCs/>
                <w:color w:val="000000" w:themeColor="text1"/>
                <w:sz w:val="15"/>
                <w:szCs w:val="15"/>
                <w:lang w:val="en-US"/>
              </w:rPr>
              <w:t>Grusell &amp; Nord, 2020</w:t>
            </w:r>
          </w:p>
        </w:tc>
        <w:tc>
          <w:tcPr>
            <w:tcW w:w="948" w:type="dxa"/>
            <w:tcBorders>
              <w:top w:val="nil"/>
              <w:left w:val="nil"/>
              <w:bottom w:val="nil"/>
              <w:right w:val="nil"/>
            </w:tcBorders>
            <w:shd w:val="clear" w:color="auto" w:fill="auto"/>
            <w:noWrap/>
            <w:vAlign w:val="center"/>
            <w:hideMark/>
          </w:tcPr>
          <w:p w14:paraId="2118EB9E"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2020</w:t>
            </w:r>
          </w:p>
        </w:tc>
        <w:tc>
          <w:tcPr>
            <w:tcW w:w="1939" w:type="dxa"/>
            <w:tcBorders>
              <w:top w:val="nil"/>
              <w:left w:val="nil"/>
              <w:bottom w:val="nil"/>
              <w:right w:val="nil"/>
            </w:tcBorders>
            <w:shd w:val="clear" w:color="auto" w:fill="auto"/>
            <w:noWrap/>
            <w:vAlign w:val="center"/>
            <w:hideMark/>
          </w:tcPr>
          <w:p w14:paraId="5413E137"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Sweden</w:t>
            </w:r>
          </w:p>
        </w:tc>
        <w:tc>
          <w:tcPr>
            <w:tcW w:w="1180" w:type="dxa"/>
            <w:tcBorders>
              <w:top w:val="nil"/>
              <w:left w:val="nil"/>
              <w:bottom w:val="nil"/>
              <w:right w:val="nil"/>
            </w:tcBorders>
            <w:shd w:val="clear" w:color="auto" w:fill="auto"/>
            <w:noWrap/>
            <w:vAlign w:val="center"/>
            <w:hideMark/>
          </w:tcPr>
          <w:p w14:paraId="19B3EC80"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2018</w:t>
            </w:r>
          </w:p>
        </w:tc>
        <w:tc>
          <w:tcPr>
            <w:tcW w:w="939" w:type="dxa"/>
            <w:tcBorders>
              <w:top w:val="nil"/>
              <w:left w:val="nil"/>
              <w:bottom w:val="nil"/>
              <w:right w:val="nil"/>
            </w:tcBorders>
            <w:shd w:val="clear" w:color="auto" w:fill="auto"/>
            <w:noWrap/>
            <w:vAlign w:val="center"/>
            <w:hideMark/>
          </w:tcPr>
          <w:p w14:paraId="2684A519"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Candidate</w:t>
            </w:r>
          </w:p>
        </w:tc>
        <w:tc>
          <w:tcPr>
            <w:tcW w:w="1672" w:type="dxa"/>
            <w:tcBorders>
              <w:top w:val="nil"/>
              <w:left w:val="nil"/>
              <w:bottom w:val="nil"/>
              <w:right w:val="nil"/>
            </w:tcBorders>
            <w:shd w:val="clear" w:color="auto" w:fill="auto"/>
            <w:noWrap/>
            <w:vAlign w:val="center"/>
            <w:hideMark/>
          </w:tcPr>
          <w:p w14:paraId="49BE6535"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National politics</w:t>
            </w:r>
          </w:p>
        </w:tc>
        <w:tc>
          <w:tcPr>
            <w:tcW w:w="934" w:type="dxa"/>
            <w:tcBorders>
              <w:top w:val="nil"/>
              <w:left w:val="nil"/>
              <w:bottom w:val="nil"/>
              <w:right w:val="nil"/>
            </w:tcBorders>
            <w:shd w:val="clear" w:color="auto" w:fill="auto"/>
            <w:noWrap/>
            <w:vAlign w:val="center"/>
            <w:hideMark/>
          </w:tcPr>
          <w:p w14:paraId="283D73C7"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Instagram</w:t>
            </w:r>
          </w:p>
        </w:tc>
        <w:tc>
          <w:tcPr>
            <w:tcW w:w="2004" w:type="dxa"/>
            <w:tcBorders>
              <w:top w:val="nil"/>
              <w:left w:val="nil"/>
              <w:bottom w:val="nil"/>
              <w:right w:val="nil"/>
            </w:tcBorders>
            <w:shd w:val="clear" w:color="auto" w:fill="auto"/>
            <w:noWrap/>
            <w:vAlign w:val="center"/>
            <w:hideMark/>
          </w:tcPr>
          <w:p w14:paraId="588F64BF"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Images in politics, Instagram in politics</w:t>
            </w:r>
          </w:p>
        </w:tc>
        <w:tc>
          <w:tcPr>
            <w:tcW w:w="1342" w:type="dxa"/>
            <w:tcBorders>
              <w:top w:val="nil"/>
              <w:left w:val="nil"/>
              <w:bottom w:val="nil"/>
              <w:right w:val="nil"/>
            </w:tcBorders>
            <w:shd w:val="clear" w:color="auto" w:fill="auto"/>
            <w:noWrap/>
            <w:vAlign w:val="center"/>
            <w:hideMark/>
          </w:tcPr>
          <w:p w14:paraId="1018C9DB"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1613" w:type="dxa"/>
            <w:tcBorders>
              <w:top w:val="nil"/>
              <w:left w:val="nil"/>
              <w:bottom w:val="nil"/>
              <w:right w:val="nil"/>
            </w:tcBorders>
            <w:shd w:val="clear" w:color="auto" w:fill="auto"/>
            <w:noWrap/>
            <w:vAlign w:val="center"/>
            <w:hideMark/>
          </w:tcPr>
          <w:p w14:paraId="2204A190"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Content analysis</w:t>
            </w:r>
          </w:p>
        </w:tc>
        <w:tc>
          <w:tcPr>
            <w:tcW w:w="1482" w:type="dxa"/>
            <w:tcBorders>
              <w:top w:val="nil"/>
              <w:left w:val="nil"/>
              <w:bottom w:val="nil"/>
              <w:right w:val="nil"/>
            </w:tcBorders>
            <w:shd w:val="clear" w:color="auto" w:fill="auto"/>
            <w:noWrap/>
            <w:vAlign w:val="center"/>
            <w:hideMark/>
          </w:tcPr>
          <w:p w14:paraId="26B6E456"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Instagram posts of leaders</w:t>
            </w:r>
          </w:p>
        </w:tc>
        <w:tc>
          <w:tcPr>
            <w:tcW w:w="1009" w:type="dxa"/>
            <w:tcBorders>
              <w:top w:val="nil"/>
              <w:left w:val="nil"/>
              <w:bottom w:val="nil"/>
              <w:right w:val="nil"/>
            </w:tcBorders>
            <w:shd w:val="clear" w:color="auto" w:fill="auto"/>
            <w:noWrap/>
            <w:vAlign w:val="center"/>
            <w:hideMark/>
          </w:tcPr>
          <w:p w14:paraId="5162749C"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451" w:type="dxa"/>
            <w:tcBorders>
              <w:top w:val="nil"/>
              <w:left w:val="nil"/>
              <w:bottom w:val="nil"/>
              <w:right w:val="nil"/>
            </w:tcBorders>
            <w:shd w:val="clear" w:color="auto" w:fill="auto"/>
            <w:noWrap/>
            <w:vAlign w:val="center"/>
            <w:hideMark/>
          </w:tcPr>
          <w:p w14:paraId="49205572"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7470" w:type="dxa"/>
            <w:tcBorders>
              <w:top w:val="nil"/>
              <w:left w:val="nil"/>
              <w:bottom w:val="nil"/>
              <w:right w:val="nil"/>
            </w:tcBorders>
            <w:shd w:val="clear" w:color="auto" w:fill="auto"/>
            <w:vAlign w:val="center"/>
            <w:hideMark/>
          </w:tcPr>
          <w:p w14:paraId="787AC8E8"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The study shows that Instagram posts were not depictive of personalization in politics. However, party leaders’ images were used frequently. Professional images were preferred over personal or private images. The latter were used infrequently. Interactivity was limited.</w:t>
            </w:r>
          </w:p>
        </w:tc>
      </w:tr>
      <w:tr w:rsidR="00996AE0" w:rsidRPr="00996AE0" w14:paraId="1D6032D5" w14:textId="77777777" w:rsidTr="009156CF">
        <w:trPr>
          <w:trHeight w:val="720"/>
        </w:trPr>
        <w:tc>
          <w:tcPr>
            <w:tcW w:w="1497" w:type="dxa"/>
            <w:tcBorders>
              <w:top w:val="nil"/>
              <w:left w:val="nil"/>
              <w:bottom w:val="nil"/>
              <w:right w:val="nil"/>
            </w:tcBorders>
            <w:shd w:val="clear" w:color="auto" w:fill="auto"/>
            <w:noWrap/>
            <w:vAlign w:val="center"/>
            <w:hideMark/>
          </w:tcPr>
          <w:p w14:paraId="088C83A1" w14:textId="77777777" w:rsidR="00996AE0" w:rsidRPr="00996AE0" w:rsidRDefault="00996AE0" w:rsidP="009156CF">
            <w:pPr>
              <w:rPr>
                <w:rFonts w:ascii="Times New Roman" w:eastAsia="Times New Roman" w:hAnsi="Times New Roman" w:cs="Times New Roman"/>
                <w:b/>
                <w:bCs/>
                <w:color w:val="000000"/>
                <w:sz w:val="15"/>
                <w:szCs w:val="15"/>
              </w:rPr>
            </w:pPr>
            <w:r w:rsidRPr="00996AE0">
              <w:rPr>
                <w:rFonts w:ascii="Times New Roman" w:eastAsia="Times New Roman" w:hAnsi="Times New Roman" w:cs="Times New Roman"/>
                <w:b/>
                <w:bCs/>
                <w:color w:val="000000" w:themeColor="text1"/>
                <w:sz w:val="15"/>
                <w:szCs w:val="15"/>
                <w:lang w:val="en-US"/>
              </w:rPr>
              <w:t>Grusell &amp; Nord, 2020</w:t>
            </w:r>
          </w:p>
        </w:tc>
        <w:tc>
          <w:tcPr>
            <w:tcW w:w="948" w:type="dxa"/>
            <w:tcBorders>
              <w:top w:val="nil"/>
              <w:left w:val="nil"/>
              <w:bottom w:val="nil"/>
              <w:right w:val="nil"/>
            </w:tcBorders>
            <w:shd w:val="clear" w:color="auto" w:fill="auto"/>
            <w:noWrap/>
            <w:vAlign w:val="center"/>
            <w:hideMark/>
          </w:tcPr>
          <w:p w14:paraId="11A26100"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2020</w:t>
            </w:r>
          </w:p>
        </w:tc>
        <w:tc>
          <w:tcPr>
            <w:tcW w:w="1939" w:type="dxa"/>
            <w:tcBorders>
              <w:top w:val="nil"/>
              <w:left w:val="nil"/>
              <w:bottom w:val="nil"/>
              <w:right w:val="nil"/>
            </w:tcBorders>
            <w:shd w:val="clear" w:color="auto" w:fill="auto"/>
            <w:noWrap/>
            <w:vAlign w:val="center"/>
            <w:hideMark/>
          </w:tcPr>
          <w:p w14:paraId="1D70089B"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Sweden</w:t>
            </w:r>
          </w:p>
        </w:tc>
        <w:tc>
          <w:tcPr>
            <w:tcW w:w="1180" w:type="dxa"/>
            <w:tcBorders>
              <w:top w:val="nil"/>
              <w:left w:val="nil"/>
              <w:bottom w:val="nil"/>
              <w:right w:val="nil"/>
            </w:tcBorders>
            <w:shd w:val="clear" w:color="auto" w:fill="auto"/>
            <w:noWrap/>
            <w:vAlign w:val="center"/>
            <w:hideMark/>
          </w:tcPr>
          <w:p w14:paraId="6E06E059"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2010/2014</w:t>
            </w:r>
          </w:p>
        </w:tc>
        <w:tc>
          <w:tcPr>
            <w:tcW w:w="939" w:type="dxa"/>
            <w:tcBorders>
              <w:top w:val="nil"/>
              <w:left w:val="nil"/>
              <w:bottom w:val="nil"/>
              <w:right w:val="nil"/>
            </w:tcBorders>
            <w:shd w:val="clear" w:color="auto" w:fill="auto"/>
            <w:noWrap/>
            <w:vAlign w:val="center"/>
            <w:hideMark/>
          </w:tcPr>
          <w:p w14:paraId="18D99F76"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Party</w:t>
            </w:r>
          </w:p>
        </w:tc>
        <w:tc>
          <w:tcPr>
            <w:tcW w:w="1672" w:type="dxa"/>
            <w:tcBorders>
              <w:top w:val="nil"/>
              <w:left w:val="nil"/>
              <w:bottom w:val="nil"/>
              <w:right w:val="nil"/>
            </w:tcBorders>
            <w:shd w:val="clear" w:color="auto" w:fill="auto"/>
            <w:noWrap/>
            <w:vAlign w:val="center"/>
            <w:hideMark/>
          </w:tcPr>
          <w:p w14:paraId="6FC71F59"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National politics</w:t>
            </w:r>
          </w:p>
        </w:tc>
        <w:tc>
          <w:tcPr>
            <w:tcW w:w="934" w:type="dxa"/>
            <w:tcBorders>
              <w:top w:val="nil"/>
              <w:left w:val="nil"/>
              <w:bottom w:val="nil"/>
              <w:right w:val="nil"/>
            </w:tcBorders>
            <w:shd w:val="clear" w:color="auto" w:fill="auto"/>
            <w:noWrap/>
            <w:vAlign w:val="center"/>
            <w:hideMark/>
          </w:tcPr>
          <w:p w14:paraId="450A7CFD"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General</w:t>
            </w:r>
          </w:p>
        </w:tc>
        <w:tc>
          <w:tcPr>
            <w:tcW w:w="2004" w:type="dxa"/>
            <w:tcBorders>
              <w:top w:val="nil"/>
              <w:left w:val="nil"/>
              <w:bottom w:val="nil"/>
              <w:right w:val="nil"/>
            </w:tcBorders>
            <w:shd w:val="clear" w:color="auto" w:fill="auto"/>
            <w:noWrap/>
            <w:vAlign w:val="center"/>
            <w:hideMark/>
          </w:tcPr>
          <w:p w14:paraId="3E69BFDD"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Professionalization, digitalization, party campaign types</w:t>
            </w:r>
          </w:p>
        </w:tc>
        <w:tc>
          <w:tcPr>
            <w:tcW w:w="1342" w:type="dxa"/>
            <w:tcBorders>
              <w:top w:val="nil"/>
              <w:left w:val="nil"/>
              <w:bottom w:val="nil"/>
              <w:right w:val="nil"/>
            </w:tcBorders>
            <w:shd w:val="clear" w:color="auto" w:fill="auto"/>
            <w:noWrap/>
            <w:vAlign w:val="center"/>
            <w:hideMark/>
          </w:tcPr>
          <w:p w14:paraId="79F265D6"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1613" w:type="dxa"/>
            <w:tcBorders>
              <w:top w:val="nil"/>
              <w:left w:val="nil"/>
              <w:bottom w:val="nil"/>
              <w:right w:val="nil"/>
            </w:tcBorders>
            <w:shd w:val="clear" w:color="auto" w:fill="auto"/>
            <w:noWrap/>
            <w:vAlign w:val="center"/>
            <w:hideMark/>
          </w:tcPr>
          <w:p w14:paraId="6339B9CD"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Mixed-method</w:t>
            </w:r>
          </w:p>
        </w:tc>
        <w:tc>
          <w:tcPr>
            <w:tcW w:w="1482" w:type="dxa"/>
            <w:tcBorders>
              <w:top w:val="nil"/>
              <w:left w:val="nil"/>
              <w:bottom w:val="nil"/>
              <w:right w:val="nil"/>
            </w:tcBorders>
            <w:shd w:val="clear" w:color="auto" w:fill="auto"/>
            <w:noWrap/>
            <w:vAlign w:val="center"/>
            <w:hideMark/>
          </w:tcPr>
          <w:p w14:paraId="3899DF70"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Interviews and surveys with party officials</w:t>
            </w:r>
          </w:p>
        </w:tc>
        <w:tc>
          <w:tcPr>
            <w:tcW w:w="1009" w:type="dxa"/>
            <w:tcBorders>
              <w:top w:val="nil"/>
              <w:left w:val="nil"/>
              <w:bottom w:val="nil"/>
              <w:right w:val="nil"/>
            </w:tcBorders>
            <w:shd w:val="clear" w:color="auto" w:fill="auto"/>
            <w:noWrap/>
            <w:vAlign w:val="center"/>
            <w:hideMark/>
          </w:tcPr>
          <w:p w14:paraId="021DB018"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451" w:type="dxa"/>
            <w:tcBorders>
              <w:top w:val="nil"/>
              <w:left w:val="nil"/>
              <w:bottom w:val="nil"/>
              <w:right w:val="nil"/>
            </w:tcBorders>
            <w:shd w:val="clear" w:color="auto" w:fill="auto"/>
            <w:noWrap/>
            <w:vAlign w:val="center"/>
            <w:hideMark/>
          </w:tcPr>
          <w:p w14:paraId="47F94B7B"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7470" w:type="dxa"/>
            <w:tcBorders>
              <w:top w:val="nil"/>
              <w:left w:val="nil"/>
              <w:bottom w:val="nil"/>
              <w:right w:val="nil"/>
            </w:tcBorders>
            <w:shd w:val="clear" w:color="auto" w:fill="auto"/>
            <w:vAlign w:val="center"/>
            <w:hideMark/>
          </w:tcPr>
          <w:p w14:paraId="41D18175"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Sweden campaigns are professionalized and this increased from 2010 to 2014. Regardless of size or ideology, all parties were conducting digital campaigns. Social media are important form of communication within and outside the party. Relation between professionalization and digitalization is strongest among catch-all, bigger parties.</w:t>
            </w:r>
          </w:p>
        </w:tc>
      </w:tr>
      <w:tr w:rsidR="00996AE0" w:rsidRPr="00996AE0" w14:paraId="7B3D605B" w14:textId="77777777" w:rsidTr="009156CF">
        <w:trPr>
          <w:trHeight w:val="480"/>
        </w:trPr>
        <w:tc>
          <w:tcPr>
            <w:tcW w:w="1497" w:type="dxa"/>
            <w:tcBorders>
              <w:top w:val="nil"/>
              <w:left w:val="nil"/>
              <w:bottom w:val="nil"/>
              <w:right w:val="nil"/>
            </w:tcBorders>
            <w:shd w:val="clear" w:color="auto" w:fill="auto"/>
            <w:noWrap/>
            <w:vAlign w:val="center"/>
            <w:hideMark/>
          </w:tcPr>
          <w:p w14:paraId="0E8ADA3E" w14:textId="77777777" w:rsidR="00996AE0" w:rsidRPr="00996AE0" w:rsidRDefault="00996AE0" w:rsidP="009156CF">
            <w:pPr>
              <w:rPr>
                <w:rFonts w:ascii="Times New Roman" w:eastAsia="Times New Roman" w:hAnsi="Times New Roman" w:cs="Times New Roman"/>
                <w:b/>
                <w:bCs/>
                <w:color w:val="000000"/>
                <w:sz w:val="15"/>
                <w:szCs w:val="15"/>
              </w:rPr>
            </w:pPr>
            <w:r w:rsidRPr="00996AE0">
              <w:rPr>
                <w:rFonts w:ascii="Times New Roman" w:eastAsia="Times New Roman" w:hAnsi="Times New Roman" w:cs="Times New Roman"/>
                <w:b/>
                <w:bCs/>
                <w:color w:val="000000" w:themeColor="text1"/>
                <w:sz w:val="15"/>
                <w:szCs w:val="15"/>
                <w:lang w:val="en-US"/>
              </w:rPr>
              <w:t>Harmer &amp; Wring, 2013</w:t>
            </w:r>
          </w:p>
        </w:tc>
        <w:tc>
          <w:tcPr>
            <w:tcW w:w="948" w:type="dxa"/>
            <w:tcBorders>
              <w:top w:val="nil"/>
              <w:left w:val="nil"/>
              <w:bottom w:val="nil"/>
              <w:right w:val="nil"/>
            </w:tcBorders>
            <w:shd w:val="clear" w:color="auto" w:fill="auto"/>
            <w:noWrap/>
            <w:vAlign w:val="center"/>
            <w:hideMark/>
          </w:tcPr>
          <w:p w14:paraId="7FE32D39"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2013</w:t>
            </w:r>
          </w:p>
        </w:tc>
        <w:tc>
          <w:tcPr>
            <w:tcW w:w="1939" w:type="dxa"/>
            <w:tcBorders>
              <w:top w:val="nil"/>
              <w:left w:val="nil"/>
              <w:bottom w:val="nil"/>
              <w:right w:val="nil"/>
            </w:tcBorders>
            <w:shd w:val="clear" w:color="auto" w:fill="auto"/>
            <w:noWrap/>
            <w:vAlign w:val="center"/>
            <w:hideMark/>
          </w:tcPr>
          <w:p w14:paraId="494AE675"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UK</w:t>
            </w:r>
          </w:p>
        </w:tc>
        <w:tc>
          <w:tcPr>
            <w:tcW w:w="1180" w:type="dxa"/>
            <w:tcBorders>
              <w:top w:val="nil"/>
              <w:left w:val="nil"/>
              <w:bottom w:val="nil"/>
              <w:right w:val="nil"/>
            </w:tcBorders>
            <w:shd w:val="clear" w:color="auto" w:fill="auto"/>
            <w:noWrap/>
            <w:vAlign w:val="center"/>
            <w:hideMark/>
          </w:tcPr>
          <w:p w14:paraId="5977EEFE"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2010</w:t>
            </w:r>
          </w:p>
        </w:tc>
        <w:tc>
          <w:tcPr>
            <w:tcW w:w="939" w:type="dxa"/>
            <w:tcBorders>
              <w:top w:val="nil"/>
              <w:left w:val="nil"/>
              <w:bottom w:val="nil"/>
              <w:right w:val="nil"/>
            </w:tcBorders>
            <w:shd w:val="clear" w:color="auto" w:fill="auto"/>
            <w:noWrap/>
            <w:vAlign w:val="center"/>
            <w:hideMark/>
          </w:tcPr>
          <w:p w14:paraId="691873F7"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Candidate and party</w:t>
            </w:r>
          </w:p>
        </w:tc>
        <w:tc>
          <w:tcPr>
            <w:tcW w:w="1672" w:type="dxa"/>
            <w:tcBorders>
              <w:top w:val="nil"/>
              <w:left w:val="nil"/>
              <w:bottom w:val="nil"/>
              <w:right w:val="nil"/>
            </w:tcBorders>
            <w:shd w:val="clear" w:color="auto" w:fill="auto"/>
            <w:noWrap/>
            <w:vAlign w:val="center"/>
            <w:hideMark/>
          </w:tcPr>
          <w:p w14:paraId="6A25C7EF"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National politics</w:t>
            </w:r>
          </w:p>
        </w:tc>
        <w:tc>
          <w:tcPr>
            <w:tcW w:w="934" w:type="dxa"/>
            <w:tcBorders>
              <w:top w:val="nil"/>
              <w:left w:val="nil"/>
              <w:bottom w:val="nil"/>
              <w:right w:val="nil"/>
            </w:tcBorders>
            <w:shd w:val="clear" w:color="auto" w:fill="auto"/>
            <w:noWrap/>
            <w:vAlign w:val="center"/>
            <w:hideMark/>
          </w:tcPr>
          <w:p w14:paraId="467409AB"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General</w:t>
            </w:r>
          </w:p>
        </w:tc>
        <w:tc>
          <w:tcPr>
            <w:tcW w:w="2004" w:type="dxa"/>
            <w:tcBorders>
              <w:top w:val="nil"/>
              <w:left w:val="nil"/>
              <w:bottom w:val="nil"/>
              <w:right w:val="nil"/>
            </w:tcBorders>
            <w:shd w:val="clear" w:color="auto" w:fill="auto"/>
            <w:noWrap/>
            <w:vAlign w:val="center"/>
            <w:hideMark/>
          </w:tcPr>
          <w:p w14:paraId="6CA3C9E6"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Women voters in the UK politics</w:t>
            </w:r>
          </w:p>
        </w:tc>
        <w:tc>
          <w:tcPr>
            <w:tcW w:w="1342" w:type="dxa"/>
            <w:tcBorders>
              <w:top w:val="nil"/>
              <w:left w:val="nil"/>
              <w:bottom w:val="nil"/>
              <w:right w:val="nil"/>
            </w:tcBorders>
            <w:shd w:val="clear" w:color="auto" w:fill="auto"/>
            <w:noWrap/>
            <w:vAlign w:val="center"/>
            <w:hideMark/>
          </w:tcPr>
          <w:p w14:paraId="62856228"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1613" w:type="dxa"/>
            <w:tcBorders>
              <w:top w:val="nil"/>
              <w:left w:val="nil"/>
              <w:bottom w:val="nil"/>
              <w:right w:val="nil"/>
            </w:tcBorders>
            <w:shd w:val="clear" w:color="auto" w:fill="auto"/>
            <w:noWrap/>
            <w:vAlign w:val="center"/>
            <w:hideMark/>
          </w:tcPr>
          <w:p w14:paraId="32137E0F"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Case-study</w:t>
            </w:r>
          </w:p>
        </w:tc>
        <w:tc>
          <w:tcPr>
            <w:tcW w:w="1482" w:type="dxa"/>
            <w:tcBorders>
              <w:top w:val="nil"/>
              <w:left w:val="nil"/>
              <w:bottom w:val="nil"/>
              <w:right w:val="nil"/>
            </w:tcBorders>
            <w:shd w:val="clear" w:color="auto" w:fill="auto"/>
            <w:noWrap/>
            <w:vAlign w:val="center"/>
            <w:hideMark/>
          </w:tcPr>
          <w:p w14:paraId="30D7E403"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Secondary data</w:t>
            </w:r>
          </w:p>
        </w:tc>
        <w:tc>
          <w:tcPr>
            <w:tcW w:w="1009" w:type="dxa"/>
            <w:tcBorders>
              <w:top w:val="nil"/>
              <w:left w:val="nil"/>
              <w:bottom w:val="nil"/>
              <w:right w:val="nil"/>
            </w:tcBorders>
            <w:shd w:val="clear" w:color="auto" w:fill="auto"/>
            <w:noWrap/>
            <w:vAlign w:val="center"/>
            <w:hideMark/>
          </w:tcPr>
          <w:p w14:paraId="65530368"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451" w:type="dxa"/>
            <w:tcBorders>
              <w:top w:val="nil"/>
              <w:left w:val="nil"/>
              <w:bottom w:val="nil"/>
              <w:right w:val="nil"/>
            </w:tcBorders>
            <w:shd w:val="clear" w:color="auto" w:fill="auto"/>
            <w:noWrap/>
            <w:vAlign w:val="center"/>
            <w:hideMark/>
          </w:tcPr>
          <w:p w14:paraId="3CB68F16"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7470" w:type="dxa"/>
            <w:tcBorders>
              <w:top w:val="nil"/>
              <w:left w:val="nil"/>
              <w:bottom w:val="nil"/>
              <w:right w:val="nil"/>
            </w:tcBorders>
            <w:shd w:val="clear" w:color="auto" w:fill="auto"/>
            <w:vAlign w:val="center"/>
            <w:hideMark/>
          </w:tcPr>
          <w:p w14:paraId="429C24D2"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Cyber-mums was a coveted segment (UK general election 2010). The targeting of women included marketing on parenting websites. The leaders of the parties had webchats and Q&amp;As with users of parenting websites.</w:t>
            </w:r>
          </w:p>
        </w:tc>
      </w:tr>
      <w:tr w:rsidR="00996AE0" w:rsidRPr="00996AE0" w14:paraId="2D1537D1" w14:textId="77777777" w:rsidTr="009156CF">
        <w:trPr>
          <w:trHeight w:val="1200"/>
        </w:trPr>
        <w:tc>
          <w:tcPr>
            <w:tcW w:w="1497" w:type="dxa"/>
            <w:tcBorders>
              <w:top w:val="nil"/>
              <w:left w:val="nil"/>
              <w:bottom w:val="nil"/>
              <w:right w:val="nil"/>
            </w:tcBorders>
            <w:shd w:val="clear" w:color="auto" w:fill="auto"/>
            <w:noWrap/>
            <w:vAlign w:val="center"/>
            <w:hideMark/>
          </w:tcPr>
          <w:p w14:paraId="7CA67B9D" w14:textId="77777777" w:rsidR="00996AE0" w:rsidRPr="00996AE0" w:rsidRDefault="00996AE0" w:rsidP="009156CF">
            <w:pPr>
              <w:rPr>
                <w:rFonts w:ascii="Times New Roman" w:eastAsia="Times New Roman" w:hAnsi="Times New Roman" w:cs="Times New Roman"/>
                <w:b/>
                <w:bCs/>
                <w:color w:val="000000"/>
                <w:sz w:val="15"/>
                <w:szCs w:val="15"/>
              </w:rPr>
            </w:pPr>
            <w:r w:rsidRPr="00996AE0">
              <w:rPr>
                <w:rFonts w:ascii="Times New Roman" w:eastAsia="Times New Roman" w:hAnsi="Times New Roman" w:cs="Times New Roman"/>
                <w:b/>
                <w:bCs/>
                <w:color w:val="000000" w:themeColor="text1"/>
                <w:sz w:val="15"/>
                <w:szCs w:val="15"/>
                <w:lang w:val="en-US"/>
              </w:rPr>
              <w:t>Harris &amp; Harrigan, 2015</w:t>
            </w:r>
          </w:p>
        </w:tc>
        <w:tc>
          <w:tcPr>
            <w:tcW w:w="948" w:type="dxa"/>
            <w:tcBorders>
              <w:top w:val="nil"/>
              <w:left w:val="nil"/>
              <w:bottom w:val="nil"/>
              <w:right w:val="nil"/>
            </w:tcBorders>
            <w:shd w:val="clear" w:color="auto" w:fill="auto"/>
            <w:noWrap/>
            <w:vAlign w:val="center"/>
            <w:hideMark/>
          </w:tcPr>
          <w:p w14:paraId="19E14048"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2015</w:t>
            </w:r>
          </w:p>
        </w:tc>
        <w:tc>
          <w:tcPr>
            <w:tcW w:w="1939" w:type="dxa"/>
            <w:tcBorders>
              <w:top w:val="nil"/>
              <w:left w:val="nil"/>
              <w:bottom w:val="nil"/>
              <w:right w:val="nil"/>
            </w:tcBorders>
            <w:shd w:val="clear" w:color="auto" w:fill="auto"/>
            <w:noWrap/>
            <w:vAlign w:val="center"/>
            <w:hideMark/>
          </w:tcPr>
          <w:p w14:paraId="716BC293"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UK</w:t>
            </w:r>
          </w:p>
        </w:tc>
        <w:tc>
          <w:tcPr>
            <w:tcW w:w="1180" w:type="dxa"/>
            <w:tcBorders>
              <w:top w:val="nil"/>
              <w:left w:val="nil"/>
              <w:bottom w:val="nil"/>
              <w:right w:val="nil"/>
            </w:tcBorders>
            <w:shd w:val="clear" w:color="auto" w:fill="auto"/>
            <w:noWrap/>
            <w:vAlign w:val="center"/>
            <w:hideMark/>
          </w:tcPr>
          <w:p w14:paraId="4E1478FD"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2010</w:t>
            </w:r>
          </w:p>
        </w:tc>
        <w:tc>
          <w:tcPr>
            <w:tcW w:w="939" w:type="dxa"/>
            <w:tcBorders>
              <w:top w:val="nil"/>
              <w:left w:val="nil"/>
              <w:bottom w:val="nil"/>
              <w:right w:val="nil"/>
            </w:tcBorders>
            <w:shd w:val="clear" w:color="auto" w:fill="auto"/>
            <w:noWrap/>
            <w:vAlign w:val="center"/>
            <w:hideMark/>
          </w:tcPr>
          <w:p w14:paraId="027257DB"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Party and candidate</w:t>
            </w:r>
          </w:p>
        </w:tc>
        <w:tc>
          <w:tcPr>
            <w:tcW w:w="1672" w:type="dxa"/>
            <w:tcBorders>
              <w:top w:val="nil"/>
              <w:left w:val="nil"/>
              <w:bottom w:val="nil"/>
              <w:right w:val="nil"/>
            </w:tcBorders>
            <w:shd w:val="clear" w:color="auto" w:fill="auto"/>
            <w:noWrap/>
            <w:vAlign w:val="center"/>
            <w:hideMark/>
          </w:tcPr>
          <w:p w14:paraId="77A12D25"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National politics</w:t>
            </w:r>
          </w:p>
        </w:tc>
        <w:tc>
          <w:tcPr>
            <w:tcW w:w="934" w:type="dxa"/>
            <w:tcBorders>
              <w:top w:val="nil"/>
              <w:left w:val="nil"/>
              <w:bottom w:val="nil"/>
              <w:right w:val="nil"/>
            </w:tcBorders>
            <w:shd w:val="clear" w:color="auto" w:fill="auto"/>
            <w:noWrap/>
            <w:vAlign w:val="center"/>
            <w:hideMark/>
          </w:tcPr>
          <w:p w14:paraId="7D4DD44F"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Twitter, Facebook, YouTube</w:t>
            </w:r>
          </w:p>
        </w:tc>
        <w:tc>
          <w:tcPr>
            <w:tcW w:w="2004" w:type="dxa"/>
            <w:tcBorders>
              <w:top w:val="nil"/>
              <w:left w:val="nil"/>
              <w:bottom w:val="nil"/>
              <w:right w:val="nil"/>
            </w:tcBorders>
            <w:shd w:val="clear" w:color="auto" w:fill="auto"/>
            <w:noWrap/>
            <w:vAlign w:val="center"/>
            <w:hideMark/>
          </w:tcPr>
          <w:p w14:paraId="2DD6D2D0"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Technology and political relationship marketing</w:t>
            </w:r>
          </w:p>
        </w:tc>
        <w:tc>
          <w:tcPr>
            <w:tcW w:w="1342" w:type="dxa"/>
            <w:tcBorders>
              <w:top w:val="nil"/>
              <w:left w:val="nil"/>
              <w:bottom w:val="nil"/>
              <w:right w:val="nil"/>
            </w:tcBorders>
            <w:shd w:val="clear" w:color="auto" w:fill="auto"/>
            <w:noWrap/>
            <w:vAlign w:val="center"/>
            <w:hideMark/>
          </w:tcPr>
          <w:p w14:paraId="25622FA2"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1613" w:type="dxa"/>
            <w:tcBorders>
              <w:top w:val="nil"/>
              <w:left w:val="nil"/>
              <w:bottom w:val="nil"/>
              <w:right w:val="nil"/>
            </w:tcBorders>
            <w:shd w:val="clear" w:color="auto" w:fill="auto"/>
            <w:noWrap/>
            <w:vAlign w:val="center"/>
            <w:hideMark/>
          </w:tcPr>
          <w:p w14:paraId="42CA2AED"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Case study (mixed-method)</w:t>
            </w:r>
          </w:p>
        </w:tc>
        <w:tc>
          <w:tcPr>
            <w:tcW w:w="1482" w:type="dxa"/>
            <w:tcBorders>
              <w:top w:val="nil"/>
              <w:left w:val="nil"/>
              <w:bottom w:val="nil"/>
              <w:right w:val="nil"/>
            </w:tcBorders>
            <w:shd w:val="clear" w:color="auto" w:fill="auto"/>
            <w:noWrap/>
            <w:vAlign w:val="center"/>
            <w:hideMark/>
          </w:tcPr>
          <w:p w14:paraId="60DD8E1A"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Interview with candidates (and team)</w:t>
            </w:r>
          </w:p>
        </w:tc>
        <w:tc>
          <w:tcPr>
            <w:tcW w:w="1009" w:type="dxa"/>
            <w:tcBorders>
              <w:top w:val="nil"/>
              <w:left w:val="nil"/>
              <w:bottom w:val="nil"/>
              <w:right w:val="nil"/>
            </w:tcBorders>
            <w:shd w:val="clear" w:color="auto" w:fill="auto"/>
            <w:noWrap/>
            <w:vAlign w:val="center"/>
            <w:hideMark/>
          </w:tcPr>
          <w:p w14:paraId="2EA16AA4"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451" w:type="dxa"/>
            <w:tcBorders>
              <w:top w:val="nil"/>
              <w:left w:val="nil"/>
              <w:bottom w:val="nil"/>
              <w:right w:val="nil"/>
            </w:tcBorders>
            <w:shd w:val="clear" w:color="auto" w:fill="auto"/>
            <w:noWrap/>
            <w:vAlign w:val="center"/>
            <w:hideMark/>
          </w:tcPr>
          <w:p w14:paraId="0184DE56"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7470" w:type="dxa"/>
            <w:tcBorders>
              <w:top w:val="nil"/>
              <w:left w:val="nil"/>
              <w:bottom w:val="nil"/>
              <w:right w:val="nil"/>
            </w:tcBorders>
            <w:shd w:val="clear" w:color="auto" w:fill="auto"/>
            <w:vAlign w:val="center"/>
            <w:hideMark/>
          </w:tcPr>
          <w:p w14:paraId="61524B07"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 xml:space="preserve">The UK general election (2010) was not an internet-driven election. The use of social media was limited. A systematic approach towards social media was absent. Twitter was perceived to be better for relationship building, allowing engagement and calls to action. Facebook was better for recruiting students and reaching a wider audience. It enabled more effective internal information sharing and collaboration between local party members. Resource limitations matter. The presidential, federal system might be more conducive to social media. </w:t>
            </w:r>
          </w:p>
        </w:tc>
      </w:tr>
      <w:tr w:rsidR="00996AE0" w:rsidRPr="00996AE0" w14:paraId="03F837C4" w14:textId="77777777" w:rsidTr="009156CF">
        <w:trPr>
          <w:trHeight w:val="720"/>
        </w:trPr>
        <w:tc>
          <w:tcPr>
            <w:tcW w:w="1497" w:type="dxa"/>
            <w:tcBorders>
              <w:top w:val="nil"/>
              <w:left w:val="nil"/>
              <w:bottom w:val="nil"/>
              <w:right w:val="nil"/>
            </w:tcBorders>
            <w:shd w:val="clear" w:color="auto" w:fill="auto"/>
            <w:noWrap/>
            <w:vAlign w:val="center"/>
            <w:hideMark/>
          </w:tcPr>
          <w:p w14:paraId="220B1DED" w14:textId="77777777" w:rsidR="00996AE0" w:rsidRPr="00996AE0" w:rsidRDefault="00996AE0" w:rsidP="009156CF">
            <w:pPr>
              <w:rPr>
                <w:rFonts w:ascii="Times New Roman" w:eastAsia="Times New Roman" w:hAnsi="Times New Roman" w:cs="Times New Roman"/>
                <w:b/>
                <w:bCs/>
                <w:color w:val="000000"/>
                <w:sz w:val="15"/>
                <w:szCs w:val="15"/>
              </w:rPr>
            </w:pPr>
            <w:r w:rsidRPr="00996AE0">
              <w:rPr>
                <w:rFonts w:ascii="Times New Roman" w:eastAsia="Times New Roman" w:hAnsi="Times New Roman" w:cs="Times New Roman"/>
                <w:b/>
                <w:bCs/>
                <w:color w:val="000000" w:themeColor="text1"/>
                <w:sz w:val="15"/>
                <w:szCs w:val="15"/>
                <w:lang w:val="en-US"/>
              </w:rPr>
              <w:t>Hultman et al., 2019</w:t>
            </w:r>
          </w:p>
        </w:tc>
        <w:tc>
          <w:tcPr>
            <w:tcW w:w="948" w:type="dxa"/>
            <w:tcBorders>
              <w:top w:val="nil"/>
              <w:left w:val="nil"/>
              <w:bottom w:val="nil"/>
              <w:right w:val="nil"/>
            </w:tcBorders>
            <w:shd w:val="clear" w:color="auto" w:fill="auto"/>
            <w:noWrap/>
            <w:vAlign w:val="center"/>
            <w:hideMark/>
          </w:tcPr>
          <w:p w14:paraId="1F87CE23"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2019</w:t>
            </w:r>
          </w:p>
        </w:tc>
        <w:tc>
          <w:tcPr>
            <w:tcW w:w="1939" w:type="dxa"/>
            <w:tcBorders>
              <w:top w:val="nil"/>
              <w:left w:val="nil"/>
              <w:bottom w:val="nil"/>
              <w:right w:val="nil"/>
            </w:tcBorders>
            <w:shd w:val="clear" w:color="auto" w:fill="auto"/>
            <w:noWrap/>
            <w:vAlign w:val="center"/>
            <w:hideMark/>
          </w:tcPr>
          <w:p w14:paraId="37FBE1AB"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UK</w:t>
            </w:r>
          </w:p>
        </w:tc>
        <w:tc>
          <w:tcPr>
            <w:tcW w:w="1180" w:type="dxa"/>
            <w:tcBorders>
              <w:top w:val="nil"/>
              <w:left w:val="nil"/>
              <w:bottom w:val="nil"/>
              <w:right w:val="nil"/>
            </w:tcBorders>
            <w:shd w:val="clear" w:color="auto" w:fill="auto"/>
            <w:noWrap/>
            <w:vAlign w:val="center"/>
            <w:hideMark/>
          </w:tcPr>
          <w:p w14:paraId="550D2580"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N/A</w:t>
            </w:r>
          </w:p>
        </w:tc>
        <w:tc>
          <w:tcPr>
            <w:tcW w:w="939" w:type="dxa"/>
            <w:tcBorders>
              <w:top w:val="nil"/>
              <w:left w:val="nil"/>
              <w:bottom w:val="nil"/>
              <w:right w:val="nil"/>
            </w:tcBorders>
            <w:shd w:val="clear" w:color="auto" w:fill="auto"/>
            <w:noWrap/>
            <w:vAlign w:val="center"/>
            <w:hideMark/>
          </w:tcPr>
          <w:p w14:paraId="74648B2B"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Candidate</w:t>
            </w:r>
          </w:p>
        </w:tc>
        <w:tc>
          <w:tcPr>
            <w:tcW w:w="1672" w:type="dxa"/>
            <w:tcBorders>
              <w:top w:val="nil"/>
              <w:left w:val="nil"/>
              <w:bottom w:val="nil"/>
              <w:right w:val="nil"/>
            </w:tcBorders>
            <w:shd w:val="clear" w:color="auto" w:fill="auto"/>
            <w:noWrap/>
            <w:vAlign w:val="center"/>
            <w:hideMark/>
          </w:tcPr>
          <w:p w14:paraId="503BF17F"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National politics</w:t>
            </w:r>
          </w:p>
        </w:tc>
        <w:tc>
          <w:tcPr>
            <w:tcW w:w="934" w:type="dxa"/>
            <w:tcBorders>
              <w:top w:val="nil"/>
              <w:left w:val="nil"/>
              <w:bottom w:val="nil"/>
              <w:right w:val="nil"/>
            </w:tcBorders>
            <w:shd w:val="clear" w:color="auto" w:fill="auto"/>
            <w:noWrap/>
            <w:vAlign w:val="center"/>
            <w:hideMark/>
          </w:tcPr>
          <w:p w14:paraId="26AC7F2A"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General</w:t>
            </w:r>
          </w:p>
        </w:tc>
        <w:tc>
          <w:tcPr>
            <w:tcW w:w="2004" w:type="dxa"/>
            <w:tcBorders>
              <w:top w:val="nil"/>
              <w:left w:val="nil"/>
              <w:bottom w:val="nil"/>
              <w:right w:val="nil"/>
            </w:tcBorders>
            <w:shd w:val="clear" w:color="auto" w:fill="auto"/>
            <w:noWrap/>
            <w:vAlign w:val="center"/>
            <w:hideMark/>
          </w:tcPr>
          <w:p w14:paraId="4297228F"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 xml:space="preserve">Branding, Social Identity Theory </w:t>
            </w:r>
          </w:p>
        </w:tc>
        <w:tc>
          <w:tcPr>
            <w:tcW w:w="1342" w:type="dxa"/>
            <w:tcBorders>
              <w:top w:val="nil"/>
              <w:left w:val="nil"/>
              <w:bottom w:val="nil"/>
              <w:right w:val="nil"/>
            </w:tcBorders>
            <w:shd w:val="clear" w:color="auto" w:fill="auto"/>
            <w:noWrap/>
            <w:vAlign w:val="center"/>
            <w:hideMark/>
          </w:tcPr>
          <w:p w14:paraId="3B15998C"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1613" w:type="dxa"/>
            <w:tcBorders>
              <w:top w:val="nil"/>
              <w:left w:val="nil"/>
              <w:bottom w:val="nil"/>
              <w:right w:val="nil"/>
            </w:tcBorders>
            <w:shd w:val="clear" w:color="auto" w:fill="auto"/>
            <w:noWrap/>
            <w:vAlign w:val="center"/>
            <w:hideMark/>
          </w:tcPr>
          <w:p w14:paraId="46B06248"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 xml:space="preserve">Survey </w:t>
            </w:r>
          </w:p>
        </w:tc>
        <w:tc>
          <w:tcPr>
            <w:tcW w:w="1482" w:type="dxa"/>
            <w:tcBorders>
              <w:top w:val="nil"/>
              <w:left w:val="nil"/>
              <w:bottom w:val="nil"/>
              <w:right w:val="nil"/>
            </w:tcBorders>
            <w:shd w:val="clear" w:color="auto" w:fill="auto"/>
            <w:noWrap/>
            <w:vAlign w:val="center"/>
            <w:hideMark/>
          </w:tcPr>
          <w:p w14:paraId="77B73680"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Young voters</w:t>
            </w:r>
          </w:p>
        </w:tc>
        <w:tc>
          <w:tcPr>
            <w:tcW w:w="1009" w:type="dxa"/>
            <w:tcBorders>
              <w:top w:val="nil"/>
              <w:left w:val="nil"/>
              <w:bottom w:val="nil"/>
              <w:right w:val="nil"/>
            </w:tcBorders>
            <w:shd w:val="clear" w:color="auto" w:fill="auto"/>
            <w:noWrap/>
            <w:vAlign w:val="center"/>
            <w:hideMark/>
          </w:tcPr>
          <w:p w14:paraId="4AB2BE3E"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451" w:type="dxa"/>
            <w:tcBorders>
              <w:top w:val="nil"/>
              <w:left w:val="nil"/>
              <w:bottom w:val="nil"/>
              <w:right w:val="nil"/>
            </w:tcBorders>
            <w:shd w:val="clear" w:color="auto" w:fill="auto"/>
            <w:noWrap/>
            <w:vAlign w:val="center"/>
            <w:hideMark/>
          </w:tcPr>
          <w:p w14:paraId="4639202C"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7470" w:type="dxa"/>
            <w:tcBorders>
              <w:top w:val="nil"/>
              <w:left w:val="nil"/>
              <w:bottom w:val="nil"/>
              <w:right w:val="nil"/>
            </w:tcBorders>
            <w:shd w:val="clear" w:color="auto" w:fill="auto"/>
            <w:vAlign w:val="center"/>
            <w:hideMark/>
          </w:tcPr>
          <w:p w14:paraId="1894150C"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Social media marketing (content, social media credibility, WOM, interaction) impacts the creation of a candidate’s image, which leads to voter-candidate relationship equity. Political ideology has no effect on the relationship between a candidate’s image and relationship equity.</w:t>
            </w:r>
          </w:p>
        </w:tc>
      </w:tr>
      <w:tr w:rsidR="00996AE0" w:rsidRPr="00996AE0" w14:paraId="572F088F" w14:textId="77777777" w:rsidTr="009156CF">
        <w:trPr>
          <w:trHeight w:val="1200"/>
        </w:trPr>
        <w:tc>
          <w:tcPr>
            <w:tcW w:w="1497" w:type="dxa"/>
            <w:tcBorders>
              <w:top w:val="nil"/>
              <w:left w:val="nil"/>
              <w:bottom w:val="nil"/>
              <w:right w:val="nil"/>
            </w:tcBorders>
            <w:shd w:val="clear" w:color="auto" w:fill="auto"/>
            <w:noWrap/>
            <w:vAlign w:val="center"/>
            <w:hideMark/>
          </w:tcPr>
          <w:p w14:paraId="64801BD7" w14:textId="77777777" w:rsidR="00996AE0" w:rsidRPr="00996AE0" w:rsidRDefault="00996AE0" w:rsidP="009156CF">
            <w:pPr>
              <w:rPr>
                <w:rFonts w:ascii="Times New Roman" w:eastAsia="Times New Roman" w:hAnsi="Times New Roman" w:cs="Times New Roman"/>
                <w:b/>
                <w:bCs/>
                <w:color w:val="000000"/>
                <w:sz w:val="15"/>
                <w:szCs w:val="15"/>
              </w:rPr>
            </w:pPr>
            <w:r w:rsidRPr="00996AE0">
              <w:rPr>
                <w:rFonts w:ascii="Times New Roman" w:eastAsia="Times New Roman" w:hAnsi="Times New Roman" w:cs="Times New Roman"/>
                <w:b/>
                <w:bCs/>
                <w:color w:val="000000" w:themeColor="text1"/>
                <w:sz w:val="15"/>
                <w:szCs w:val="15"/>
                <w:lang w:val="en-US"/>
              </w:rPr>
              <w:t>Iyer et al., 2017</w:t>
            </w:r>
          </w:p>
        </w:tc>
        <w:tc>
          <w:tcPr>
            <w:tcW w:w="948" w:type="dxa"/>
            <w:tcBorders>
              <w:top w:val="nil"/>
              <w:left w:val="nil"/>
              <w:bottom w:val="nil"/>
              <w:right w:val="nil"/>
            </w:tcBorders>
            <w:shd w:val="clear" w:color="auto" w:fill="auto"/>
            <w:noWrap/>
            <w:vAlign w:val="center"/>
            <w:hideMark/>
          </w:tcPr>
          <w:p w14:paraId="21B8E571"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2017</w:t>
            </w:r>
          </w:p>
        </w:tc>
        <w:tc>
          <w:tcPr>
            <w:tcW w:w="1939" w:type="dxa"/>
            <w:tcBorders>
              <w:top w:val="nil"/>
              <w:left w:val="nil"/>
              <w:bottom w:val="nil"/>
              <w:right w:val="nil"/>
            </w:tcBorders>
            <w:shd w:val="clear" w:color="auto" w:fill="auto"/>
            <w:noWrap/>
            <w:vAlign w:val="center"/>
            <w:hideMark/>
          </w:tcPr>
          <w:p w14:paraId="4D46EDD3"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USA</w:t>
            </w:r>
          </w:p>
        </w:tc>
        <w:tc>
          <w:tcPr>
            <w:tcW w:w="1180" w:type="dxa"/>
            <w:tcBorders>
              <w:top w:val="nil"/>
              <w:left w:val="nil"/>
              <w:bottom w:val="nil"/>
              <w:right w:val="nil"/>
            </w:tcBorders>
            <w:shd w:val="clear" w:color="auto" w:fill="auto"/>
            <w:noWrap/>
            <w:vAlign w:val="center"/>
            <w:hideMark/>
          </w:tcPr>
          <w:p w14:paraId="351EA653"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N/A</w:t>
            </w:r>
          </w:p>
        </w:tc>
        <w:tc>
          <w:tcPr>
            <w:tcW w:w="939" w:type="dxa"/>
            <w:tcBorders>
              <w:top w:val="nil"/>
              <w:left w:val="nil"/>
              <w:bottom w:val="nil"/>
              <w:right w:val="nil"/>
            </w:tcBorders>
            <w:shd w:val="clear" w:color="auto" w:fill="auto"/>
            <w:noWrap/>
            <w:vAlign w:val="center"/>
            <w:hideMark/>
          </w:tcPr>
          <w:p w14:paraId="73DF7C7D"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N/A</w:t>
            </w:r>
          </w:p>
        </w:tc>
        <w:tc>
          <w:tcPr>
            <w:tcW w:w="1672" w:type="dxa"/>
            <w:tcBorders>
              <w:top w:val="nil"/>
              <w:left w:val="nil"/>
              <w:bottom w:val="nil"/>
              <w:right w:val="nil"/>
            </w:tcBorders>
            <w:shd w:val="clear" w:color="auto" w:fill="auto"/>
            <w:noWrap/>
            <w:vAlign w:val="center"/>
            <w:hideMark/>
          </w:tcPr>
          <w:p w14:paraId="5FB7CC68"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National politics</w:t>
            </w:r>
          </w:p>
        </w:tc>
        <w:tc>
          <w:tcPr>
            <w:tcW w:w="934" w:type="dxa"/>
            <w:tcBorders>
              <w:top w:val="nil"/>
              <w:left w:val="nil"/>
              <w:bottom w:val="nil"/>
              <w:right w:val="nil"/>
            </w:tcBorders>
            <w:shd w:val="clear" w:color="auto" w:fill="auto"/>
            <w:noWrap/>
            <w:vAlign w:val="center"/>
            <w:hideMark/>
          </w:tcPr>
          <w:p w14:paraId="29299B82"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Facebook</w:t>
            </w:r>
          </w:p>
        </w:tc>
        <w:tc>
          <w:tcPr>
            <w:tcW w:w="2004" w:type="dxa"/>
            <w:tcBorders>
              <w:top w:val="nil"/>
              <w:left w:val="nil"/>
              <w:bottom w:val="nil"/>
              <w:right w:val="nil"/>
            </w:tcBorders>
            <w:shd w:val="clear" w:color="auto" w:fill="auto"/>
            <w:noWrap/>
            <w:vAlign w:val="center"/>
            <w:hideMark/>
          </w:tcPr>
          <w:p w14:paraId="3C3F8904"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Reference group influence, Elaboration-Likelihood Model, generational cohorts</w:t>
            </w:r>
          </w:p>
        </w:tc>
        <w:tc>
          <w:tcPr>
            <w:tcW w:w="1342" w:type="dxa"/>
            <w:tcBorders>
              <w:top w:val="nil"/>
              <w:left w:val="nil"/>
              <w:bottom w:val="nil"/>
              <w:right w:val="nil"/>
            </w:tcBorders>
            <w:shd w:val="clear" w:color="auto" w:fill="auto"/>
            <w:noWrap/>
            <w:vAlign w:val="center"/>
            <w:hideMark/>
          </w:tcPr>
          <w:p w14:paraId="6C784088"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1613" w:type="dxa"/>
            <w:tcBorders>
              <w:top w:val="nil"/>
              <w:left w:val="nil"/>
              <w:bottom w:val="nil"/>
              <w:right w:val="nil"/>
            </w:tcBorders>
            <w:shd w:val="clear" w:color="auto" w:fill="auto"/>
            <w:noWrap/>
            <w:vAlign w:val="center"/>
            <w:hideMark/>
          </w:tcPr>
          <w:p w14:paraId="5C5098B1"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Experiment</w:t>
            </w:r>
          </w:p>
        </w:tc>
        <w:tc>
          <w:tcPr>
            <w:tcW w:w="1482" w:type="dxa"/>
            <w:tcBorders>
              <w:top w:val="nil"/>
              <w:left w:val="nil"/>
              <w:bottom w:val="nil"/>
              <w:right w:val="nil"/>
            </w:tcBorders>
            <w:shd w:val="clear" w:color="auto" w:fill="auto"/>
            <w:noWrap/>
            <w:vAlign w:val="center"/>
            <w:hideMark/>
          </w:tcPr>
          <w:p w14:paraId="1AFE9EBC"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Voters</w:t>
            </w:r>
          </w:p>
        </w:tc>
        <w:tc>
          <w:tcPr>
            <w:tcW w:w="1009" w:type="dxa"/>
            <w:tcBorders>
              <w:top w:val="nil"/>
              <w:left w:val="nil"/>
              <w:bottom w:val="nil"/>
              <w:right w:val="nil"/>
            </w:tcBorders>
            <w:shd w:val="clear" w:color="auto" w:fill="auto"/>
            <w:noWrap/>
            <w:vAlign w:val="center"/>
            <w:hideMark/>
          </w:tcPr>
          <w:p w14:paraId="351C635F"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451" w:type="dxa"/>
            <w:tcBorders>
              <w:top w:val="nil"/>
              <w:left w:val="nil"/>
              <w:bottom w:val="nil"/>
              <w:right w:val="nil"/>
            </w:tcBorders>
            <w:shd w:val="clear" w:color="auto" w:fill="auto"/>
            <w:noWrap/>
            <w:vAlign w:val="center"/>
            <w:hideMark/>
          </w:tcPr>
          <w:p w14:paraId="1D1CFB85"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7470" w:type="dxa"/>
            <w:tcBorders>
              <w:top w:val="nil"/>
              <w:left w:val="nil"/>
              <w:bottom w:val="nil"/>
              <w:right w:val="nil"/>
            </w:tcBorders>
            <w:shd w:val="clear" w:color="auto" w:fill="auto"/>
            <w:vAlign w:val="center"/>
            <w:hideMark/>
          </w:tcPr>
          <w:p w14:paraId="7BE9E625"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Younger people prefer political WOM through digital/text channels. Older voters prefer traditional communication. Younger voters exhibit greater message involvement with shallow messages (short and brief) and older voters prefer deeper messages (complex and detailed). Message involvement mediates their relationships with believability and voting intentions. When a message is sent by an acquaintance, the medium matters. However, if it is from someone in one’s reference group (classmate/coworker), it does not matter.</w:t>
            </w:r>
          </w:p>
        </w:tc>
      </w:tr>
      <w:tr w:rsidR="00996AE0" w:rsidRPr="00996AE0" w14:paraId="2A30E5F9" w14:textId="77777777" w:rsidTr="009156CF">
        <w:trPr>
          <w:trHeight w:val="960"/>
        </w:trPr>
        <w:tc>
          <w:tcPr>
            <w:tcW w:w="1497" w:type="dxa"/>
            <w:tcBorders>
              <w:top w:val="nil"/>
              <w:left w:val="nil"/>
              <w:bottom w:val="nil"/>
              <w:right w:val="nil"/>
            </w:tcBorders>
            <w:shd w:val="clear" w:color="auto" w:fill="auto"/>
            <w:noWrap/>
            <w:vAlign w:val="center"/>
            <w:hideMark/>
          </w:tcPr>
          <w:p w14:paraId="42683E2D" w14:textId="77777777" w:rsidR="00996AE0" w:rsidRPr="00996AE0" w:rsidRDefault="00996AE0" w:rsidP="009156CF">
            <w:pPr>
              <w:rPr>
                <w:rFonts w:ascii="Times New Roman" w:eastAsia="Times New Roman" w:hAnsi="Times New Roman" w:cs="Times New Roman"/>
                <w:b/>
                <w:bCs/>
                <w:color w:val="000000"/>
                <w:sz w:val="15"/>
                <w:szCs w:val="15"/>
              </w:rPr>
            </w:pPr>
            <w:r w:rsidRPr="00996AE0">
              <w:rPr>
                <w:rFonts w:ascii="Times New Roman" w:eastAsia="Times New Roman" w:hAnsi="Times New Roman" w:cs="Times New Roman"/>
                <w:b/>
                <w:bCs/>
                <w:color w:val="000000" w:themeColor="text1"/>
                <w:sz w:val="15"/>
                <w:szCs w:val="15"/>
                <w:lang w:val="en-US"/>
              </w:rPr>
              <w:t>Jain &amp; Ganesh, 2020</w:t>
            </w:r>
          </w:p>
        </w:tc>
        <w:tc>
          <w:tcPr>
            <w:tcW w:w="948" w:type="dxa"/>
            <w:tcBorders>
              <w:top w:val="nil"/>
              <w:left w:val="nil"/>
              <w:bottom w:val="nil"/>
              <w:right w:val="nil"/>
            </w:tcBorders>
            <w:shd w:val="clear" w:color="auto" w:fill="auto"/>
            <w:noWrap/>
            <w:vAlign w:val="center"/>
            <w:hideMark/>
          </w:tcPr>
          <w:p w14:paraId="3426113A"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2020</w:t>
            </w:r>
          </w:p>
        </w:tc>
        <w:tc>
          <w:tcPr>
            <w:tcW w:w="1939" w:type="dxa"/>
            <w:tcBorders>
              <w:top w:val="nil"/>
              <w:left w:val="nil"/>
              <w:bottom w:val="nil"/>
              <w:right w:val="nil"/>
            </w:tcBorders>
            <w:shd w:val="clear" w:color="auto" w:fill="auto"/>
            <w:noWrap/>
            <w:vAlign w:val="center"/>
            <w:hideMark/>
          </w:tcPr>
          <w:p w14:paraId="336F9F7C"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India</w:t>
            </w:r>
          </w:p>
        </w:tc>
        <w:tc>
          <w:tcPr>
            <w:tcW w:w="1180" w:type="dxa"/>
            <w:tcBorders>
              <w:top w:val="nil"/>
              <w:left w:val="nil"/>
              <w:bottom w:val="nil"/>
              <w:right w:val="nil"/>
            </w:tcBorders>
            <w:shd w:val="clear" w:color="auto" w:fill="auto"/>
            <w:noWrap/>
            <w:vAlign w:val="center"/>
            <w:hideMark/>
          </w:tcPr>
          <w:p w14:paraId="5C46217A"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2014</w:t>
            </w:r>
          </w:p>
        </w:tc>
        <w:tc>
          <w:tcPr>
            <w:tcW w:w="939" w:type="dxa"/>
            <w:tcBorders>
              <w:top w:val="nil"/>
              <w:left w:val="nil"/>
              <w:bottom w:val="nil"/>
              <w:right w:val="nil"/>
            </w:tcBorders>
            <w:shd w:val="clear" w:color="auto" w:fill="auto"/>
            <w:noWrap/>
            <w:vAlign w:val="center"/>
            <w:hideMark/>
          </w:tcPr>
          <w:p w14:paraId="097F1F76"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Candidate</w:t>
            </w:r>
          </w:p>
        </w:tc>
        <w:tc>
          <w:tcPr>
            <w:tcW w:w="1672" w:type="dxa"/>
            <w:tcBorders>
              <w:top w:val="nil"/>
              <w:left w:val="nil"/>
              <w:bottom w:val="nil"/>
              <w:right w:val="nil"/>
            </w:tcBorders>
            <w:shd w:val="clear" w:color="auto" w:fill="auto"/>
            <w:noWrap/>
            <w:vAlign w:val="center"/>
            <w:hideMark/>
          </w:tcPr>
          <w:p w14:paraId="6CE6B90C"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National politics</w:t>
            </w:r>
          </w:p>
        </w:tc>
        <w:tc>
          <w:tcPr>
            <w:tcW w:w="934" w:type="dxa"/>
            <w:tcBorders>
              <w:top w:val="nil"/>
              <w:left w:val="nil"/>
              <w:bottom w:val="nil"/>
              <w:right w:val="nil"/>
            </w:tcBorders>
            <w:shd w:val="clear" w:color="auto" w:fill="auto"/>
            <w:noWrap/>
            <w:vAlign w:val="center"/>
            <w:hideMark/>
          </w:tcPr>
          <w:p w14:paraId="6A55F0A0"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General</w:t>
            </w:r>
          </w:p>
        </w:tc>
        <w:tc>
          <w:tcPr>
            <w:tcW w:w="2004" w:type="dxa"/>
            <w:tcBorders>
              <w:top w:val="nil"/>
              <w:left w:val="nil"/>
              <w:bottom w:val="nil"/>
              <w:right w:val="nil"/>
            </w:tcBorders>
            <w:shd w:val="clear" w:color="auto" w:fill="auto"/>
            <w:noWrap/>
            <w:vAlign w:val="center"/>
            <w:hideMark/>
          </w:tcPr>
          <w:p w14:paraId="7DFD2049"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Credibility, traits, crisis management, collaboration</w:t>
            </w:r>
          </w:p>
        </w:tc>
        <w:tc>
          <w:tcPr>
            <w:tcW w:w="1342" w:type="dxa"/>
            <w:tcBorders>
              <w:top w:val="nil"/>
              <w:left w:val="nil"/>
              <w:bottom w:val="nil"/>
              <w:right w:val="nil"/>
            </w:tcBorders>
            <w:shd w:val="clear" w:color="auto" w:fill="auto"/>
            <w:noWrap/>
            <w:vAlign w:val="center"/>
            <w:hideMark/>
          </w:tcPr>
          <w:p w14:paraId="72CC7B84"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1613" w:type="dxa"/>
            <w:tcBorders>
              <w:top w:val="nil"/>
              <w:left w:val="nil"/>
              <w:bottom w:val="nil"/>
              <w:right w:val="nil"/>
            </w:tcBorders>
            <w:shd w:val="clear" w:color="auto" w:fill="auto"/>
            <w:noWrap/>
            <w:vAlign w:val="center"/>
            <w:hideMark/>
          </w:tcPr>
          <w:p w14:paraId="29AB5F7B"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Case-study</w:t>
            </w:r>
          </w:p>
        </w:tc>
        <w:tc>
          <w:tcPr>
            <w:tcW w:w="1482" w:type="dxa"/>
            <w:tcBorders>
              <w:top w:val="nil"/>
              <w:left w:val="nil"/>
              <w:bottom w:val="nil"/>
              <w:right w:val="nil"/>
            </w:tcBorders>
            <w:shd w:val="clear" w:color="auto" w:fill="auto"/>
            <w:noWrap/>
            <w:vAlign w:val="center"/>
            <w:hideMark/>
          </w:tcPr>
          <w:p w14:paraId="2E7AB425"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Secondary data</w:t>
            </w:r>
          </w:p>
        </w:tc>
        <w:tc>
          <w:tcPr>
            <w:tcW w:w="1009" w:type="dxa"/>
            <w:tcBorders>
              <w:top w:val="nil"/>
              <w:left w:val="nil"/>
              <w:bottom w:val="nil"/>
              <w:right w:val="nil"/>
            </w:tcBorders>
            <w:shd w:val="clear" w:color="auto" w:fill="auto"/>
            <w:noWrap/>
            <w:vAlign w:val="center"/>
            <w:hideMark/>
          </w:tcPr>
          <w:p w14:paraId="345DCDB4"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451" w:type="dxa"/>
            <w:tcBorders>
              <w:top w:val="nil"/>
              <w:left w:val="nil"/>
              <w:bottom w:val="nil"/>
              <w:right w:val="nil"/>
            </w:tcBorders>
            <w:shd w:val="clear" w:color="auto" w:fill="auto"/>
            <w:noWrap/>
            <w:vAlign w:val="center"/>
            <w:hideMark/>
          </w:tcPr>
          <w:p w14:paraId="0DA93934"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7470" w:type="dxa"/>
            <w:tcBorders>
              <w:top w:val="nil"/>
              <w:left w:val="nil"/>
              <w:bottom w:val="nil"/>
              <w:right w:val="nil"/>
            </w:tcBorders>
            <w:shd w:val="clear" w:color="auto" w:fill="auto"/>
            <w:vAlign w:val="center"/>
            <w:hideMark/>
          </w:tcPr>
          <w:p w14:paraId="300425F5"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The authors build a credibility model using Narendra Modi (India’s Prime Minister) as a case study. Modi used various social media tactics to build credibility: #achedin (translated as good days), globalized language, Modi kurta, Modi masks (we are all Modi), virtual/3d holographs, queries or conversations with Modi on social media, high energy slogans, and speeches in multiple languages on his website.</w:t>
            </w:r>
          </w:p>
        </w:tc>
      </w:tr>
      <w:tr w:rsidR="00996AE0" w:rsidRPr="00996AE0" w14:paraId="10171E09" w14:textId="77777777" w:rsidTr="009156CF">
        <w:trPr>
          <w:trHeight w:val="1200"/>
        </w:trPr>
        <w:tc>
          <w:tcPr>
            <w:tcW w:w="1497" w:type="dxa"/>
            <w:tcBorders>
              <w:top w:val="nil"/>
              <w:left w:val="nil"/>
              <w:bottom w:val="nil"/>
              <w:right w:val="nil"/>
            </w:tcBorders>
            <w:shd w:val="clear" w:color="auto" w:fill="auto"/>
            <w:noWrap/>
            <w:vAlign w:val="center"/>
            <w:hideMark/>
          </w:tcPr>
          <w:p w14:paraId="30F33D40" w14:textId="77777777" w:rsidR="00996AE0" w:rsidRPr="00996AE0" w:rsidRDefault="00996AE0" w:rsidP="009156CF">
            <w:pPr>
              <w:rPr>
                <w:rFonts w:ascii="Times New Roman" w:eastAsia="Times New Roman" w:hAnsi="Times New Roman" w:cs="Times New Roman"/>
                <w:b/>
                <w:bCs/>
                <w:color w:val="000000"/>
                <w:sz w:val="15"/>
                <w:szCs w:val="15"/>
              </w:rPr>
            </w:pPr>
            <w:r w:rsidRPr="00996AE0">
              <w:rPr>
                <w:rFonts w:ascii="Times New Roman" w:eastAsia="Times New Roman" w:hAnsi="Times New Roman" w:cs="Times New Roman"/>
                <w:b/>
                <w:bCs/>
                <w:color w:val="000000" w:themeColor="text1"/>
                <w:sz w:val="15"/>
                <w:szCs w:val="15"/>
                <w:lang w:val="en-US"/>
              </w:rPr>
              <w:t>Jensen &amp; Bang, 2017</w:t>
            </w:r>
          </w:p>
        </w:tc>
        <w:tc>
          <w:tcPr>
            <w:tcW w:w="948" w:type="dxa"/>
            <w:tcBorders>
              <w:top w:val="nil"/>
              <w:left w:val="nil"/>
              <w:bottom w:val="nil"/>
              <w:right w:val="nil"/>
            </w:tcBorders>
            <w:shd w:val="clear" w:color="auto" w:fill="auto"/>
            <w:noWrap/>
            <w:vAlign w:val="center"/>
            <w:hideMark/>
          </w:tcPr>
          <w:p w14:paraId="7E819823"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2017</w:t>
            </w:r>
          </w:p>
        </w:tc>
        <w:tc>
          <w:tcPr>
            <w:tcW w:w="1939" w:type="dxa"/>
            <w:tcBorders>
              <w:top w:val="nil"/>
              <w:left w:val="nil"/>
              <w:bottom w:val="nil"/>
              <w:right w:val="nil"/>
            </w:tcBorders>
            <w:shd w:val="clear" w:color="auto" w:fill="auto"/>
            <w:noWrap/>
            <w:vAlign w:val="center"/>
            <w:hideMark/>
          </w:tcPr>
          <w:p w14:paraId="4CB67964"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USA</w:t>
            </w:r>
          </w:p>
        </w:tc>
        <w:tc>
          <w:tcPr>
            <w:tcW w:w="1180" w:type="dxa"/>
            <w:tcBorders>
              <w:top w:val="nil"/>
              <w:left w:val="nil"/>
              <w:bottom w:val="nil"/>
              <w:right w:val="nil"/>
            </w:tcBorders>
            <w:shd w:val="clear" w:color="auto" w:fill="auto"/>
            <w:noWrap/>
            <w:vAlign w:val="center"/>
            <w:hideMark/>
          </w:tcPr>
          <w:p w14:paraId="0F5BC2C7"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2016</w:t>
            </w:r>
          </w:p>
        </w:tc>
        <w:tc>
          <w:tcPr>
            <w:tcW w:w="939" w:type="dxa"/>
            <w:tcBorders>
              <w:top w:val="nil"/>
              <w:left w:val="nil"/>
              <w:bottom w:val="nil"/>
              <w:right w:val="nil"/>
            </w:tcBorders>
            <w:shd w:val="clear" w:color="auto" w:fill="auto"/>
            <w:noWrap/>
            <w:vAlign w:val="center"/>
            <w:hideMark/>
          </w:tcPr>
          <w:p w14:paraId="4E4C10C7"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Candidate</w:t>
            </w:r>
          </w:p>
        </w:tc>
        <w:tc>
          <w:tcPr>
            <w:tcW w:w="1672" w:type="dxa"/>
            <w:tcBorders>
              <w:top w:val="nil"/>
              <w:left w:val="nil"/>
              <w:bottom w:val="nil"/>
              <w:right w:val="nil"/>
            </w:tcBorders>
            <w:shd w:val="clear" w:color="auto" w:fill="auto"/>
            <w:noWrap/>
            <w:vAlign w:val="center"/>
            <w:hideMark/>
          </w:tcPr>
          <w:p w14:paraId="572C7CE1"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Presidential politics (primaries)</w:t>
            </w:r>
          </w:p>
        </w:tc>
        <w:tc>
          <w:tcPr>
            <w:tcW w:w="934" w:type="dxa"/>
            <w:tcBorders>
              <w:top w:val="nil"/>
              <w:left w:val="nil"/>
              <w:bottom w:val="nil"/>
              <w:right w:val="nil"/>
            </w:tcBorders>
            <w:shd w:val="clear" w:color="auto" w:fill="auto"/>
            <w:noWrap/>
            <w:vAlign w:val="center"/>
            <w:hideMark/>
          </w:tcPr>
          <w:p w14:paraId="60BFB4BA"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Facebook</w:t>
            </w:r>
          </w:p>
        </w:tc>
        <w:tc>
          <w:tcPr>
            <w:tcW w:w="2004" w:type="dxa"/>
            <w:tcBorders>
              <w:top w:val="nil"/>
              <w:left w:val="nil"/>
              <w:bottom w:val="nil"/>
              <w:right w:val="nil"/>
            </w:tcBorders>
            <w:shd w:val="clear" w:color="auto" w:fill="auto"/>
            <w:noWrap/>
            <w:vAlign w:val="center"/>
            <w:hideMark/>
          </w:tcPr>
          <w:p w14:paraId="3585407A"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Populism, connectivism</w:t>
            </w:r>
          </w:p>
        </w:tc>
        <w:tc>
          <w:tcPr>
            <w:tcW w:w="1342" w:type="dxa"/>
            <w:tcBorders>
              <w:top w:val="nil"/>
              <w:left w:val="nil"/>
              <w:bottom w:val="nil"/>
              <w:right w:val="nil"/>
            </w:tcBorders>
            <w:shd w:val="clear" w:color="auto" w:fill="auto"/>
            <w:noWrap/>
            <w:vAlign w:val="center"/>
            <w:hideMark/>
          </w:tcPr>
          <w:p w14:paraId="54075A4A"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1613" w:type="dxa"/>
            <w:tcBorders>
              <w:top w:val="nil"/>
              <w:left w:val="nil"/>
              <w:bottom w:val="nil"/>
              <w:right w:val="nil"/>
            </w:tcBorders>
            <w:shd w:val="clear" w:color="auto" w:fill="auto"/>
            <w:noWrap/>
            <w:vAlign w:val="center"/>
            <w:hideMark/>
          </w:tcPr>
          <w:p w14:paraId="391FBE25"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Content analysis</w:t>
            </w:r>
          </w:p>
        </w:tc>
        <w:tc>
          <w:tcPr>
            <w:tcW w:w="1482" w:type="dxa"/>
            <w:tcBorders>
              <w:top w:val="nil"/>
              <w:left w:val="nil"/>
              <w:bottom w:val="nil"/>
              <w:right w:val="nil"/>
            </w:tcBorders>
            <w:shd w:val="clear" w:color="auto" w:fill="auto"/>
            <w:noWrap/>
            <w:vAlign w:val="center"/>
            <w:hideMark/>
          </w:tcPr>
          <w:p w14:paraId="11CE758C"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Facebook campaigns of Bernie Sanders and Donald Trump</w:t>
            </w:r>
          </w:p>
        </w:tc>
        <w:tc>
          <w:tcPr>
            <w:tcW w:w="1009" w:type="dxa"/>
            <w:tcBorders>
              <w:top w:val="nil"/>
              <w:left w:val="nil"/>
              <w:bottom w:val="nil"/>
              <w:right w:val="nil"/>
            </w:tcBorders>
            <w:shd w:val="clear" w:color="auto" w:fill="auto"/>
            <w:noWrap/>
            <w:vAlign w:val="center"/>
            <w:hideMark/>
          </w:tcPr>
          <w:p w14:paraId="3880491C"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451" w:type="dxa"/>
            <w:tcBorders>
              <w:top w:val="nil"/>
              <w:left w:val="nil"/>
              <w:bottom w:val="nil"/>
              <w:right w:val="nil"/>
            </w:tcBorders>
            <w:shd w:val="clear" w:color="auto" w:fill="auto"/>
            <w:noWrap/>
            <w:vAlign w:val="center"/>
            <w:hideMark/>
          </w:tcPr>
          <w:p w14:paraId="2C819B6D"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7470" w:type="dxa"/>
            <w:tcBorders>
              <w:top w:val="nil"/>
              <w:left w:val="nil"/>
              <w:bottom w:val="nil"/>
              <w:right w:val="nil"/>
            </w:tcBorders>
            <w:shd w:val="clear" w:color="auto" w:fill="auto"/>
            <w:vAlign w:val="center"/>
            <w:hideMark/>
          </w:tcPr>
          <w:p w14:paraId="03347FCA"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 xml:space="preserve">Trump’s campaign was populist. Although Bernie’s campaign had a populist element, it was connective. Both Trump and Sanders were anti-establishment. Bernie discussed citizen power and recognized differences, whereas Trump focused on collective identity and strong authority. The mentions of democracy and citizen power were greater in the comments on Sander’s posts. The tone of comments on Sanders’ page was positive, whereas the tone on Trump’s page was that of fear. </w:t>
            </w:r>
          </w:p>
        </w:tc>
      </w:tr>
      <w:tr w:rsidR="00996AE0" w:rsidRPr="00996AE0" w14:paraId="54F4C248" w14:textId="77777777" w:rsidTr="009156CF">
        <w:trPr>
          <w:trHeight w:val="720"/>
        </w:trPr>
        <w:tc>
          <w:tcPr>
            <w:tcW w:w="1497" w:type="dxa"/>
            <w:tcBorders>
              <w:top w:val="nil"/>
              <w:left w:val="nil"/>
              <w:bottom w:val="nil"/>
              <w:right w:val="nil"/>
            </w:tcBorders>
            <w:shd w:val="clear" w:color="auto" w:fill="auto"/>
            <w:noWrap/>
            <w:vAlign w:val="center"/>
            <w:hideMark/>
          </w:tcPr>
          <w:p w14:paraId="61E7F4D8" w14:textId="77777777" w:rsidR="00996AE0" w:rsidRPr="00996AE0" w:rsidRDefault="00996AE0" w:rsidP="009156CF">
            <w:pPr>
              <w:rPr>
                <w:rFonts w:ascii="Times New Roman" w:eastAsia="Times New Roman" w:hAnsi="Times New Roman" w:cs="Times New Roman"/>
                <w:b/>
                <w:bCs/>
                <w:color w:val="000000"/>
                <w:sz w:val="15"/>
                <w:szCs w:val="15"/>
              </w:rPr>
            </w:pPr>
            <w:r w:rsidRPr="00996AE0">
              <w:rPr>
                <w:rFonts w:ascii="Times New Roman" w:eastAsia="Times New Roman" w:hAnsi="Times New Roman" w:cs="Times New Roman"/>
                <w:b/>
                <w:bCs/>
                <w:color w:val="000000" w:themeColor="text1"/>
                <w:sz w:val="15"/>
                <w:szCs w:val="15"/>
                <w:lang w:val="en-US"/>
              </w:rPr>
              <w:t>Joathan &amp; Lilleker, 2020</w:t>
            </w:r>
          </w:p>
        </w:tc>
        <w:tc>
          <w:tcPr>
            <w:tcW w:w="948" w:type="dxa"/>
            <w:tcBorders>
              <w:top w:val="nil"/>
              <w:left w:val="nil"/>
              <w:bottom w:val="nil"/>
              <w:right w:val="nil"/>
            </w:tcBorders>
            <w:shd w:val="clear" w:color="auto" w:fill="auto"/>
            <w:noWrap/>
            <w:vAlign w:val="center"/>
            <w:hideMark/>
          </w:tcPr>
          <w:p w14:paraId="1AA8EE71"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2020</w:t>
            </w:r>
          </w:p>
        </w:tc>
        <w:tc>
          <w:tcPr>
            <w:tcW w:w="1939" w:type="dxa"/>
            <w:tcBorders>
              <w:top w:val="nil"/>
              <w:left w:val="nil"/>
              <w:bottom w:val="nil"/>
              <w:right w:val="nil"/>
            </w:tcBorders>
            <w:shd w:val="clear" w:color="auto" w:fill="auto"/>
            <w:noWrap/>
            <w:vAlign w:val="center"/>
            <w:hideMark/>
          </w:tcPr>
          <w:p w14:paraId="5DD03513"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Not specific to a country</w:t>
            </w:r>
          </w:p>
        </w:tc>
        <w:tc>
          <w:tcPr>
            <w:tcW w:w="1180" w:type="dxa"/>
            <w:tcBorders>
              <w:top w:val="nil"/>
              <w:left w:val="nil"/>
              <w:bottom w:val="nil"/>
              <w:right w:val="nil"/>
            </w:tcBorders>
            <w:shd w:val="clear" w:color="auto" w:fill="auto"/>
            <w:noWrap/>
            <w:vAlign w:val="center"/>
            <w:hideMark/>
          </w:tcPr>
          <w:p w14:paraId="1790F372"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N/A</w:t>
            </w:r>
          </w:p>
        </w:tc>
        <w:tc>
          <w:tcPr>
            <w:tcW w:w="939" w:type="dxa"/>
            <w:tcBorders>
              <w:top w:val="nil"/>
              <w:left w:val="nil"/>
              <w:bottom w:val="nil"/>
              <w:right w:val="nil"/>
            </w:tcBorders>
            <w:shd w:val="clear" w:color="auto" w:fill="auto"/>
            <w:noWrap/>
            <w:vAlign w:val="center"/>
            <w:hideMark/>
          </w:tcPr>
          <w:p w14:paraId="2ED81237"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N/A</w:t>
            </w:r>
          </w:p>
        </w:tc>
        <w:tc>
          <w:tcPr>
            <w:tcW w:w="1672" w:type="dxa"/>
            <w:tcBorders>
              <w:top w:val="nil"/>
              <w:left w:val="nil"/>
              <w:bottom w:val="nil"/>
              <w:right w:val="nil"/>
            </w:tcBorders>
            <w:shd w:val="clear" w:color="auto" w:fill="auto"/>
            <w:noWrap/>
            <w:vAlign w:val="center"/>
            <w:hideMark/>
          </w:tcPr>
          <w:p w14:paraId="323F8B7E"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N/A</w:t>
            </w:r>
          </w:p>
        </w:tc>
        <w:tc>
          <w:tcPr>
            <w:tcW w:w="934" w:type="dxa"/>
            <w:tcBorders>
              <w:top w:val="nil"/>
              <w:left w:val="nil"/>
              <w:bottom w:val="nil"/>
              <w:right w:val="nil"/>
            </w:tcBorders>
            <w:shd w:val="clear" w:color="auto" w:fill="auto"/>
            <w:noWrap/>
            <w:vAlign w:val="center"/>
            <w:hideMark/>
          </w:tcPr>
          <w:p w14:paraId="4AD72D80"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General</w:t>
            </w:r>
          </w:p>
        </w:tc>
        <w:tc>
          <w:tcPr>
            <w:tcW w:w="2004" w:type="dxa"/>
            <w:tcBorders>
              <w:top w:val="nil"/>
              <w:left w:val="nil"/>
              <w:bottom w:val="nil"/>
              <w:right w:val="nil"/>
            </w:tcBorders>
            <w:shd w:val="clear" w:color="auto" w:fill="auto"/>
            <w:noWrap/>
            <w:vAlign w:val="center"/>
            <w:hideMark/>
          </w:tcPr>
          <w:p w14:paraId="3BF96157"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Permanent campaigning</w:t>
            </w:r>
          </w:p>
        </w:tc>
        <w:tc>
          <w:tcPr>
            <w:tcW w:w="1342" w:type="dxa"/>
            <w:tcBorders>
              <w:top w:val="nil"/>
              <w:left w:val="nil"/>
              <w:bottom w:val="nil"/>
              <w:right w:val="nil"/>
            </w:tcBorders>
            <w:shd w:val="clear" w:color="auto" w:fill="auto"/>
            <w:noWrap/>
            <w:vAlign w:val="center"/>
            <w:hideMark/>
          </w:tcPr>
          <w:p w14:paraId="69181846"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1613" w:type="dxa"/>
            <w:tcBorders>
              <w:top w:val="nil"/>
              <w:left w:val="nil"/>
              <w:bottom w:val="nil"/>
              <w:right w:val="nil"/>
            </w:tcBorders>
            <w:shd w:val="clear" w:color="auto" w:fill="auto"/>
            <w:noWrap/>
            <w:vAlign w:val="center"/>
            <w:hideMark/>
          </w:tcPr>
          <w:p w14:paraId="5C68352E"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Meta-analysis</w:t>
            </w:r>
          </w:p>
        </w:tc>
        <w:tc>
          <w:tcPr>
            <w:tcW w:w="1482" w:type="dxa"/>
            <w:tcBorders>
              <w:top w:val="nil"/>
              <w:left w:val="nil"/>
              <w:bottom w:val="nil"/>
              <w:right w:val="nil"/>
            </w:tcBorders>
            <w:shd w:val="clear" w:color="auto" w:fill="auto"/>
            <w:noWrap/>
            <w:vAlign w:val="center"/>
            <w:hideMark/>
          </w:tcPr>
          <w:p w14:paraId="24CD1A4D"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Published studies</w:t>
            </w:r>
          </w:p>
        </w:tc>
        <w:tc>
          <w:tcPr>
            <w:tcW w:w="1009" w:type="dxa"/>
            <w:tcBorders>
              <w:top w:val="nil"/>
              <w:left w:val="nil"/>
              <w:bottom w:val="nil"/>
              <w:right w:val="nil"/>
            </w:tcBorders>
            <w:shd w:val="clear" w:color="auto" w:fill="auto"/>
            <w:noWrap/>
            <w:vAlign w:val="center"/>
            <w:hideMark/>
          </w:tcPr>
          <w:p w14:paraId="6B76C7B9"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451" w:type="dxa"/>
            <w:tcBorders>
              <w:top w:val="nil"/>
              <w:left w:val="nil"/>
              <w:bottom w:val="nil"/>
              <w:right w:val="nil"/>
            </w:tcBorders>
            <w:shd w:val="clear" w:color="auto" w:fill="auto"/>
            <w:noWrap/>
            <w:vAlign w:val="center"/>
            <w:hideMark/>
          </w:tcPr>
          <w:p w14:paraId="46D8F68C"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7470" w:type="dxa"/>
            <w:tcBorders>
              <w:top w:val="nil"/>
              <w:left w:val="nil"/>
              <w:bottom w:val="nil"/>
              <w:right w:val="nil"/>
            </w:tcBorders>
            <w:shd w:val="clear" w:color="auto" w:fill="auto"/>
            <w:vAlign w:val="center"/>
            <w:hideMark/>
          </w:tcPr>
          <w:p w14:paraId="0C7739E5"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 xml:space="preserve">The study highlights the use and importance of social media for permanent campaigning. Certain social media activities indicate the use of permanent campaigning. An excess of personal posts, frequency of publication on social media, use of interactivity, and posting rate above peer’s average, indicate permanent campaigning. </w:t>
            </w:r>
          </w:p>
        </w:tc>
      </w:tr>
      <w:tr w:rsidR="00996AE0" w:rsidRPr="00996AE0" w14:paraId="24D07639" w14:textId="77777777" w:rsidTr="009156CF">
        <w:trPr>
          <w:trHeight w:val="720"/>
        </w:trPr>
        <w:tc>
          <w:tcPr>
            <w:tcW w:w="1497" w:type="dxa"/>
            <w:tcBorders>
              <w:top w:val="nil"/>
              <w:left w:val="nil"/>
              <w:bottom w:val="nil"/>
              <w:right w:val="nil"/>
            </w:tcBorders>
            <w:shd w:val="clear" w:color="auto" w:fill="auto"/>
            <w:noWrap/>
            <w:vAlign w:val="center"/>
            <w:hideMark/>
          </w:tcPr>
          <w:p w14:paraId="4CCE37EC" w14:textId="77777777" w:rsidR="00996AE0" w:rsidRPr="00996AE0" w:rsidRDefault="00996AE0" w:rsidP="009156CF">
            <w:pPr>
              <w:rPr>
                <w:rFonts w:ascii="Times New Roman" w:eastAsia="Times New Roman" w:hAnsi="Times New Roman" w:cs="Times New Roman"/>
                <w:b/>
                <w:bCs/>
                <w:color w:val="000000"/>
                <w:sz w:val="15"/>
                <w:szCs w:val="15"/>
              </w:rPr>
            </w:pPr>
            <w:r w:rsidRPr="00996AE0">
              <w:rPr>
                <w:rFonts w:ascii="Times New Roman" w:eastAsia="Times New Roman" w:hAnsi="Times New Roman" w:cs="Times New Roman"/>
                <w:b/>
                <w:bCs/>
                <w:color w:val="000000" w:themeColor="text1"/>
                <w:sz w:val="15"/>
                <w:szCs w:val="15"/>
                <w:lang w:val="en-US"/>
              </w:rPr>
              <w:t>Kalliny et al., 2018</w:t>
            </w:r>
          </w:p>
        </w:tc>
        <w:tc>
          <w:tcPr>
            <w:tcW w:w="948" w:type="dxa"/>
            <w:tcBorders>
              <w:top w:val="nil"/>
              <w:left w:val="nil"/>
              <w:bottom w:val="nil"/>
              <w:right w:val="nil"/>
            </w:tcBorders>
            <w:shd w:val="clear" w:color="auto" w:fill="auto"/>
            <w:noWrap/>
            <w:vAlign w:val="center"/>
            <w:hideMark/>
          </w:tcPr>
          <w:p w14:paraId="1E442490"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2018</w:t>
            </w:r>
          </w:p>
        </w:tc>
        <w:tc>
          <w:tcPr>
            <w:tcW w:w="1939" w:type="dxa"/>
            <w:tcBorders>
              <w:top w:val="nil"/>
              <w:left w:val="nil"/>
              <w:bottom w:val="nil"/>
              <w:right w:val="nil"/>
            </w:tcBorders>
            <w:shd w:val="clear" w:color="auto" w:fill="auto"/>
            <w:noWrap/>
            <w:vAlign w:val="center"/>
            <w:hideMark/>
          </w:tcPr>
          <w:p w14:paraId="373B7B42"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Arab region</w:t>
            </w:r>
          </w:p>
        </w:tc>
        <w:tc>
          <w:tcPr>
            <w:tcW w:w="1180" w:type="dxa"/>
            <w:tcBorders>
              <w:top w:val="nil"/>
              <w:left w:val="nil"/>
              <w:bottom w:val="nil"/>
              <w:right w:val="nil"/>
            </w:tcBorders>
            <w:shd w:val="clear" w:color="auto" w:fill="auto"/>
            <w:noWrap/>
            <w:vAlign w:val="center"/>
            <w:hideMark/>
          </w:tcPr>
          <w:p w14:paraId="7FF46FBC"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N/A</w:t>
            </w:r>
          </w:p>
        </w:tc>
        <w:tc>
          <w:tcPr>
            <w:tcW w:w="939" w:type="dxa"/>
            <w:tcBorders>
              <w:top w:val="nil"/>
              <w:left w:val="nil"/>
              <w:bottom w:val="nil"/>
              <w:right w:val="nil"/>
            </w:tcBorders>
            <w:shd w:val="clear" w:color="auto" w:fill="auto"/>
            <w:noWrap/>
            <w:vAlign w:val="center"/>
            <w:hideMark/>
          </w:tcPr>
          <w:p w14:paraId="5F6F7A8D"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N/A</w:t>
            </w:r>
          </w:p>
        </w:tc>
        <w:tc>
          <w:tcPr>
            <w:tcW w:w="1672" w:type="dxa"/>
            <w:tcBorders>
              <w:top w:val="nil"/>
              <w:left w:val="nil"/>
              <w:bottom w:val="nil"/>
              <w:right w:val="nil"/>
            </w:tcBorders>
            <w:shd w:val="clear" w:color="auto" w:fill="auto"/>
            <w:noWrap/>
            <w:vAlign w:val="center"/>
            <w:hideMark/>
          </w:tcPr>
          <w:p w14:paraId="52BD6BC8"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Revolution and protest</w:t>
            </w:r>
          </w:p>
        </w:tc>
        <w:tc>
          <w:tcPr>
            <w:tcW w:w="934" w:type="dxa"/>
            <w:tcBorders>
              <w:top w:val="nil"/>
              <w:left w:val="nil"/>
              <w:bottom w:val="nil"/>
              <w:right w:val="nil"/>
            </w:tcBorders>
            <w:shd w:val="clear" w:color="auto" w:fill="auto"/>
            <w:noWrap/>
            <w:vAlign w:val="center"/>
            <w:hideMark/>
          </w:tcPr>
          <w:p w14:paraId="47DCBB76"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General</w:t>
            </w:r>
          </w:p>
        </w:tc>
        <w:tc>
          <w:tcPr>
            <w:tcW w:w="2004" w:type="dxa"/>
            <w:tcBorders>
              <w:top w:val="nil"/>
              <w:left w:val="nil"/>
              <w:bottom w:val="nil"/>
              <w:right w:val="nil"/>
            </w:tcBorders>
            <w:shd w:val="clear" w:color="auto" w:fill="auto"/>
            <w:noWrap/>
            <w:vAlign w:val="center"/>
            <w:hideMark/>
          </w:tcPr>
          <w:p w14:paraId="7A10759B"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Hofstede's dimensions, media</w:t>
            </w:r>
          </w:p>
        </w:tc>
        <w:tc>
          <w:tcPr>
            <w:tcW w:w="1342" w:type="dxa"/>
            <w:tcBorders>
              <w:top w:val="nil"/>
              <w:left w:val="nil"/>
              <w:bottom w:val="nil"/>
              <w:right w:val="nil"/>
            </w:tcBorders>
            <w:shd w:val="clear" w:color="auto" w:fill="auto"/>
            <w:noWrap/>
            <w:vAlign w:val="center"/>
            <w:hideMark/>
          </w:tcPr>
          <w:p w14:paraId="647CB00C"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1613" w:type="dxa"/>
            <w:tcBorders>
              <w:top w:val="nil"/>
              <w:left w:val="nil"/>
              <w:bottom w:val="nil"/>
              <w:right w:val="nil"/>
            </w:tcBorders>
            <w:shd w:val="clear" w:color="auto" w:fill="auto"/>
            <w:noWrap/>
            <w:vAlign w:val="center"/>
            <w:hideMark/>
          </w:tcPr>
          <w:p w14:paraId="1E7A9633"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Survey and social network analysis</w:t>
            </w:r>
          </w:p>
        </w:tc>
        <w:tc>
          <w:tcPr>
            <w:tcW w:w="1482" w:type="dxa"/>
            <w:tcBorders>
              <w:top w:val="nil"/>
              <w:left w:val="nil"/>
              <w:bottom w:val="nil"/>
              <w:right w:val="nil"/>
            </w:tcBorders>
            <w:shd w:val="clear" w:color="auto" w:fill="auto"/>
            <w:noWrap/>
            <w:vAlign w:val="center"/>
            <w:hideMark/>
          </w:tcPr>
          <w:p w14:paraId="5FE0F433"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Magazines and online comments</w:t>
            </w:r>
          </w:p>
        </w:tc>
        <w:tc>
          <w:tcPr>
            <w:tcW w:w="1009" w:type="dxa"/>
            <w:tcBorders>
              <w:top w:val="nil"/>
              <w:left w:val="nil"/>
              <w:bottom w:val="nil"/>
              <w:right w:val="nil"/>
            </w:tcBorders>
            <w:shd w:val="clear" w:color="auto" w:fill="auto"/>
            <w:noWrap/>
            <w:vAlign w:val="center"/>
            <w:hideMark/>
          </w:tcPr>
          <w:p w14:paraId="540521EA"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451" w:type="dxa"/>
            <w:tcBorders>
              <w:top w:val="nil"/>
              <w:left w:val="nil"/>
              <w:bottom w:val="nil"/>
              <w:right w:val="nil"/>
            </w:tcBorders>
            <w:shd w:val="clear" w:color="auto" w:fill="auto"/>
            <w:noWrap/>
            <w:vAlign w:val="center"/>
            <w:hideMark/>
          </w:tcPr>
          <w:p w14:paraId="63F30298"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7470" w:type="dxa"/>
            <w:tcBorders>
              <w:top w:val="nil"/>
              <w:left w:val="nil"/>
              <w:bottom w:val="nil"/>
              <w:right w:val="nil"/>
            </w:tcBorders>
            <w:shd w:val="clear" w:color="auto" w:fill="auto"/>
            <w:vAlign w:val="center"/>
            <w:hideMark/>
          </w:tcPr>
          <w:p w14:paraId="7CB77355"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Arab magazines do not reflect the Arab culture. The comments represent Arab culture but the differences with the Americans are decreasing. Social media, advertising, etc., created an environment that led to a new consumer culture, which may have contributed to Arab Spring.</w:t>
            </w:r>
          </w:p>
        </w:tc>
      </w:tr>
      <w:tr w:rsidR="00996AE0" w:rsidRPr="00996AE0" w14:paraId="68FF56FA" w14:textId="77777777" w:rsidTr="009156CF">
        <w:trPr>
          <w:trHeight w:val="720"/>
        </w:trPr>
        <w:tc>
          <w:tcPr>
            <w:tcW w:w="1497" w:type="dxa"/>
            <w:tcBorders>
              <w:top w:val="nil"/>
              <w:left w:val="nil"/>
              <w:bottom w:val="nil"/>
              <w:right w:val="nil"/>
            </w:tcBorders>
            <w:shd w:val="clear" w:color="auto" w:fill="auto"/>
            <w:noWrap/>
            <w:vAlign w:val="center"/>
            <w:hideMark/>
          </w:tcPr>
          <w:p w14:paraId="6C542360" w14:textId="77777777" w:rsidR="00996AE0" w:rsidRPr="00996AE0" w:rsidRDefault="00996AE0" w:rsidP="009156CF">
            <w:pPr>
              <w:rPr>
                <w:rFonts w:ascii="Times New Roman" w:eastAsia="Times New Roman" w:hAnsi="Times New Roman" w:cs="Times New Roman"/>
                <w:b/>
                <w:bCs/>
                <w:color w:val="000000"/>
                <w:sz w:val="15"/>
                <w:szCs w:val="15"/>
              </w:rPr>
            </w:pPr>
            <w:r w:rsidRPr="00996AE0">
              <w:rPr>
                <w:rFonts w:ascii="Times New Roman" w:eastAsia="Times New Roman" w:hAnsi="Times New Roman" w:cs="Times New Roman"/>
                <w:b/>
                <w:bCs/>
                <w:color w:val="000000" w:themeColor="text1"/>
                <w:sz w:val="15"/>
                <w:szCs w:val="15"/>
                <w:lang w:val="en-US"/>
              </w:rPr>
              <w:t>Kenski et al., 2017</w:t>
            </w:r>
          </w:p>
        </w:tc>
        <w:tc>
          <w:tcPr>
            <w:tcW w:w="948" w:type="dxa"/>
            <w:tcBorders>
              <w:top w:val="nil"/>
              <w:left w:val="nil"/>
              <w:bottom w:val="nil"/>
              <w:right w:val="nil"/>
            </w:tcBorders>
            <w:shd w:val="clear" w:color="auto" w:fill="auto"/>
            <w:noWrap/>
            <w:vAlign w:val="center"/>
            <w:hideMark/>
          </w:tcPr>
          <w:p w14:paraId="72DDFC54"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2017</w:t>
            </w:r>
          </w:p>
        </w:tc>
        <w:tc>
          <w:tcPr>
            <w:tcW w:w="1939" w:type="dxa"/>
            <w:tcBorders>
              <w:top w:val="nil"/>
              <w:left w:val="nil"/>
              <w:bottom w:val="nil"/>
              <w:right w:val="nil"/>
            </w:tcBorders>
            <w:shd w:val="clear" w:color="auto" w:fill="auto"/>
            <w:noWrap/>
            <w:vAlign w:val="center"/>
            <w:hideMark/>
          </w:tcPr>
          <w:p w14:paraId="4926166E"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USA</w:t>
            </w:r>
          </w:p>
        </w:tc>
        <w:tc>
          <w:tcPr>
            <w:tcW w:w="1180" w:type="dxa"/>
            <w:tcBorders>
              <w:top w:val="nil"/>
              <w:left w:val="nil"/>
              <w:bottom w:val="nil"/>
              <w:right w:val="nil"/>
            </w:tcBorders>
            <w:shd w:val="clear" w:color="auto" w:fill="auto"/>
            <w:noWrap/>
            <w:vAlign w:val="center"/>
            <w:hideMark/>
          </w:tcPr>
          <w:p w14:paraId="553753CD"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2016</w:t>
            </w:r>
          </w:p>
        </w:tc>
        <w:tc>
          <w:tcPr>
            <w:tcW w:w="939" w:type="dxa"/>
            <w:tcBorders>
              <w:top w:val="nil"/>
              <w:left w:val="nil"/>
              <w:bottom w:val="nil"/>
              <w:right w:val="nil"/>
            </w:tcBorders>
            <w:shd w:val="clear" w:color="auto" w:fill="auto"/>
            <w:noWrap/>
            <w:vAlign w:val="center"/>
            <w:hideMark/>
          </w:tcPr>
          <w:p w14:paraId="4696B125"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Candidate</w:t>
            </w:r>
          </w:p>
        </w:tc>
        <w:tc>
          <w:tcPr>
            <w:tcW w:w="1672" w:type="dxa"/>
            <w:tcBorders>
              <w:top w:val="nil"/>
              <w:left w:val="nil"/>
              <w:bottom w:val="nil"/>
              <w:right w:val="nil"/>
            </w:tcBorders>
            <w:shd w:val="clear" w:color="auto" w:fill="auto"/>
            <w:noWrap/>
            <w:vAlign w:val="center"/>
            <w:hideMark/>
          </w:tcPr>
          <w:p w14:paraId="1E16B1D5"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Presidential politics (preprimaries and primaries)</w:t>
            </w:r>
          </w:p>
        </w:tc>
        <w:tc>
          <w:tcPr>
            <w:tcW w:w="934" w:type="dxa"/>
            <w:tcBorders>
              <w:top w:val="nil"/>
              <w:left w:val="nil"/>
              <w:bottom w:val="nil"/>
              <w:right w:val="nil"/>
            </w:tcBorders>
            <w:shd w:val="clear" w:color="auto" w:fill="auto"/>
            <w:noWrap/>
            <w:vAlign w:val="center"/>
            <w:hideMark/>
          </w:tcPr>
          <w:p w14:paraId="67B1069A"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Twitter</w:t>
            </w:r>
          </w:p>
        </w:tc>
        <w:tc>
          <w:tcPr>
            <w:tcW w:w="2004" w:type="dxa"/>
            <w:tcBorders>
              <w:top w:val="nil"/>
              <w:left w:val="nil"/>
              <w:bottom w:val="nil"/>
              <w:right w:val="nil"/>
            </w:tcBorders>
            <w:shd w:val="clear" w:color="auto" w:fill="auto"/>
            <w:noWrap/>
            <w:vAlign w:val="center"/>
            <w:hideMark/>
          </w:tcPr>
          <w:p w14:paraId="0D573411"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Social Identity Theory, Reference Dependence Theory</w:t>
            </w:r>
          </w:p>
        </w:tc>
        <w:tc>
          <w:tcPr>
            <w:tcW w:w="1342" w:type="dxa"/>
            <w:tcBorders>
              <w:top w:val="nil"/>
              <w:left w:val="nil"/>
              <w:bottom w:val="nil"/>
              <w:right w:val="nil"/>
            </w:tcBorders>
            <w:shd w:val="clear" w:color="auto" w:fill="auto"/>
            <w:noWrap/>
            <w:vAlign w:val="center"/>
            <w:hideMark/>
          </w:tcPr>
          <w:p w14:paraId="657515CA"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1613" w:type="dxa"/>
            <w:tcBorders>
              <w:top w:val="nil"/>
              <w:left w:val="nil"/>
              <w:bottom w:val="nil"/>
              <w:right w:val="nil"/>
            </w:tcBorders>
            <w:shd w:val="clear" w:color="auto" w:fill="auto"/>
            <w:noWrap/>
            <w:vAlign w:val="center"/>
            <w:hideMark/>
          </w:tcPr>
          <w:p w14:paraId="57D1C744"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Content analysis</w:t>
            </w:r>
          </w:p>
        </w:tc>
        <w:tc>
          <w:tcPr>
            <w:tcW w:w="1482" w:type="dxa"/>
            <w:tcBorders>
              <w:top w:val="nil"/>
              <w:left w:val="nil"/>
              <w:bottom w:val="nil"/>
              <w:right w:val="nil"/>
            </w:tcBorders>
            <w:shd w:val="clear" w:color="auto" w:fill="auto"/>
            <w:noWrap/>
            <w:vAlign w:val="center"/>
            <w:hideMark/>
          </w:tcPr>
          <w:p w14:paraId="25D65039"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Tweets of candidates</w:t>
            </w:r>
          </w:p>
        </w:tc>
        <w:tc>
          <w:tcPr>
            <w:tcW w:w="1009" w:type="dxa"/>
            <w:tcBorders>
              <w:top w:val="nil"/>
              <w:left w:val="nil"/>
              <w:bottom w:val="nil"/>
              <w:right w:val="nil"/>
            </w:tcBorders>
            <w:shd w:val="clear" w:color="auto" w:fill="auto"/>
            <w:noWrap/>
            <w:vAlign w:val="center"/>
            <w:hideMark/>
          </w:tcPr>
          <w:p w14:paraId="29D0705A"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451" w:type="dxa"/>
            <w:tcBorders>
              <w:top w:val="nil"/>
              <w:left w:val="nil"/>
              <w:bottom w:val="nil"/>
              <w:right w:val="nil"/>
            </w:tcBorders>
            <w:shd w:val="clear" w:color="auto" w:fill="auto"/>
            <w:noWrap/>
            <w:vAlign w:val="center"/>
            <w:hideMark/>
          </w:tcPr>
          <w:p w14:paraId="3C72F7C6"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7470" w:type="dxa"/>
            <w:tcBorders>
              <w:top w:val="nil"/>
              <w:left w:val="nil"/>
              <w:bottom w:val="nil"/>
              <w:right w:val="nil"/>
            </w:tcBorders>
            <w:shd w:val="clear" w:color="auto" w:fill="auto"/>
            <w:vAlign w:val="center"/>
            <w:hideMark/>
          </w:tcPr>
          <w:p w14:paraId="219840EC"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There was limited evidence that candidates used partisan labeling. Rather than inter and intra-party attacks, candidates focused on self-advocacy. Outsider candidates were not more likely to utilize labeling to prove their in-group membership.</w:t>
            </w:r>
          </w:p>
        </w:tc>
      </w:tr>
      <w:tr w:rsidR="00996AE0" w:rsidRPr="00996AE0" w14:paraId="36FEDB0A" w14:textId="77777777" w:rsidTr="009156CF">
        <w:trPr>
          <w:trHeight w:val="1200"/>
        </w:trPr>
        <w:tc>
          <w:tcPr>
            <w:tcW w:w="1497" w:type="dxa"/>
            <w:tcBorders>
              <w:top w:val="nil"/>
              <w:left w:val="nil"/>
              <w:bottom w:val="nil"/>
              <w:right w:val="nil"/>
            </w:tcBorders>
            <w:shd w:val="clear" w:color="auto" w:fill="auto"/>
            <w:noWrap/>
            <w:vAlign w:val="center"/>
            <w:hideMark/>
          </w:tcPr>
          <w:p w14:paraId="26B8AC55" w14:textId="77777777" w:rsidR="00996AE0" w:rsidRPr="00996AE0" w:rsidRDefault="00996AE0" w:rsidP="009156CF">
            <w:pPr>
              <w:rPr>
                <w:rFonts w:ascii="Times New Roman" w:eastAsia="Times New Roman" w:hAnsi="Times New Roman" w:cs="Times New Roman"/>
                <w:b/>
                <w:bCs/>
                <w:color w:val="000000"/>
                <w:sz w:val="15"/>
                <w:szCs w:val="15"/>
              </w:rPr>
            </w:pPr>
            <w:r w:rsidRPr="00996AE0">
              <w:rPr>
                <w:rFonts w:ascii="Times New Roman" w:eastAsia="Times New Roman" w:hAnsi="Times New Roman" w:cs="Times New Roman"/>
                <w:b/>
                <w:bCs/>
                <w:color w:val="000000" w:themeColor="text1"/>
                <w:sz w:val="15"/>
                <w:szCs w:val="15"/>
                <w:lang w:val="en-US"/>
              </w:rPr>
              <w:t>Lin &amp; Himelboim, 2019</w:t>
            </w:r>
          </w:p>
        </w:tc>
        <w:tc>
          <w:tcPr>
            <w:tcW w:w="948" w:type="dxa"/>
            <w:tcBorders>
              <w:top w:val="nil"/>
              <w:left w:val="nil"/>
              <w:bottom w:val="nil"/>
              <w:right w:val="nil"/>
            </w:tcBorders>
            <w:shd w:val="clear" w:color="auto" w:fill="auto"/>
            <w:noWrap/>
            <w:vAlign w:val="center"/>
            <w:hideMark/>
          </w:tcPr>
          <w:p w14:paraId="15B807DB"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2019</w:t>
            </w:r>
          </w:p>
        </w:tc>
        <w:tc>
          <w:tcPr>
            <w:tcW w:w="1939" w:type="dxa"/>
            <w:tcBorders>
              <w:top w:val="nil"/>
              <w:left w:val="nil"/>
              <w:bottom w:val="nil"/>
              <w:right w:val="nil"/>
            </w:tcBorders>
            <w:shd w:val="clear" w:color="auto" w:fill="auto"/>
            <w:noWrap/>
            <w:vAlign w:val="center"/>
            <w:hideMark/>
          </w:tcPr>
          <w:p w14:paraId="50122144"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USA</w:t>
            </w:r>
          </w:p>
        </w:tc>
        <w:tc>
          <w:tcPr>
            <w:tcW w:w="1180" w:type="dxa"/>
            <w:tcBorders>
              <w:top w:val="nil"/>
              <w:left w:val="nil"/>
              <w:bottom w:val="nil"/>
              <w:right w:val="nil"/>
            </w:tcBorders>
            <w:shd w:val="clear" w:color="auto" w:fill="auto"/>
            <w:noWrap/>
            <w:vAlign w:val="center"/>
            <w:hideMark/>
          </w:tcPr>
          <w:p w14:paraId="62931D32"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2016</w:t>
            </w:r>
          </w:p>
        </w:tc>
        <w:tc>
          <w:tcPr>
            <w:tcW w:w="939" w:type="dxa"/>
            <w:tcBorders>
              <w:top w:val="nil"/>
              <w:left w:val="nil"/>
              <w:bottom w:val="nil"/>
              <w:right w:val="nil"/>
            </w:tcBorders>
            <w:shd w:val="clear" w:color="auto" w:fill="auto"/>
            <w:noWrap/>
            <w:vAlign w:val="center"/>
            <w:hideMark/>
          </w:tcPr>
          <w:p w14:paraId="40D3EBCB"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Candidate</w:t>
            </w:r>
          </w:p>
        </w:tc>
        <w:tc>
          <w:tcPr>
            <w:tcW w:w="1672" w:type="dxa"/>
            <w:tcBorders>
              <w:top w:val="nil"/>
              <w:left w:val="nil"/>
              <w:bottom w:val="nil"/>
              <w:right w:val="nil"/>
            </w:tcBorders>
            <w:shd w:val="clear" w:color="auto" w:fill="auto"/>
            <w:noWrap/>
            <w:vAlign w:val="center"/>
            <w:hideMark/>
          </w:tcPr>
          <w:p w14:paraId="1D09A26A"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Presidential politics (primaries)</w:t>
            </w:r>
          </w:p>
        </w:tc>
        <w:tc>
          <w:tcPr>
            <w:tcW w:w="934" w:type="dxa"/>
            <w:tcBorders>
              <w:top w:val="nil"/>
              <w:left w:val="nil"/>
              <w:bottom w:val="nil"/>
              <w:right w:val="nil"/>
            </w:tcBorders>
            <w:shd w:val="clear" w:color="auto" w:fill="auto"/>
            <w:noWrap/>
            <w:vAlign w:val="center"/>
            <w:hideMark/>
          </w:tcPr>
          <w:p w14:paraId="15A883EB"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Twitter</w:t>
            </w:r>
          </w:p>
        </w:tc>
        <w:tc>
          <w:tcPr>
            <w:tcW w:w="2004" w:type="dxa"/>
            <w:tcBorders>
              <w:top w:val="nil"/>
              <w:left w:val="nil"/>
              <w:bottom w:val="nil"/>
              <w:right w:val="nil"/>
            </w:tcBorders>
            <w:shd w:val="clear" w:color="auto" w:fill="auto"/>
            <w:noWrap/>
            <w:vAlign w:val="center"/>
            <w:hideMark/>
          </w:tcPr>
          <w:p w14:paraId="7CD985D1"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Brand co</w:t>
            </w:r>
            <w:bookmarkStart w:id="0" w:name="_GoBack"/>
            <w:bookmarkEnd w:id="0"/>
            <w:r w:rsidRPr="00996AE0">
              <w:rPr>
                <w:rFonts w:ascii="Times New Roman" w:eastAsia="Times New Roman" w:hAnsi="Times New Roman" w:cs="Times New Roman"/>
                <w:color w:val="000000" w:themeColor="text1"/>
                <w:sz w:val="15"/>
                <w:szCs w:val="15"/>
                <w:lang w:val="en-US"/>
              </w:rPr>
              <w:t>mmunities</w:t>
            </w:r>
          </w:p>
        </w:tc>
        <w:tc>
          <w:tcPr>
            <w:tcW w:w="1342" w:type="dxa"/>
            <w:tcBorders>
              <w:top w:val="nil"/>
              <w:left w:val="nil"/>
              <w:bottom w:val="nil"/>
              <w:right w:val="nil"/>
            </w:tcBorders>
            <w:shd w:val="clear" w:color="auto" w:fill="auto"/>
            <w:noWrap/>
            <w:vAlign w:val="center"/>
            <w:hideMark/>
          </w:tcPr>
          <w:p w14:paraId="3FEF8CA6"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1613" w:type="dxa"/>
            <w:tcBorders>
              <w:top w:val="nil"/>
              <w:left w:val="nil"/>
              <w:bottom w:val="nil"/>
              <w:right w:val="nil"/>
            </w:tcBorders>
            <w:shd w:val="clear" w:color="auto" w:fill="auto"/>
            <w:noWrap/>
            <w:vAlign w:val="center"/>
            <w:hideMark/>
          </w:tcPr>
          <w:p w14:paraId="63F3A188"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Content analysis and social network analysis</w:t>
            </w:r>
          </w:p>
        </w:tc>
        <w:tc>
          <w:tcPr>
            <w:tcW w:w="1482" w:type="dxa"/>
            <w:tcBorders>
              <w:top w:val="nil"/>
              <w:left w:val="nil"/>
              <w:bottom w:val="nil"/>
              <w:right w:val="nil"/>
            </w:tcBorders>
            <w:shd w:val="clear" w:color="auto" w:fill="auto"/>
            <w:noWrap/>
            <w:vAlign w:val="center"/>
            <w:hideMark/>
          </w:tcPr>
          <w:p w14:paraId="1488C775"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Twitter activity of candidates</w:t>
            </w:r>
          </w:p>
        </w:tc>
        <w:tc>
          <w:tcPr>
            <w:tcW w:w="1009" w:type="dxa"/>
            <w:tcBorders>
              <w:top w:val="nil"/>
              <w:left w:val="nil"/>
              <w:bottom w:val="nil"/>
              <w:right w:val="nil"/>
            </w:tcBorders>
            <w:shd w:val="clear" w:color="auto" w:fill="auto"/>
            <w:noWrap/>
            <w:vAlign w:val="center"/>
            <w:hideMark/>
          </w:tcPr>
          <w:p w14:paraId="5E58A04E"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451" w:type="dxa"/>
            <w:tcBorders>
              <w:top w:val="nil"/>
              <w:left w:val="nil"/>
              <w:bottom w:val="nil"/>
              <w:right w:val="nil"/>
            </w:tcBorders>
            <w:shd w:val="clear" w:color="auto" w:fill="auto"/>
            <w:noWrap/>
            <w:vAlign w:val="center"/>
            <w:hideMark/>
          </w:tcPr>
          <w:p w14:paraId="090AB126"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7470" w:type="dxa"/>
            <w:tcBorders>
              <w:top w:val="nil"/>
              <w:left w:val="nil"/>
              <w:bottom w:val="nil"/>
              <w:right w:val="nil"/>
            </w:tcBorders>
            <w:shd w:val="clear" w:color="auto" w:fill="auto"/>
            <w:vAlign w:val="center"/>
            <w:hideMark/>
          </w:tcPr>
          <w:p w14:paraId="7A3AA5FD"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The common social mediators include other candidates, media, and journalists. News media and journalists are more prominent in lower-tier candidates’ communities. Brand communities of trailing candidates show the highest level of cluster density followed by middle-tier and leading candidates (same for reciprocity). Social mediators are different for winning and trailing candidates. Trailing candidates are likely to turn to social media to gain the attention of the same institutions that ignored them in MSM.</w:t>
            </w:r>
          </w:p>
        </w:tc>
      </w:tr>
      <w:tr w:rsidR="00996AE0" w:rsidRPr="00996AE0" w14:paraId="082743C5" w14:textId="77777777" w:rsidTr="009156CF">
        <w:trPr>
          <w:trHeight w:val="720"/>
        </w:trPr>
        <w:tc>
          <w:tcPr>
            <w:tcW w:w="1497" w:type="dxa"/>
            <w:tcBorders>
              <w:top w:val="nil"/>
              <w:left w:val="nil"/>
              <w:bottom w:val="nil"/>
              <w:right w:val="nil"/>
            </w:tcBorders>
            <w:shd w:val="clear" w:color="auto" w:fill="auto"/>
            <w:noWrap/>
            <w:vAlign w:val="center"/>
            <w:hideMark/>
          </w:tcPr>
          <w:p w14:paraId="6A25D97C" w14:textId="77777777" w:rsidR="00996AE0" w:rsidRPr="00996AE0" w:rsidRDefault="00996AE0" w:rsidP="009156CF">
            <w:pPr>
              <w:rPr>
                <w:rFonts w:ascii="Times New Roman" w:eastAsia="Times New Roman" w:hAnsi="Times New Roman" w:cs="Times New Roman"/>
                <w:b/>
                <w:bCs/>
                <w:color w:val="000000"/>
                <w:sz w:val="15"/>
                <w:szCs w:val="15"/>
              </w:rPr>
            </w:pPr>
            <w:r w:rsidRPr="00996AE0">
              <w:rPr>
                <w:rFonts w:ascii="Times New Roman" w:eastAsia="Times New Roman" w:hAnsi="Times New Roman" w:cs="Times New Roman"/>
                <w:b/>
                <w:bCs/>
                <w:color w:val="000000" w:themeColor="text1"/>
                <w:sz w:val="15"/>
                <w:szCs w:val="15"/>
                <w:lang w:val="en-US"/>
              </w:rPr>
              <w:lastRenderedPageBreak/>
              <w:t>Lin, 2017</w:t>
            </w:r>
          </w:p>
        </w:tc>
        <w:tc>
          <w:tcPr>
            <w:tcW w:w="948" w:type="dxa"/>
            <w:tcBorders>
              <w:top w:val="nil"/>
              <w:left w:val="nil"/>
              <w:bottom w:val="nil"/>
              <w:right w:val="nil"/>
            </w:tcBorders>
            <w:shd w:val="clear" w:color="auto" w:fill="auto"/>
            <w:noWrap/>
            <w:vAlign w:val="center"/>
            <w:hideMark/>
          </w:tcPr>
          <w:p w14:paraId="4915557E"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2017</w:t>
            </w:r>
          </w:p>
        </w:tc>
        <w:tc>
          <w:tcPr>
            <w:tcW w:w="1939" w:type="dxa"/>
            <w:tcBorders>
              <w:top w:val="nil"/>
              <w:left w:val="nil"/>
              <w:bottom w:val="nil"/>
              <w:right w:val="nil"/>
            </w:tcBorders>
            <w:shd w:val="clear" w:color="auto" w:fill="auto"/>
            <w:noWrap/>
            <w:vAlign w:val="center"/>
            <w:hideMark/>
          </w:tcPr>
          <w:p w14:paraId="527DAEBF"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Taiwan</w:t>
            </w:r>
          </w:p>
        </w:tc>
        <w:tc>
          <w:tcPr>
            <w:tcW w:w="1180" w:type="dxa"/>
            <w:tcBorders>
              <w:top w:val="nil"/>
              <w:left w:val="nil"/>
              <w:bottom w:val="nil"/>
              <w:right w:val="nil"/>
            </w:tcBorders>
            <w:shd w:val="clear" w:color="auto" w:fill="auto"/>
            <w:noWrap/>
            <w:vAlign w:val="center"/>
            <w:hideMark/>
          </w:tcPr>
          <w:p w14:paraId="3AA5A569"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Local election</w:t>
            </w:r>
          </w:p>
        </w:tc>
        <w:tc>
          <w:tcPr>
            <w:tcW w:w="939" w:type="dxa"/>
            <w:tcBorders>
              <w:top w:val="nil"/>
              <w:left w:val="nil"/>
              <w:bottom w:val="nil"/>
              <w:right w:val="nil"/>
            </w:tcBorders>
            <w:shd w:val="clear" w:color="auto" w:fill="auto"/>
            <w:noWrap/>
            <w:vAlign w:val="center"/>
            <w:hideMark/>
          </w:tcPr>
          <w:p w14:paraId="7FC786AE"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Candidate</w:t>
            </w:r>
          </w:p>
        </w:tc>
        <w:tc>
          <w:tcPr>
            <w:tcW w:w="1672" w:type="dxa"/>
            <w:tcBorders>
              <w:top w:val="nil"/>
              <w:left w:val="nil"/>
              <w:bottom w:val="nil"/>
              <w:right w:val="nil"/>
            </w:tcBorders>
            <w:shd w:val="clear" w:color="auto" w:fill="auto"/>
            <w:noWrap/>
            <w:vAlign w:val="center"/>
            <w:hideMark/>
          </w:tcPr>
          <w:p w14:paraId="2486C3BD"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Local politics</w:t>
            </w:r>
          </w:p>
        </w:tc>
        <w:tc>
          <w:tcPr>
            <w:tcW w:w="934" w:type="dxa"/>
            <w:tcBorders>
              <w:top w:val="nil"/>
              <w:left w:val="nil"/>
              <w:bottom w:val="nil"/>
              <w:right w:val="nil"/>
            </w:tcBorders>
            <w:shd w:val="clear" w:color="auto" w:fill="auto"/>
            <w:noWrap/>
            <w:vAlign w:val="center"/>
            <w:hideMark/>
          </w:tcPr>
          <w:p w14:paraId="610FED52"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Facebook</w:t>
            </w:r>
          </w:p>
        </w:tc>
        <w:tc>
          <w:tcPr>
            <w:tcW w:w="2004" w:type="dxa"/>
            <w:tcBorders>
              <w:top w:val="nil"/>
              <w:left w:val="nil"/>
              <w:bottom w:val="nil"/>
              <w:right w:val="nil"/>
            </w:tcBorders>
            <w:shd w:val="clear" w:color="auto" w:fill="auto"/>
            <w:noWrap/>
            <w:vAlign w:val="center"/>
            <w:hideMark/>
          </w:tcPr>
          <w:p w14:paraId="3B103D74"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Social media and political campaigns</w:t>
            </w:r>
          </w:p>
        </w:tc>
        <w:tc>
          <w:tcPr>
            <w:tcW w:w="1342" w:type="dxa"/>
            <w:tcBorders>
              <w:top w:val="nil"/>
              <w:left w:val="nil"/>
              <w:bottom w:val="nil"/>
              <w:right w:val="nil"/>
            </w:tcBorders>
            <w:shd w:val="clear" w:color="auto" w:fill="auto"/>
            <w:noWrap/>
            <w:vAlign w:val="center"/>
            <w:hideMark/>
          </w:tcPr>
          <w:p w14:paraId="79125CBC"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1613" w:type="dxa"/>
            <w:tcBorders>
              <w:top w:val="nil"/>
              <w:left w:val="nil"/>
              <w:bottom w:val="nil"/>
              <w:right w:val="nil"/>
            </w:tcBorders>
            <w:shd w:val="clear" w:color="auto" w:fill="auto"/>
            <w:noWrap/>
            <w:vAlign w:val="center"/>
            <w:hideMark/>
          </w:tcPr>
          <w:p w14:paraId="507C9115"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Content analysis</w:t>
            </w:r>
          </w:p>
        </w:tc>
        <w:tc>
          <w:tcPr>
            <w:tcW w:w="1482" w:type="dxa"/>
            <w:tcBorders>
              <w:top w:val="nil"/>
              <w:left w:val="nil"/>
              <w:bottom w:val="nil"/>
              <w:right w:val="nil"/>
            </w:tcBorders>
            <w:shd w:val="clear" w:color="auto" w:fill="auto"/>
            <w:noWrap/>
            <w:vAlign w:val="center"/>
            <w:hideMark/>
          </w:tcPr>
          <w:p w14:paraId="55D6A4F9"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Facebook pages of candidates</w:t>
            </w:r>
          </w:p>
        </w:tc>
        <w:tc>
          <w:tcPr>
            <w:tcW w:w="1009" w:type="dxa"/>
            <w:tcBorders>
              <w:top w:val="nil"/>
              <w:left w:val="nil"/>
              <w:bottom w:val="nil"/>
              <w:right w:val="nil"/>
            </w:tcBorders>
            <w:shd w:val="clear" w:color="auto" w:fill="auto"/>
            <w:noWrap/>
            <w:vAlign w:val="center"/>
            <w:hideMark/>
          </w:tcPr>
          <w:p w14:paraId="2683D633"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451" w:type="dxa"/>
            <w:tcBorders>
              <w:top w:val="nil"/>
              <w:left w:val="nil"/>
              <w:bottom w:val="nil"/>
              <w:right w:val="nil"/>
            </w:tcBorders>
            <w:shd w:val="clear" w:color="auto" w:fill="auto"/>
            <w:noWrap/>
            <w:vAlign w:val="center"/>
            <w:hideMark/>
          </w:tcPr>
          <w:p w14:paraId="2ABD3207"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7470" w:type="dxa"/>
            <w:tcBorders>
              <w:top w:val="nil"/>
              <w:left w:val="nil"/>
              <w:bottom w:val="nil"/>
              <w:right w:val="nil"/>
            </w:tcBorders>
            <w:shd w:val="clear" w:color="auto" w:fill="auto"/>
            <w:vAlign w:val="center"/>
            <w:hideMark/>
          </w:tcPr>
          <w:p w14:paraId="373505AB"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Social media presence, account type, verification badge, and the number of fans predicted voter share and electoral success. Incumbency had an impact. Candidates using personal Facebook profiles did better than those with pages and groups. The number of posts had no impact.</w:t>
            </w:r>
          </w:p>
        </w:tc>
      </w:tr>
      <w:tr w:rsidR="00996AE0" w:rsidRPr="00996AE0" w14:paraId="5BCE6867" w14:textId="77777777" w:rsidTr="009156CF">
        <w:trPr>
          <w:trHeight w:val="720"/>
        </w:trPr>
        <w:tc>
          <w:tcPr>
            <w:tcW w:w="1497" w:type="dxa"/>
            <w:tcBorders>
              <w:top w:val="nil"/>
              <w:left w:val="nil"/>
              <w:bottom w:val="nil"/>
              <w:right w:val="nil"/>
            </w:tcBorders>
            <w:shd w:val="clear" w:color="auto" w:fill="auto"/>
            <w:noWrap/>
            <w:vAlign w:val="center"/>
            <w:hideMark/>
          </w:tcPr>
          <w:p w14:paraId="655F9D74" w14:textId="77777777" w:rsidR="00996AE0" w:rsidRPr="00996AE0" w:rsidRDefault="00996AE0" w:rsidP="009156CF">
            <w:pPr>
              <w:rPr>
                <w:rFonts w:ascii="Times New Roman" w:eastAsia="Times New Roman" w:hAnsi="Times New Roman" w:cs="Times New Roman"/>
                <w:b/>
                <w:bCs/>
                <w:color w:val="000000"/>
                <w:sz w:val="15"/>
                <w:szCs w:val="15"/>
              </w:rPr>
            </w:pPr>
            <w:r w:rsidRPr="00996AE0">
              <w:rPr>
                <w:rFonts w:ascii="Times New Roman" w:eastAsia="Times New Roman" w:hAnsi="Times New Roman" w:cs="Times New Roman"/>
                <w:b/>
                <w:bCs/>
                <w:color w:val="000000" w:themeColor="text1"/>
                <w:sz w:val="15"/>
                <w:szCs w:val="15"/>
                <w:lang w:val="en-US"/>
              </w:rPr>
              <w:t>Lucarelli et al., 2020</w:t>
            </w:r>
          </w:p>
        </w:tc>
        <w:tc>
          <w:tcPr>
            <w:tcW w:w="948" w:type="dxa"/>
            <w:tcBorders>
              <w:top w:val="nil"/>
              <w:left w:val="nil"/>
              <w:bottom w:val="nil"/>
              <w:right w:val="nil"/>
            </w:tcBorders>
            <w:shd w:val="clear" w:color="auto" w:fill="auto"/>
            <w:noWrap/>
            <w:vAlign w:val="center"/>
            <w:hideMark/>
          </w:tcPr>
          <w:p w14:paraId="20285085"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2020</w:t>
            </w:r>
          </w:p>
        </w:tc>
        <w:tc>
          <w:tcPr>
            <w:tcW w:w="1939" w:type="dxa"/>
            <w:tcBorders>
              <w:top w:val="nil"/>
              <w:left w:val="nil"/>
              <w:bottom w:val="nil"/>
              <w:right w:val="nil"/>
            </w:tcBorders>
            <w:shd w:val="clear" w:color="auto" w:fill="auto"/>
            <w:noWrap/>
            <w:vAlign w:val="center"/>
            <w:hideMark/>
          </w:tcPr>
          <w:p w14:paraId="45A5CEF0"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Italy and Czech Republic</w:t>
            </w:r>
          </w:p>
        </w:tc>
        <w:tc>
          <w:tcPr>
            <w:tcW w:w="1180" w:type="dxa"/>
            <w:tcBorders>
              <w:top w:val="nil"/>
              <w:left w:val="nil"/>
              <w:bottom w:val="nil"/>
              <w:right w:val="nil"/>
            </w:tcBorders>
            <w:shd w:val="clear" w:color="auto" w:fill="auto"/>
            <w:noWrap/>
            <w:vAlign w:val="center"/>
            <w:hideMark/>
          </w:tcPr>
          <w:p w14:paraId="0500B81D"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N/A</w:t>
            </w:r>
          </w:p>
        </w:tc>
        <w:tc>
          <w:tcPr>
            <w:tcW w:w="939" w:type="dxa"/>
            <w:tcBorders>
              <w:top w:val="nil"/>
              <w:left w:val="nil"/>
              <w:bottom w:val="nil"/>
              <w:right w:val="nil"/>
            </w:tcBorders>
            <w:shd w:val="clear" w:color="auto" w:fill="auto"/>
            <w:noWrap/>
            <w:vAlign w:val="center"/>
            <w:hideMark/>
          </w:tcPr>
          <w:p w14:paraId="07A3EBBB"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Party</w:t>
            </w:r>
          </w:p>
        </w:tc>
        <w:tc>
          <w:tcPr>
            <w:tcW w:w="1672" w:type="dxa"/>
            <w:tcBorders>
              <w:top w:val="nil"/>
              <w:left w:val="nil"/>
              <w:bottom w:val="nil"/>
              <w:right w:val="nil"/>
            </w:tcBorders>
            <w:shd w:val="clear" w:color="auto" w:fill="auto"/>
            <w:noWrap/>
            <w:vAlign w:val="center"/>
            <w:hideMark/>
          </w:tcPr>
          <w:p w14:paraId="36972B71"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National politics</w:t>
            </w:r>
          </w:p>
        </w:tc>
        <w:tc>
          <w:tcPr>
            <w:tcW w:w="934" w:type="dxa"/>
            <w:tcBorders>
              <w:top w:val="nil"/>
              <w:left w:val="nil"/>
              <w:bottom w:val="nil"/>
              <w:right w:val="nil"/>
            </w:tcBorders>
            <w:shd w:val="clear" w:color="auto" w:fill="auto"/>
            <w:noWrap/>
            <w:vAlign w:val="center"/>
            <w:hideMark/>
          </w:tcPr>
          <w:p w14:paraId="606A64F7"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 xml:space="preserve">General </w:t>
            </w:r>
          </w:p>
        </w:tc>
        <w:tc>
          <w:tcPr>
            <w:tcW w:w="2004" w:type="dxa"/>
            <w:tcBorders>
              <w:top w:val="nil"/>
              <w:left w:val="nil"/>
              <w:bottom w:val="nil"/>
              <w:right w:val="nil"/>
            </w:tcBorders>
            <w:shd w:val="clear" w:color="auto" w:fill="auto"/>
            <w:noWrap/>
            <w:vAlign w:val="center"/>
            <w:hideMark/>
          </w:tcPr>
          <w:p w14:paraId="6CB04C8B"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Information Technology, cultural-political branding</w:t>
            </w:r>
          </w:p>
        </w:tc>
        <w:tc>
          <w:tcPr>
            <w:tcW w:w="1342" w:type="dxa"/>
            <w:tcBorders>
              <w:top w:val="nil"/>
              <w:left w:val="nil"/>
              <w:bottom w:val="nil"/>
              <w:right w:val="nil"/>
            </w:tcBorders>
            <w:shd w:val="clear" w:color="auto" w:fill="auto"/>
            <w:noWrap/>
            <w:vAlign w:val="center"/>
            <w:hideMark/>
          </w:tcPr>
          <w:p w14:paraId="42755127"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1613" w:type="dxa"/>
            <w:tcBorders>
              <w:top w:val="nil"/>
              <w:left w:val="nil"/>
              <w:bottom w:val="nil"/>
              <w:right w:val="nil"/>
            </w:tcBorders>
            <w:shd w:val="clear" w:color="auto" w:fill="auto"/>
            <w:noWrap/>
            <w:vAlign w:val="center"/>
            <w:hideMark/>
          </w:tcPr>
          <w:p w14:paraId="29B72B4C" w14:textId="248F041D" w:rsidR="00996AE0" w:rsidRPr="00996AE0" w:rsidRDefault="00996AE0" w:rsidP="00B273BE">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 xml:space="preserve">Case-study and </w:t>
            </w:r>
            <w:r w:rsidRPr="00996AE0">
              <w:rPr>
                <w:rFonts w:ascii="Times New Roman" w:eastAsia="Times New Roman" w:hAnsi="Times New Roman" w:cs="Times New Roman"/>
                <w:color w:val="008080"/>
                <w:sz w:val="15"/>
                <w:szCs w:val="15"/>
                <w:u w:val="single"/>
                <w:lang w:val="en-US"/>
              </w:rPr>
              <w:t>netnography</w:t>
            </w:r>
          </w:p>
        </w:tc>
        <w:tc>
          <w:tcPr>
            <w:tcW w:w="1482" w:type="dxa"/>
            <w:tcBorders>
              <w:top w:val="nil"/>
              <w:left w:val="nil"/>
              <w:bottom w:val="nil"/>
              <w:right w:val="nil"/>
            </w:tcBorders>
            <w:shd w:val="clear" w:color="auto" w:fill="auto"/>
            <w:noWrap/>
            <w:vAlign w:val="center"/>
            <w:hideMark/>
          </w:tcPr>
          <w:p w14:paraId="7304CC30" w14:textId="1D9D9D3C" w:rsidR="00996AE0" w:rsidRPr="00996AE0" w:rsidRDefault="00996AE0" w:rsidP="00B273BE">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 xml:space="preserve">Data from online </w:t>
            </w:r>
            <w:r w:rsidRPr="00996AE0">
              <w:rPr>
                <w:rFonts w:ascii="Times New Roman" w:eastAsia="Times New Roman" w:hAnsi="Times New Roman" w:cs="Times New Roman"/>
                <w:color w:val="008080"/>
                <w:sz w:val="15"/>
                <w:szCs w:val="15"/>
                <w:u w:val="single"/>
                <w:lang w:val="en-US"/>
              </w:rPr>
              <w:t>sources/social networks</w:t>
            </w:r>
          </w:p>
        </w:tc>
        <w:tc>
          <w:tcPr>
            <w:tcW w:w="1009" w:type="dxa"/>
            <w:tcBorders>
              <w:top w:val="nil"/>
              <w:left w:val="nil"/>
              <w:bottom w:val="nil"/>
              <w:right w:val="nil"/>
            </w:tcBorders>
            <w:shd w:val="clear" w:color="auto" w:fill="auto"/>
            <w:noWrap/>
            <w:vAlign w:val="center"/>
            <w:hideMark/>
          </w:tcPr>
          <w:p w14:paraId="1A1A3584"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451" w:type="dxa"/>
            <w:tcBorders>
              <w:top w:val="nil"/>
              <w:left w:val="nil"/>
              <w:bottom w:val="nil"/>
              <w:right w:val="nil"/>
            </w:tcBorders>
            <w:shd w:val="clear" w:color="auto" w:fill="auto"/>
            <w:noWrap/>
            <w:vAlign w:val="center"/>
            <w:hideMark/>
          </w:tcPr>
          <w:p w14:paraId="7A83C7F7"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7470" w:type="dxa"/>
            <w:tcBorders>
              <w:top w:val="nil"/>
              <w:left w:val="nil"/>
              <w:bottom w:val="nil"/>
              <w:right w:val="nil"/>
            </w:tcBorders>
            <w:shd w:val="clear" w:color="auto" w:fill="auto"/>
            <w:vAlign w:val="center"/>
            <w:hideMark/>
          </w:tcPr>
          <w:p w14:paraId="2C9B45B8"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Cyber political brands can come into creation differently. M5S stemmed from a blog of an Italian humorist, Beppe Grillo. Czech Pirate Party, an existing party, found support in Czech techno-culture. New political brands are benefiting from the diffusion of IT.</w:t>
            </w:r>
          </w:p>
        </w:tc>
      </w:tr>
      <w:tr w:rsidR="00996AE0" w:rsidRPr="00996AE0" w14:paraId="009F6092" w14:textId="77777777" w:rsidTr="009156CF">
        <w:trPr>
          <w:trHeight w:val="1440"/>
        </w:trPr>
        <w:tc>
          <w:tcPr>
            <w:tcW w:w="1497" w:type="dxa"/>
            <w:tcBorders>
              <w:top w:val="nil"/>
              <w:left w:val="nil"/>
              <w:bottom w:val="nil"/>
              <w:right w:val="nil"/>
            </w:tcBorders>
            <w:shd w:val="clear" w:color="auto" w:fill="auto"/>
            <w:noWrap/>
            <w:vAlign w:val="center"/>
            <w:hideMark/>
          </w:tcPr>
          <w:p w14:paraId="188818FA" w14:textId="77777777" w:rsidR="00996AE0" w:rsidRPr="00996AE0" w:rsidRDefault="00996AE0" w:rsidP="009156CF">
            <w:pPr>
              <w:rPr>
                <w:rFonts w:ascii="Times New Roman" w:eastAsia="Times New Roman" w:hAnsi="Times New Roman" w:cs="Times New Roman"/>
                <w:b/>
                <w:bCs/>
                <w:color w:val="000000"/>
                <w:sz w:val="15"/>
                <w:szCs w:val="15"/>
              </w:rPr>
            </w:pPr>
            <w:r w:rsidRPr="00996AE0">
              <w:rPr>
                <w:rFonts w:ascii="Times New Roman" w:eastAsia="Times New Roman" w:hAnsi="Times New Roman" w:cs="Times New Roman"/>
                <w:b/>
                <w:bCs/>
                <w:color w:val="000000" w:themeColor="text1"/>
                <w:sz w:val="15"/>
                <w:szCs w:val="15"/>
                <w:lang w:val="en-US"/>
              </w:rPr>
              <w:t>Marder et al., 2018</w:t>
            </w:r>
          </w:p>
        </w:tc>
        <w:tc>
          <w:tcPr>
            <w:tcW w:w="948" w:type="dxa"/>
            <w:tcBorders>
              <w:top w:val="nil"/>
              <w:left w:val="nil"/>
              <w:bottom w:val="nil"/>
              <w:right w:val="nil"/>
            </w:tcBorders>
            <w:shd w:val="clear" w:color="auto" w:fill="auto"/>
            <w:noWrap/>
            <w:vAlign w:val="center"/>
            <w:hideMark/>
          </w:tcPr>
          <w:p w14:paraId="3832F554"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2018</w:t>
            </w:r>
          </w:p>
        </w:tc>
        <w:tc>
          <w:tcPr>
            <w:tcW w:w="1939" w:type="dxa"/>
            <w:tcBorders>
              <w:top w:val="nil"/>
              <w:left w:val="nil"/>
              <w:bottom w:val="nil"/>
              <w:right w:val="nil"/>
            </w:tcBorders>
            <w:shd w:val="clear" w:color="auto" w:fill="auto"/>
            <w:noWrap/>
            <w:vAlign w:val="center"/>
            <w:hideMark/>
          </w:tcPr>
          <w:p w14:paraId="15FA6E6F"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USA and UK</w:t>
            </w:r>
          </w:p>
        </w:tc>
        <w:tc>
          <w:tcPr>
            <w:tcW w:w="1180" w:type="dxa"/>
            <w:tcBorders>
              <w:top w:val="nil"/>
              <w:left w:val="nil"/>
              <w:bottom w:val="nil"/>
              <w:right w:val="nil"/>
            </w:tcBorders>
            <w:shd w:val="clear" w:color="auto" w:fill="auto"/>
            <w:noWrap/>
            <w:vAlign w:val="center"/>
            <w:hideMark/>
          </w:tcPr>
          <w:p w14:paraId="436B66C6"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N/A</w:t>
            </w:r>
          </w:p>
        </w:tc>
        <w:tc>
          <w:tcPr>
            <w:tcW w:w="939" w:type="dxa"/>
            <w:tcBorders>
              <w:top w:val="nil"/>
              <w:left w:val="nil"/>
              <w:bottom w:val="nil"/>
              <w:right w:val="nil"/>
            </w:tcBorders>
            <w:shd w:val="clear" w:color="auto" w:fill="auto"/>
            <w:noWrap/>
            <w:vAlign w:val="center"/>
            <w:hideMark/>
          </w:tcPr>
          <w:p w14:paraId="0A529A97"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Party</w:t>
            </w:r>
          </w:p>
        </w:tc>
        <w:tc>
          <w:tcPr>
            <w:tcW w:w="1672" w:type="dxa"/>
            <w:tcBorders>
              <w:top w:val="nil"/>
              <w:left w:val="nil"/>
              <w:bottom w:val="nil"/>
              <w:right w:val="nil"/>
            </w:tcBorders>
            <w:shd w:val="clear" w:color="auto" w:fill="auto"/>
            <w:noWrap/>
            <w:vAlign w:val="center"/>
            <w:hideMark/>
          </w:tcPr>
          <w:p w14:paraId="1E015279"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National politics</w:t>
            </w:r>
          </w:p>
        </w:tc>
        <w:tc>
          <w:tcPr>
            <w:tcW w:w="934" w:type="dxa"/>
            <w:tcBorders>
              <w:top w:val="nil"/>
              <w:left w:val="nil"/>
              <w:bottom w:val="nil"/>
              <w:right w:val="nil"/>
            </w:tcBorders>
            <w:shd w:val="clear" w:color="auto" w:fill="auto"/>
            <w:noWrap/>
            <w:vAlign w:val="center"/>
            <w:hideMark/>
          </w:tcPr>
          <w:p w14:paraId="33C5A79A"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Facebook</w:t>
            </w:r>
          </w:p>
        </w:tc>
        <w:tc>
          <w:tcPr>
            <w:tcW w:w="2004" w:type="dxa"/>
            <w:tcBorders>
              <w:top w:val="nil"/>
              <w:left w:val="nil"/>
              <w:bottom w:val="nil"/>
              <w:right w:val="nil"/>
            </w:tcBorders>
            <w:shd w:val="clear" w:color="auto" w:fill="auto"/>
            <w:noWrap/>
            <w:vAlign w:val="center"/>
            <w:hideMark/>
          </w:tcPr>
          <w:p w14:paraId="40BB88E6"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Self-Concept Theory</w:t>
            </w:r>
          </w:p>
        </w:tc>
        <w:tc>
          <w:tcPr>
            <w:tcW w:w="1342" w:type="dxa"/>
            <w:tcBorders>
              <w:top w:val="nil"/>
              <w:left w:val="nil"/>
              <w:bottom w:val="nil"/>
              <w:right w:val="nil"/>
            </w:tcBorders>
            <w:shd w:val="clear" w:color="auto" w:fill="auto"/>
            <w:noWrap/>
            <w:vAlign w:val="center"/>
            <w:hideMark/>
          </w:tcPr>
          <w:p w14:paraId="757FC41B"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1613" w:type="dxa"/>
            <w:tcBorders>
              <w:top w:val="nil"/>
              <w:left w:val="nil"/>
              <w:bottom w:val="nil"/>
              <w:right w:val="nil"/>
            </w:tcBorders>
            <w:shd w:val="clear" w:color="auto" w:fill="auto"/>
            <w:noWrap/>
            <w:vAlign w:val="center"/>
            <w:hideMark/>
          </w:tcPr>
          <w:p w14:paraId="419336DF"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Survey</w:t>
            </w:r>
          </w:p>
        </w:tc>
        <w:tc>
          <w:tcPr>
            <w:tcW w:w="1482" w:type="dxa"/>
            <w:tcBorders>
              <w:top w:val="nil"/>
              <w:left w:val="nil"/>
              <w:bottom w:val="nil"/>
              <w:right w:val="nil"/>
            </w:tcBorders>
            <w:shd w:val="clear" w:color="auto" w:fill="auto"/>
            <w:noWrap/>
            <w:vAlign w:val="center"/>
            <w:hideMark/>
          </w:tcPr>
          <w:p w14:paraId="47ACD49D"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Voters</w:t>
            </w:r>
          </w:p>
        </w:tc>
        <w:tc>
          <w:tcPr>
            <w:tcW w:w="1009" w:type="dxa"/>
            <w:tcBorders>
              <w:top w:val="nil"/>
              <w:left w:val="nil"/>
              <w:bottom w:val="nil"/>
              <w:right w:val="nil"/>
            </w:tcBorders>
            <w:shd w:val="clear" w:color="auto" w:fill="auto"/>
            <w:noWrap/>
            <w:vAlign w:val="center"/>
            <w:hideMark/>
          </w:tcPr>
          <w:p w14:paraId="4C656F70"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451" w:type="dxa"/>
            <w:tcBorders>
              <w:top w:val="nil"/>
              <w:left w:val="nil"/>
              <w:bottom w:val="nil"/>
              <w:right w:val="nil"/>
            </w:tcBorders>
            <w:shd w:val="clear" w:color="auto" w:fill="auto"/>
            <w:noWrap/>
            <w:vAlign w:val="center"/>
            <w:hideMark/>
          </w:tcPr>
          <w:p w14:paraId="6A7104CF"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7470" w:type="dxa"/>
            <w:tcBorders>
              <w:top w:val="nil"/>
              <w:left w:val="nil"/>
              <w:bottom w:val="nil"/>
              <w:right w:val="nil"/>
            </w:tcBorders>
            <w:shd w:val="clear" w:color="auto" w:fill="auto"/>
            <w:vAlign w:val="center"/>
            <w:hideMark/>
          </w:tcPr>
          <w:p w14:paraId="0CD27356"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Proximity to the undesired social-self that results from liking a political brand is related to social anxiety. This proximity is negatively linked to the intention to conspicuously like a political brand, with social anxiety mediating this relationship. People are more likely to like a political brand privately (inconspicuously). With diverse audiences, people are likely to avoid liking a political brand visibly (explained by context collapse and the Lowest Common Denominator effect). People with high political self-consciousness are more likely to prefer secret likes and get social anxiety. Americans exhibited greater anxiety and a lower intention to like.</w:t>
            </w:r>
          </w:p>
        </w:tc>
      </w:tr>
      <w:tr w:rsidR="00996AE0" w:rsidRPr="00996AE0" w14:paraId="7C6FE0CA" w14:textId="77777777" w:rsidTr="009156CF">
        <w:trPr>
          <w:trHeight w:val="960"/>
        </w:trPr>
        <w:tc>
          <w:tcPr>
            <w:tcW w:w="1497" w:type="dxa"/>
            <w:tcBorders>
              <w:top w:val="nil"/>
              <w:left w:val="nil"/>
              <w:bottom w:val="nil"/>
              <w:right w:val="nil"/>
            </w:tcBorders>
            <w:shd w:val="clear" w:color="auto" w:fill="auto"/>
            <w:noWrap/>
            <w:vAlign w:val="center"/>
            <w:hideMark/>
          </w:tcPr>
          <w:p w14:paraId="7D486899" w14:textId="77777777" w:rsidR="00996AE0" w:rsidRPr="00996AE0" w:rsidRDefault="00996AE0" w:rsidP="009156CF">
            <w:pPr>
              <w:rPr>
                <w:rFonts w:ascii="Times New Roman" w:eastAsia="Times New Roman" w:hAnsi="Times New Roman" w:cs="Times New Roman"/>
                <w:b/>
                <w:bCs/>
                <w:color w:val="000000"/>
                <w:sz w:val="15"/>
                <w:szCs w:val="15"/>
              </w:rPr>
            </w:pPr>
            <w:r w:rsidRPr="00996AE0">
              <w:rPr>
                <w:rFonts w:ascii="Times New Roman" w:eastAsia="Times New Roman" w:hAnsi="Times New Roman" w:cs="Times New Roman"/>
                <w:b/>
                <w:bCs/>
                <w:color w:val="000000" w:themeColor="text1"/>
                <w:sz w:val="15"/>
                <w:szCs w:val="15"/>
                <w:lang w:val="en-US"/>
              </w:rPr>
              <w:t>Marquart et al., 2019</w:t>
            </w:r>
          </w:p>
        </w:tc>
        <w:tc>
          <w:tcPr>
            <w:tcW w:w="948" w:type="dxa"/>
            <w:tcBorders>
              <w:top w:val="nil"/>
              <w:left w:val="nil"/>
              <w:bottom w:val="nil"/>
              <w:right w:val="nil"/>
            </w:tcBorders>
            <w:shd w:val="clear" w:color="auto" w:fill="auto"/>
            <w:noWrap/>
            <w:vAlign w:val="center"/>
            <w:hideMark/>
          </w:tcPr>
          <w:p w14:paraId="5DE1B230"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2019</w:t>
            </w:r>
          </w:p>
        </w:tc>
        <w:tc>
          <w:tcPr>
            <w:tcW w:w="1939" w:type="dxa"/>
            <w:tcBorders>
              <w:top w:val="nil"/>
              <w:left w:val="nil"/>
              <w:bottom w:val="nil"/>
              <w:right w:val="nil"/>
            </w:tcBorders>
            <w:shd w:val="clear" w:color="auto" w:fill="auto"/>
            <w:noWrap/>
            <w:vAlign w:val="center"/>
            <w:hideMark/>
          </w:tcPr>
          <w:p w14:paraId="367DC384"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 xml:space="preserve">Netherlands </w:t>
            </w:r>
          </w:p>
        </w:tc>
        <w:tc>
          <w:tcPr>
            <w:tcW w:w="1180" w:type="dxa"/>
            <w:tcBorders>
              <w:top w:val="nil"/>
              <w:left w:val="nil"/>
              <w:bottom w:val="nil"/>
              <w:right w:val="nil"/>
            </w:tcBorders>
            <w:shd w:val="clear" w:color="auto" w:fill="auto"/>
            <w:noWrap/>
            <w:vAlign w:val="center"/>
            <w:hideMark/>
          </w:tcPr>
          <w:p w14:paraId="11C25DE5"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EU election</w:t>
            </w:r>
          </w:p>
        </w:tc>
        <w:tc>
          <w:tcPr>
            <w:tcW w:w="939" w:type="dxa"/>
            <w:tcBorders>
              <w:top w:val="nil"/>
              <w:left w:val="nil"/>
              <w:bottom w:val="nil"/>
              <w:right w:val="nil"/>
            </w:tcBorders>
            <w:shd w:val="clear" w:color="auto" w:fill="auto"/>
            <w:noWrap/>
            <w:vAlign w:val="center"/>
            <w:hideMark/>
          </w:tcPr>
          <w:p w14:paraId="6898E3D8"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Party</w:t>
            </w:r>
          </w:p>
        </w:tc>
        <w:tc>
          <w:tcPr>
            <w:tcW w:w="1672" w:type="dxa"/>
            <w:tcBorders>
              <w:top w:val="nil"/>
              <w:left w:val="nil"/>
              <w:bottom w:val="nil"/>
              <w:right w:val="nil"/>
            </w:tcBorders>
            <w:shd w:val="clear" w:color="auto" w:fill="auto"/>
            <w:noWrap/>
            <w:vAlign w:val="center"/>
            <w:hideMark/>
          </w:tcPr>
          <w:p w14:paraId="4C69C483"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EU politics</w:t>
            </w:r>
          </w:p>
        </w:tc>
        <w:tc>
          <w:tcPr>
            <w:tcW w:w="934" w:type="dxa"/>
            <w:tcBorders>
              <w:top w:val="nil"/>
              <w:left w:val="nil"/>
              <w:bottom w:val="nil"/>
              <w:right w:val="nil"/>
            </w:tcBorders>
            <w:shd w:val="clear" w:color="auto" w:fill="auto"/>
            <w:noWrap/>
            <w:vAlign w:val="center"/>
            <w:hideMark/>
          </w:tcPr>
          <w:p w14:paraId="10A4B6C6"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Facebook</w:t>
            </w:r>
          </w:p>
        </w:tc>
        <w:tc>
          <w:tcPr>
            <w:tcW w:w="2004" w:type="dxa"/>
            <w:tcBorders>
              <w:top w:val="nil"/>
              <w:left w:val="nil"/>
              <w:bottom w:val="nil"/>
              <w:right w:val="nil"/>
            </w:tcBorders>
            <w:shd w:val="clear" w:color="auto" w:fill="auto"/>
            <w:noWrap/>
            <w:vAlign w:val="center"/>
            <w:hideMark/>
          </w:tcPr>
          <w:p w14:paraId="1A0493F6"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Emotions in political communication and marketing, Affective Intelligence Theory</w:t>
            </w:r>
          </w:p>
        </w:tc>
        <w:tc>
          <w:tcPr>
            <w:tcW w:w="1342" w:type="dxa"/>
            <w:tcBorders>
              <w:top w:val="nil"/>
              <w:left w:val="nil"/>
              <w:bottom w:val="nil"/>
              <w:right w:val="nil"/>
            </w:tcBorders>
            <w:shd w:val="clear" w:color="auto" w:fill="auto"/>
            <w:noWrap/>
            <w:vAlign w:val="center"/>
            <w:hideMark/>
          </w:tcPr>
          <w:p w14:paraId="3CAD0987"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1613" w:type="dxa"/>
            <w:tcBorders>
              <w:top w:val="nil"/>
              <w:left w:val="nil"/>
              <w:bottom w:val="nil"/>
              <w:right w:val="nil"/>
            </w:tcBorders>
            <w:shd w:val="clear" w:color="auto" w:fill="auto"/>
            <w:noWrap/>
            <w:vAlign w:val="center"/>
            <w:hideMark/>
          </w:tcPr>
          <w:p w14:paraId="55534C9E"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Experiment</w:t>
            </w:r>
          </w:p>
        </w:tc>
        <w:tc>
          <w:tcPr>
            <w:tcW w:w="1482" w:type="dxa"/>
            <w:tcBorders>
              <w:top w:val="nil"/>
              <w:left w:val="nil"/>
              <w:bottom w:val="nil"/>
              <w:right w:val="nil"/>
            </w:tcBorders>
            <w:shd w:val="clear" w:color="auto" w:fill="auto"/>
            <w:noWrap/>
            <w:vAlign w:val="center"/>
            <w:hideMark/>
          </w:tcPr>
          <w:p w14:paraId="77AF3BA9"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Voters</w:t>
            </w:r>
          </w:p>
        </w:tc>
        <w:tc>
          <w:tcPr>
            <w:tcW w:w="1009" w:type="dxa"/>
            <w:tcBorders>
              <w:top w:val="nil"/>
              <w:left w:val="nil"/>
              <w:bottom w:val="nil"/>
              <w:right w:val="nil"/>
            </w:tcBorders>
            <w:shd w:val="clear" w:color="auto" w:fill="auto"/>
            <w:noWrap/>
            <w:vAlign w:val="center"/>
            <w:hideMark/>
          </w:tcPr>
          <w:p w14:paraId="1890C2AD"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451" w:type="dxa"/>
            <w:tcBorders>
              <w:top w:val="nil"/>
              <w:left w:val="nil"/>
              <w:bottom w:val="nil"/>
              <w:right w:val="nil"/>
            </w:tcBorders>
            <w:shd w:val="clear" w:color="auto" w:fill="auto"/>
            <w:noWrap/>
            <w:vAlign w:val="center"/>
            <w:hideMark/>
          </w:tcPr>
          <w:p w14:paraId="04891921"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7470" w:type="dxa"/>
            <w:tcBorders>
              <w:top w:val="nil"/>
              <w:left w:val="nil"/>
              <w:bottom w:val="nil"/>
              <w:right w:val="nil"/>
            </w:tcBorders>
            <w:shd w:val="clear" w:color="auto" w:fill="auto"/>
            <w:vAlign w:val="center"/>
            <w:hideMark/>
          </w:tcPr>
          <w:p w14:paraId="1A95B5E5"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Emotional (not neutral) messages generate emotions. Emotions mediate the effect of political messages on attitudes and intentions. Only positive emotion affect outcomes. Respondents reacted more positively to messages that reinforce their existing opinions. The results apply to left-wing and moderate voters as right-wing voters were not manipulated by the experimental conditions.</w:t>
            </w:r>
          </w:p>
        </w:tc>
      </w:tr>
      <w:tr w:rsidR="00996AE0" w:rsidRPr="00996AE0" w14:paraId="3BEF3A42" w14:textId="77777777" w:rsidTr="009156CF">
        <w:trPr>
          <w:trHeight w:val="1440"/>
        </w:trPr>
        <w:tc>
          <w:tcPr>
            <w:tcW w:w="1497" w:type="dxa"/>
            <w:tcBorders>
              <w:top w:val="nil"/>
              <w:left w:val="nil"/>
              <w:bottom w:val="nil"/>
              <w:right w:val="nil"/>
            </w:tcBorders>
            <w:shd w:val="clear" w:color="auto" w:fill="auto"/>
            <w:noWrap/>
            <w:vAlign w:val="center"/>
            <w:hideMark/>
          </w:tcPr>
          <w:p w14:paraId="6B0F93FA" w14:textId="77777777" w:rsidR="00996AE0" w:rsidRPr="00996AE0" w:rsidRDefault="00996AE0" w:rsidP="009156CF">
            <w:pPr>
              <w:rPr>
                <w:rFonts w:ascii="Times New Roman" w:eastAsia="Times New Roman" w:hAnsi="Times New Roman" w:cs="Times New Roman"/>
                <w:b/>
                <w:bCs/>
                <w:color w:val="000000"/>
                <w:sz w:val="15"/>
                <w:szCs w:val="15"/>
              </w:rPr>
            </w:pPr>
            <w:r w:rsidRPr="00996AE0">
              <w:rPr>
                <w:rFonts w:ascii="Times New Roman" w:eastAsia="Times New Roman" w:hAnsi="Times New Roman" w:cs="Times New Roman"/>
                <w:b/>
                <w:bCs/>
                <w:color w:val="000000" w:themeColor="text1"/>
                <w:sz w:val="15"/>
                <w:szCs w:val="15"/>
                <w:lang w:val="en-US"/>
              </w:rPr>
              <w:t>Milewicz &amp; Saxby, 2013</w:t>
            </w:r>
          </w:p>
        </w:tc>
        <w:tc>
          <w:tcPr>
            <w:tcW w:w="948" w:type="dxa"/>
            <w:tcBorders>
              <w:top w:val="nil"/>
              <w:left w:val="nil"/>
              <w:bottom w:val="nil"/>
              <w:right w:val="nil"/>
            </w:tcBorders>
            <w:shd w:val="clear" w:color="auto" w:fill="auto"/>
            <w:noWrap/>
            <w:vAlign w:val="center"/>
            <w:hideMark/>
          </w:tcPr>
          <w:p w14:paraId="4FACBB8E"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2013</w:t>
            </w:r>
          </w:p>
        </w:tc>
        <w:tc>
          <w:tcPr>
            <w:tcW w:w="1939" w:type="dxa"/>
            <w:tcBorders>
              <w:top w:val="nil"/>
              <w:left w:val="nil"/>
              <w:bottom w:val="nil"/>
              <w:right w:val="nil"/>
            </w:tcBorders>
            <w:shd w:val="clear" w:color="auto" w:fill="auto"/>
            <w:noWrap/>
            <w:vAlign w:val="center"/>
            <w:hideMark/>
          </w:tcPr>
          <w:p w14:paraId="30A4196B"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USA</w:t>
            </w:r>
          </w:p>
        </w:tc>
        <w:tc>
          <w:tcPr>
            <w:tcW w:w="1180" w:type="dxa"/>
            <w:tcBorders>
              <w:top w:val="nil"/>
              <w:left w:val="nil"/>
              <w:bottom w:val="nil"/>
              <w:right w:val="nil"/>
            </w:tcBorders>
            <w:shd w:val="clear" w:color="auto" w:fill="auto"/>
            <w:noWrap/>
            <w:vAlign w:val="center"/>
            <w:hideMark/>
          </w:tcPr>
          <w:p w14:paraId="226FE7C1"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2010</w:t>
            </w:r>
          </w:p>
        </w:tc>
        <w:tc>
          <w:tcPr>
            <w:tcW w:w="939" w:type="dxa"/>
            <w:tcBorders>
              <w:top w:val="nil"/>
              <w:left w:val="nil"/>
              <w:bottom w:val="nil"/>
              <w:right w:val="nil"/>
            </w:tcBorders>
            <w:shd w:val="clear" w:color="auto" w:fill="auto"/>
            <w:noWrap/>
            <w:vAlign w:val="center"/>
            <w:hideMark/>
          </w:tcPr>
          <w:p w14:paraId="3A1A8E56"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Candidate</w:t>
            </w:r>
          </w:p>
        </w:tc>
        <w:tc>
          <w:tcPr>
            <w:tcW w:w="1672" w:type="dxa"/>
            <w:tcBorders>
              <w:top w:val="nil"/>
              <w:left w:val="nil"/>
              <w:bottom w:val="nil"/>
              <w:right w:val="nil"/>
            </w:tcBorders>
            <w:shd w:val="clear" w:color="auto" w:fill="auto"/>
            <w:noWrap/>
            <w:vAlign w:val="center"/>
            <w:hideMark/>
          </w:tcPr>
          <w:p w14:paraId="27D34E10"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US Congress</w:t>
            </w:r>
          </w:p>
        </w:tc>
        <w:tc>
          <w:tcPr>
            <w:tcW w:w="934" w:type="dxa"/>
            <w:tcBorders>
              <w:top w:val="nil"/>
              <w:left w:val="nil"/>
              <w:bottom w:val="nil"/>
              <w:right w:val="nil"/>
            </w:tcBorders>
            <w:shd w:val="clear" w:color="auto" w:fill="auto"/>
            <w:noWrap/>
            <w:vAlign w:val="center"/>
            <w:hideMark/>
          </w:tcPr>
          <w:p w14:paraId="706686F7"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General</w:t>
            </w:r>
          </w:p>
        </w:tc>
        <w:tc>
          <w:tcPr>
            <w:tcW w:w="2004" w:type="dxa"/>
            <w:tcBorders>
              <w:top w:val="nil"/>
              <w:left w:val="nil"/>
              <w:bottom w:val="nil"/>
              <w:right w:val="nil"/>
            </w:tcBorders>
            <w:shd w:val="clear" w:color="auto" w:fill="auto"/>
            <w:noWrap/>
            <w:vAlign w:val="center"/>
            <w:hideMark/>
          </w:tcPr>
          <w:p w14:paraId="285492B1"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Technology Acceptance Model, Theory of Planned Behavior</w:t>
            </w:r>
          </w:p>
        </w:tc>
        <w:tc>
          <w:tcPr>
            <w:tcW w:w="1342" w:type="dxa"/>
            <w:tcBorders>
              <w:top w:val="nil"/>
              <w:left w:val="nil"/>
              <w:bottom w:val="nil"/>
              <w:right w:val="nil"/>
            </w:tcBorders>
            <w:shd w:val="clear" w:color="auto" w:fill="auto"/>
            <w:noWrap/>
            <w:vAlign w:val="center"/>
            <w:hideMark/>
          </w:tcPr>
          <w:p w14:paraId="4F8C4593"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1613" w:type="dxa"/>
            <w:tcBorders>
              <w:top w:val="nil"/>
              <w:left w:val="nil"/>
              <w:bottom w:val="nil"/>
              <w:right w:val="nil"/>
            </w:tcBorders>
            <w:shd w:val="clear" w:color="auto" w:fill="auto"/>
            <w:noWrap/>
            <w:vAlign w:val="center"/>
            <w:hideMark/>
          </w:tcPr>
          <w:p w14:paraId="5355F7DC"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Survey</w:t>
            </w:r>
          </w:p>
        </w:tc>
        <w:tc>
          <w:tcPr>
            <w:tcW w:w="1482" w:type="dxa"/>
            <w:tcBorders>
              <w:top w:val="nil"/>
              <w:left w:val="nil"/>
              <w:bottom w:val="nil"/>
              <w:right w:val="nil"/>
            </w:tcBorders>
            <w:shd w:val="clear" w:color="auto" w:fill="auto"/>
            <w:noWrap/>
            <w:vAlign w:val="center"/>
            <w:hideMark/>
          </w:tcPr>
          <w:p w14:paraId="24129C7F"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Candidates</w:t>
            </w:r>
          </w:p>
        </w:tc>
        <w:tc>
          <w:tcPr>
            <w:tcW w:w="1009" w:type="dxa"/>
            <w:tcBorders>
              <w:top w:val="nil"/>
              <w:left w:val="nil"/>
              <w:bottom w:val="nil"/>
              <w:right w:val="nil"/>
            </w:tcBorders>
            <w:shd w:val="clear" w:color="auto" w:fill="auto"/>
            <w:noWrap/>
            <w:vAlign w:val="center"/>
            <w:hideMark/>
          </w:tcPr>
          <w:p w14:paraId="790A8B5A"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451" w:type="dxa"/>
            <w:tcBorders>
              <w:top w:val="nil"/>
              <w:left w:val="nil"/>
              <w:bottom w:val="nil"/>
              <w:right w:val="nil"/>
            </w:tcBorders>
            <w:shd w:val="clear" w:color="auto" w:fill="auto"/>
            <w:noWrap/>
            <w:vAlign w:val="center"/>
            <w:hideMark/>
          </w:tcPr>
          <w:p w14:paraId="2490E605"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7470" w:type="dxa"/>
            <w:tcBorders>
              <w:top w:val="nil"/>
              <w:left w:val="nil"/>
              <w:bottom w:val="nil"/>
              <w:right w:val="nil"/>
            </w:tcBorders>
            <w:shd w:val="clear" w:color="auto" w:fill="auto"/>
            <w:vAlign w:val="center"/>
            <w:hideMark/>
          </w:tcPr>
          <w:p w14:paraId="65D51E10"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Perceived usefulness of social media for inbound communication, perceived social media ease of use, and perceived usefulness of social media for outbound communication impact satisfaction with social media for marketing communications, which has an impact on a leader’s intention to use social media for inbound communication. Perceived subjective norms have an impact on a leader’s intention to use social media for inbound communication. The perceived usefulness of social media for outbound communications has an effect on the intention to use social media for inbound communication, which is mediated by satisfaction with social media.</w:t>
            </w:r>
          </w:p>
        </w:tc>
      </w:tr>
      <w:tr w:rsidR="00996AE0" w:rsidRPr="00996AE0" w14:paraId="2B402987" w14:textId="77777777" w:rsidTr="009156CF">
        <w:trPr>
          <w:trHeight w:val="960"/>
        </w:trPr>
        <w:tc>
          <w:tcPr>
            <w:tcW w:w="1497" w:type="dxa"/>
            <w:tcBorders>
              <w:top w:val="nil"/>
              <w:left w:val="nil"/>
              <w:bottom w:val="nil"/>
              <w:right w:val="nil"/>
            </w:tcBorders>
            <w:shd w:val="clear" w:color="auto" w:fill="auto"/>
            <w:noWrap/>
            <w:vAlign w:val="center"/>
            <w:hideMark/>
          </w:tcPr>
          <w:p w14:paraId="639AC5C6" w14:textId="77777777" w:rsidR="00996AE0" w:rsidRPr="00996AE0" w:rsidRDefault="00996AE0" w:rsidP="009156CF">
            <w:pPr>
              <w:rPr>
                <w:rFonts w:ascii="Times New Roman" w:eastAsia="Times New Roman" w:hAnsi="Times New Roman" w:cs="Times New Roman"/>
                <w:b/>
                <w:bCs/>
                <w:color w:val="000000"/>
                <w:sz w:val="15"/>
                <w:szCs w:val="15"/>
              </w:rPr>
            </w:pPr>
            <w:r w:rsidRPr="00996AE0">
              <w:rPr>
                <w:rFonts w:ascii="Times New Roman" w:eastAsia="Times New Roman" w:hAnsi="Times New Roman" w:cs="Times New Roman"/>
                <w:b/>
                <w:bCs/>
                <w:color w:val="000000" w:themeColor="text1"/>
                <w:sz w:val="15"/>
                <w:szCs w:val="15"/>
                <w:lang w:val="en-US"/>
              </w:rPr>
              <w:t>Miller, 2013</w:t>
            </w:r>
          </w:p>
        </w:tc>
        <w:tc>
          <w:tcPr>
            <w:tcW w:w="948" w:type="dxa"/>
            <w:tcBorders>
              <w:top w:val="nil"/>
              <w:left w:val="nil"/>
              <w:bottom w:val="nil"/>
              <w:right w:val="nil"/>
            </w:tcBorders>
            <w:shd w:val="clear" w:color="auto" w:fill="auto"/>
            <w:noWrap/>
            <w:vAlign w:val="center"/>
            <w:hideMark/>
          </w:tcPr>
          <w:p w14:paraId="43A227ED"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2013</w:t>
            </w:r>
          </w:p>
        </w:tc>
        <w:tc>
          <w:tcPr>
            <w:tcW w:w="1939" w:type="dxa"/>
            <w:tcBorders>
              <w:top w:val="nil"/>
              <w:left w:val="nil"/>
              <w:bottom w:val="nil"/>
              <w:right w:val="nil"/>
            </w:tcBorders>
            <w:shd w:val="clear" w:color="auto" w:fill="auto"/>
            <w:noWrap/>
            <w:vAlign w:val="center"/>
            <w:hideMark/>
          </w:tcPr>
          <w:p w14:paraId="3EE2979F"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USA</w:t>
            </w:r>
          </w:p>
        </w:tc>
        <w:tc>
          <w:tcPr>
            <w:tcW w:w="1180" w:type="dxa"/>
            <w:tcBorders>
              <w:top w:val="nil"/>
              <w:left w:val="nil"/>
              <w:bottom w:val="nil"/>
              <w:right w:val="nil"/>
            </w:tcBorders>
            <w:shd w:val="clear" w:color="auto" w:fill="auto"/>
            <w:noWrap/>
            <w:vAlign w:val="center"/>
            <w:hideMark/>
          </w:tcPr>
          <w:p w14:paraId="15DF9784"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Local election</w:t>
            </w:r>
          </w:p>
        </w:tc>
        <w:tc>
          <w:tcPr>
            <w:tcW w:w="939" w:type="dxa"/>
            <w:tcBorders>
              <w:top w:val="nil"/>
              <w:left w:val="nil"/>
              <w:bottom w:val="nil"/>
              <w:right w:val="nil"/>
            </w:tcBorders>
            <w:shd w:val="clear" w:color="auto" w:fill="auto"/>
            <w:noWrap/>
            <w:vAlign w:val="center"/>
            <w:hideMark/>
          </w:tcPr>
          <w:p w14:paraId="3DC453E2"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Candidate</w:t>
            </w:r>
          </w:p>
        </w:tc>
        <w:tc>
          <w:tcPr>
            <w:tcW w:w="1672" w:type="dxa"/>
            <w:tcBorders>
              <w:top w:val="nil"/>
              <w:left w:val="nil"/>
              <w:bottom w:val="nil"/>
              <w:right w:val="nil"/>
            </w:tcBorders>
            <w:shd w:val="clear" w:color="auto" w:fill="auto"/>
            <w:noWrap/>
            <w:vAlign w:val="center"/>
            <w:hideMark/>
          </w:tcPr>
          <w:p w14:paraId="2FD2D008"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Local and state politics</w:t>
            </w:r>
          </w:p>
        </w:tc>
        <w:tc>
          <w:tcPr>
            <w:tcW w:w="934" w:type="dxa"/>
            <w:tcBorders>
              <w:top w:val="nil"/>
              <w:left w:val="nil"/>
              <w:bottom w:val="nil"/>
              <w:right w:val="nil"/>
            </w:tcBorders>
            <w:shd w:val="clear" w:color="auto" w:fill="auto"/>
            <w:noWrap/>
            <w:vAlign w:val="center"/>
            <w:hideMark/>
          </w:tcPr>
          <w:p w14:paraId="45838EF5"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General</w:t>
            </w:r>
          </w:p>
        </w:tc>
        <w:tc>
          <w:tcPr>
            <w:tcW w:w="2004" w:type="dxa"/>
            <w:tcBorders>
              <w:top w:val="nil"/>
              <w:left w:val="nil"/>
              <w:bottom w:val="nil"/>
              <w:right w:val="nil"/>
            </w:tcBorders>
            <w:shd w:val="clear" w:color="auto" w:fill="auto"/>
            <w:noWrap/>
            <w:vAlign w:val="center"/>
            <w:hideMark/>
          </w:tcPr>
          <w:p w14:paraId="631034DA"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Technology and social capital, technology and civic participation, Obama campaign</w:t>
            </w:r>
          </w:p>
        </w:tc>
        <w:tc>
          <w:tcPr>
            <w:tcW w:w="1342" w:type="dxa"/>
            <w:tcBorders>
              <w:top w:val="nil"/>
              <w:left w:val="nil"/>
              <w:bottom w:val="nil"/>
              <w:right w:val="nil"/>
            </w:tcBorders>
            <w:shd w:val="clear" w:color="auto" w:fill="auto"/>
            <w:noWrap/>
            <w:vAlign w:val="center"/>
            <w:hideMark/>
          </w:tcPr>
          <w:p w14:paraId="7FC885F4"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1613" w:type="dxa"/>
            <w:tcBorders>
              <w:top w:val="nil"/>
              <w:left w:val="nil"/>
              <w:bottom w:val="nil"/>
              <w:right w:val="nil"/>
            </w:tcBorders>
            <w:shd w:val="clear" w:color="auto" w:fill="auto"/>
            <w:noWrap/>
            <w:vAlign w:val="center"/>
            <w:hideMark/>
          </w:tcPr>
          <w:p w14:paraId="4AC7DE05"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Case-study</w:t>
            </w:r>
          </w:p>
        </w:tc>
        <w:tc>
          <w:tcPr>
            <w:tcW w:w="1482" w:type="dxa"/>
            <w:tcBorders>
              <w:top w:val="nil"/>
              <w:left w:val="nil"/>
              <w:bottom w:val="nil"/>
              <w:right w:val="nil"/>
            </w:tcBorders>
            <w:shd w:val="clear" w:color="auto" w:fill="auto"/>
            <w:noWrap/>
            <w:vAlign w:val="center"/>
            <w:hideMark/>
          </w:tcPr>
          <w:p w14:paraId="709D53BC"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Secondary data/Author's consultancy data</w:t>
            </w:r>
          </w:p>
        </w:tc>
        <w:tc>
          <w:tcPr>
            <w:tcW w:w="1009" w:type="dxa"/>
            <w:tcBorders>
              <w:top w:val="nil"/>
              <w:left w:val="nil"/>
              <w:bottom w:val="nil"/>
              <w:right w:val="nil"/>
            </w:tcBorders>
            <w:shd w:val="clear" w:color="auto" w:fill="auto"/>
            <w:noWrap/>
            <w:vAlign w:val="center"/>
            <w:hideMark/>
          </w:tcPr>
          <w:p w14:paraId="5EA23F0B"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451" w:type="dxa"/>
            <w:tcBorders>
              <w:top w:val="nil"/>
              <w:left w:val="nil"/>
              <w:bottom w:val="nil"/>
              <w:right w:val="nil"/>
            </w:tcBorders>
            <w:shd w:val="clear" w:color="auto" w:fill="auto"/>
            <w:noWrap/>
            <w:vAlign w:val="center"/>
            <w:hideMark/>
          </w:tcPr>
          <w:p w14:paraId="11596AA1"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7470" w:type="dxa"/>
            <w:tcBorders>
              <w:top w:val="nil"/>
              <w:left w:val="nil"/>
              <w:bottom w:val="nil"/>
              <w:right w:val="nil"/>
            </w:tcBorders>
            <w:shd w:val="clear" w:color="auto" w:fill="auto"/>
            <w:vAlign w:val="center"/>
            <w:hideMark/>
          </w:tcPr>
          <w:p w14:paraId="2E5C6FF7"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A candidate’s adoption or use of social media depends on factors like one’s own traits, situation, and audience traits. Technology-based campaigns do not guarantee success Local and state-level candidates are attracted to the low costs associated with social media and enhanced image among younger voters. However, young voters hardly participate in state or local elections.</w:t>
            </w:r>
          </w:p>
        </w:tc>
      </w:tr>
      <w:tr w:rsidR="00996AE0" w:rsidRPr="00996AE0" w14:paraId="2B727FD3" w14:textId="77777777" w:rsidTr="009156CF">
        <w:trPr>
          <w:trHeight w:val="960"/>
        </w:trPr>
        <w:tc>
          <w:tcPr>
            <w:tcW w:w="1497" w:type="dxa"/>
            <w:tcBorders>
              <w:top w:val="nil"/>
              <w:left w:val="nil"/>
              <w:bottom w:val="nil"/>
              <w:right w:val="nil"/>
            </w:tcBorders>
            <w:shd w:val="clear" w:color="auto" w:fill="auto"/>
            <w:noWrap/>
            <w:vAlign w:val="center"/>
            <w:hideMark/>
          </w:tcPr>
          <w:p w14:paraId="5785EEDE" w14:textId="77777777" w:rsidR="00996AE0" w:rsidRPr="00996AE0" w:rsidRDefault="00996AE0" w:rsidP="009156CF">
            <w:pPr>
              <w:rPr>
                <w:rFonts w:ascii="Times New Roman" w:eastAsia="Times New Roman" w:hAnsi="Times New Roman" w:cs="Times New Roman"/>
                <w:b/>
                <w:bCs/>
                <w:color w:val="000000"/>
                <w:sz w:val="15"/>
                <w:szCs w:val="15"/>
              </w:rPr>
            </w:pPr>
            <w:r w:rsidRPr="00996AE0">
              <w:rPr>
                <w:rFonts w:ascii="Times New Roman" w:eastAsia="Times New Roman" w:hAnsi="Times New Roman" w:cs="Times New Roman"/>
                <w:b/>
                <w:bCs/>
                <w:color w:val="000000" w:themeColor="text1"/>
                <w:sz w:val="15"/>
                <w:szCs w:val="15"/>
                <w:lang w:val="en-US"/>
              </w:rPr>
              <w:t>Muñoz &amp; Towner, 2017</w:t>
            </w:r>
          </w:p>
        </w:tc>
        <w:tc>
          <w:tcPr>
            <w:tcW w:w="948" w:type="dxa"/>
            <w:tcBorders>
              <w:top w:val="nil"/>
              <w:left w:val="nil"/>
              <w:bottom w:val="nil"/>
              <w:right w:val="nil"/>
            </w:tcBorders>
            <w:shd w:val="clear" w:color="auto" w:fill="auto"/>
            <w:noWrap/>
            <w:vAlign w:val="center"/>
            <w:hideMark/>
          </w:tcPr>
          <w:p w14:paraId="482997C9"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2017</w:t>
            </w:r>
          </w:p>
        </w:tc>
        <w:tc>
          <w:tcPr>
            <w:tcW w:w="1939" w:type="dxa"/>
            <w:tcBorders>
              <w:top w:val="nil"/>
              <w:left w:val="nil"/>
              <w:bottom w:val="nil"/>
              <w:right w:val="nil"/>
            </w:tcBorders>
            <w:shd w:val="clear" w:color="auto" w:fill="auto"/>
            <w:noWrap/>
            <w:vAlign w:val="center"/>
            <w:hideMark/>
          </w:tcPr>
          <w:p w14:paraId="7EB0CB63"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USA</w:t>
            </w:r>
          </w:p>
        </w:tc>
        <w:tc>
          <w:tcPr>
            <w:tcW w:w="1180" w:type="dxa"/>
            <w:tcBorders>
              <w:top w:val="nil"/>
              <w:left w:val="nil"/>
              <w:bottom w:val="nil"/>
              <w:right w:val="nil"/>
            </w:tcBorders>
            <w:shd w:val="clear" w:color="auto" w:fill="auto"/>
            <w:noWrap/>
            <w:vAlign w:val="center"/>
            <w:hideMark/>
          </w:tcPr>
          <w:p w14:paraId="5F779F35"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2016</w:t>
            </w:r>
          </w:p>
        </w:tc>
        <w:tc>
          <w:tcPr>
            <w:tcW w:w="939" w:type="dxa"/>
            <w:tcBorders>
              <w:top w:val="nil"/>
              <w:left w:val="nil"/>
              <w:bottom w:val="nil"/>
              <w:right w:val="nil"/>
            </w:tcBorders>
            <w:shd w:val="clear" w:color="auto" w:fill="auto"/>
            <w:noWrap/>
            <w:vAlign w:val="center"/>
            <w:hideMark/>
          </w:tcPr>
          <w:p w14:paraId="0B23930B"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Candidate</w:t>
            </w:r>
          </w:p>
        </w:tc>
        <w:tc>
          <w:tcPr>
            <w:tcW w:w="1672" w:type="dxa"/>
            <w:tcBorders>
              <w:top w:val="nil"/>
              <w:left w:val="nil"/>
              <w:bottom w:val="nil"/>
              <w:right w:val="nil"/>
            </w:tcBorders>
            <w:shd w:val="clear" w:color="auto" w:fill="auto"/>
            <w:noWrap/>
            <w:vAlign w:val="center"/>
            <w:hideMark/>
          </w:tcPr>
          <w:p w14:paraId="6ECCB7DA"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Presidential politics (primaries)</w:t>
            </w:r>
          </w:p>
        </w:tc>
        <w:tc>
          <w:tcPr>
            <w:tcW w:w="934" w:type="dxa"/>
            <w:tcBorders>
              <w:top w:val="nil"/>
              <w:left w:val="nil"/>
              <w:bottom w:val="nil"/>
              <w:right w:val="nil"/>
            </w:tcBorders>
            <w:shd w:val="clear" w:color="auto" w:fill="auto"/>
            <w:noWrap/>
            <w:vAlign w:val="center"/>
            <w:hideMark/>
          </w:tcPr>
          <w:p w14:paraId="3EB62280"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Instagram</w:t>
            </w:r>
          </w:p>
        </w:tc>
        <w:tc>
          <w:tcPr>
            <w:tcW w:w="2004" w:type="dxa"/>
            <w:tcBorders>
              <w:top w:val="nil"/>
              <w:left w:val="nil"/>
              <w:bottom w:val="nil"/>
              <w:right w:val="nil"/>
            </w:tcBorders>
            <w:shd w:val="clear" w:color="auto" w:fill="auto"/>
            <w:noWrap/>
            <w:vAlign w:val="center"/>
            <w:hideMark/>
          </w:tcPr>
          <w:p w14:paraId="6C566F86"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Visual framing in politics, visual communication</w:t>
            </w:r>
          </w:p>
        </w:tc>
        <w:tc>
          <w:tcPr>
            <w:tcW w:w="1342" w:type="dxa"/>
            <w:tcBorders>
              <w:top w:val="nil"/>
              <w:left w:val="nil"/>
              <w:bottom w:val="nil"/>
              <w:right w:val="nil"/>
            </w:tcBorders>
            <w:shd w:val="clear" w:color="auto" w:fill="auto"/>
            <w:noWrap/>
            <w:vAlign w:val="center"/>
            <w:hideMark/>
          </w:tcPr>
          <w:p w14:paraId="4B015E84"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1613" w:type="dxa"/>
            <w:tcBorders>
              <w:top w:val="nil"/>
              <w:left w:val="nil"/>
              <w:bottom w:val="nil"/>
              <w:right w:val="nil"/>
            </w:tcBorders>
            <w:shd w:val="clear" w:color="auto" w:fill="auto"/>
            <w:noWrap/>
            <w:vAlign w:val="center"/>
            <w:hideMark/>
          </w:tcPr>
          <w:p w14:paraId="0E93CB18"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Content analysis</w:t>
            </w:r>
          </w:p>
        </w:tc>
        <w:tc>
          <w:tcPr>
            <w:tcW w:w="1482" w:type="dxa"/>
            <w:tcBorders>
              <w:top w:val="nil"/>
              <w:left w:val="nil"/>
              <w:bottom w:val="nil"/>
              <w:right w:val="nil"/>
            </w:tcBorders>
            <w:shd w:val="clear" w:color="auto" w:fill="auto"/>
            <w:noWrap/>
            <w:vAlign w:val="center"/>
            <w:hideMark/>
          </w:tcPr>
          <w:p w14:paraId="56E302BA"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Candidates' Instagram pages</w:t>
            </w:r>
          </w:p>
        </w:tc>
        <w:tc>
          <w:tcPr>
            <w:tcW w:w="1009" w:type="dxa"/>
            <w:tcBorders>
              <w:top w:val="nil"/>
              <w:left w:val="nil"/>
              <w:bottom w:val="nil"/>
              <w:right w:val="nil"/>
            </w:tcBorders>
            <w:shd w:val="clear" w:color="auto" w:fill="auto"/>
            <w:noWrap/>
            <w:vAlign w:val="center"/>
            <w:hideMark/>
          </w:tcPr>
          <w:p w14:paraId="5DEC7D73"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451" w:type="dxa"/>
            <w:tcBorders>
              <w:top w:val="nil"/>
              <w:left w:val="nil"/>
              <w:bottom w:val="nil"/>
              <w:right w:val="nil"/>
            </w:tcBorders>
            <w:shd w:val="clear" w:color="auto" w:fill="auto"/>
            <w:noWrap/>
            <w:vAlign w:val="center"/>
            <w:hideMark/>
          </w:tcPr>
          <w:p w14:paraId="5495837C"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7470" w:type="dxa"/>
            <w:tcBorders>
              <w:top w:val="nil"/>
              <w:left w:val="nil"/>
              <w:bottom w:val="nil"/>
              <w:right w:val="nil"/>
            </w:tcBorders>
            <w:shd w:val="clear" w:color="auto" w:fill="auto"/>
            <w:vAlign w:val="center"/>
            <w:hideMark/>
          </w:tcPr>
          <w:p w14:paraId="06E21CAB"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The ideal candidate frame was used more often, with its statesmanship dimension being more frequent. The compassion dimension was used by including images of family and affinity gestures. Populist frame campaigning focused on large crowds and ordinary people. Filter usage was infrequent. The text was used, especially in quotes. The ideal candidates’ statesman dimension gathered more likes. Differences existed in drivers of likes and comments.</w:t>
            </w:r>
          </w:p>
        </w:tc>
      </w:tr>
      <w:tr w:rsidR="00996AE0" w:rsidRPr="00996AE0" w14:paraId="5F8A233A" w14:textId="77777777" w:rsidTr="009156CF">
        <w:trPr>
          <w:trHeight w:val="480"/>
        </w:trPr>
        <w:tc>
          <w:tcPr>
            <w:tcW w:w="1497" w:type="dxa"/>
            <w:tcBorders>
              <w:top w:val="nil"/>
              <w:left w:val="nil"/>
              <w:bottom w:val="nil"/>
              <w:right w:val="nil"/>
            </w:tcBorders>
            <w:shd w:val="clear" w:color="auto" w:fill="auto"/>
            <w:noWrap/>
            <w:vAlign w:val="center"/>
            <w:hideMark/>
          </w:tcPr>
          <w:p w14:paraId="629E81DD" w14:textId="77777777" w:rsidR="00996AE0" w:rsidRPr="00996AE0" w:rsidRDefault="00996AE0" w:rsidP="009156CF">
            <w:pPr>
              <w:rPr>
                <w:rFonts w:ascii="Times New Roman" w:eastAsia="Times New Roman" w:hAnsi="Times New Roman" w:cs="Times New Roman"/>
                <w:b/>
                <w:bCs/>
                <w:color w:val="000000"/>
                <w:sz w:val="15"/>
                <w:szCs w:val="15"/>
              </w:rPr>
            </w:pPr>
            <w:r w:rsidRPr="00996AE0">
              <w:rPr>
                <w:rFonts w:ascii="Times New Roman" w:eastAsia="Times New Roman" w:hAnsi="Times New Roman" w:cs="Times New Roman"/>
                <w:b/>
                <w:bCs/>
                <w:color w:val="000000" w:themeColor="text1"/>
                <w:sz w:val="15"/>
                <w:szCs w:val="15"/>
                <w:lang w:val="en-US"/>
              </w:rPr>
              <w:t>Newman, 2016</w:t>
            </w:r>
          </w:p>
        </w:tc>
        <w:tc>
          <w:tcPr>
            <w:tcW w:w="948" w:type="dxa"/>
            <w:tcBorders>
              <w:top w:val="nil"/>
              <w:left w:val="nil"/>
              <w:bottom w:val="nil"/>
              <w:right w:val="nil"/>
            </w:tcBorders>
            <w:shd w:val="clear" w:color="auto" w:fill="auto"/>
            <w:noWrap/>
            <w:vAlign w:val="center"/>
            <w:hideMark/>
          </w:tcPr>
          <w:p w14:paraId="75E8EEAC"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2016</w:t>
            </w:r>
          </w:p>
        </w:tc>
        <w:tc>
          <w:tcPr>
            <w:tcW w:w="1939" w:type="dxa"/>
            <w:tcBorders>
              <w:top w:val="nil"/>
              <w:left w:val="nil"/>
              <w:bottom w:val="nil"/>
              <w:right w:val="nil"/>
            </w:tcBorders>
            <w:shd w:val="clear" w:color="auto" w:fill="auto"/>
            <w:noWrap/>
            <w:vAlign w:val="center"/>
            <w:hideMark/>
          </w:tcPr>
          <w:p w14:paraId="04193233"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USA</w:t>
            </w:r>
          </w:p>
        </w:tc>
        <w:tc>
          <w:tcPr>
            <w:tcW w:w="1180" w:type="dxa"/>
            <w:tcBorders>
              <w:top w:val="nil"/>
              <w:left w:val="nil"/>
              <w:bottom w:val="nil"/>
              <w:right w:val="nil"/>
            </w:tcBorders>
            <w:shd w:val="clear" w:color="auto" w:fill="auto"/>
            <w:noWrap/>
            <w:vAlign w:val="center"/>
            <w:hideMark/>
          </w:tcPr>
          <w:p w14:paraId="55A78FCA"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2008/2012/2016</w:t>
            </w:r>
          </w:p>
        </w:tc>
        <w:tc>
          <w:tcPr>
            <w:tcW w:w="939" w:type="dxa"/>
            <w:tcBorders>
              <w:top w:val="nil"/>
              <w:left w:val="nil"/>
              <w:bottom w:val="nil"/>
              <w:right w:val="nil"/>
            </w:tcBorders>
            <w:shd w:val="clear" w:color="auto" w:fill="auto"/>
            <w:noWrap/>
            <w:vAlign w:val="center"/>
            <w:hideMark/>
          </w:tcPr>
          <w:p w14:paraId="18441A3E"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Candidate</w:t>
            </w:r>
          </w:p>
        </w:tc>
        <w:tc>
          <w:tcPr>
            <w:tcW w:w="1672" w:type="dxa"/>
            <w:tcBorders>
              <w:top w:val="nil"/>
              <w:left w:val="nil"/>
              <w:bottom w:val="nil"/>
              <w:right w:val="nil"/>
            </w:tcBorders>
            <w:shd w:val="clear" w:color="auto" w:fill="auto"/>
            <w:noWrap/>
            <w:vAlign w:val="center"/>
            <w:hideMark/>
          </w:tcPr>
          <w:p w14:paraId="07AF788B"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Presidential politics</w:t>
            </w:r>
          </w:p>
        </w:tc>
        <w:tc>
          <w:tcPr>
            <w:tcW w:w="934" w:type="dxa"/>
            <w:tcBorders>
              <w:top w:val="nil"/>
              <w:left w:val="nil"/>
              <w:bottom w:val="nil"/>
              <w:right w:val="nil"/>
            </w:tcBorders>
            <w:shd w:val="clear" w:color="auto" w:fill="auto"/>
            <w:noWrap/>
            <w:vAlign w:val="center"/>
            <w:hideMark/>
          </w:tcPr>
          <w:p w14:paraId="71B032ED"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General</w:t>
            </w:r>
          </w:p>
        </w:tc>
        <w:tc>
          <w:tcPr>
            <w:tcW w:w="2004" w:type="dxa"/>
            <w:tcBorders>
              <w:top w:val="nil"/>
              <w:left w:val="nil"/>
              <w:bottom w:val="nil"/>
              <w:right w:val="nil"/>
            </w:tcBorders>
            <w:shd w:val="clear" w:color="auto" w:fill="auto"/>
            <w:noWrap/>
            <w:vAlign w:val="center"/>
            <w:hideMark/>
          </w:tcPr>
          <w:p w14:paraId="0F9EA46A"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Big-data, microtargeting, social media, branding</w:t>
            </w:r>
          </w:p>
        </w:tc>
        <w:tc>
          <w:tcPr>
            <w:tcW w:w="1342" w:type="dxa"/>
            <w:tcBorders>
              <w:top w:val="nil"/>
              <w:left w:val="nil"/>
              <w:bottom w:val="nil"/>
              <w:right w:val="nil"/>
            </w:tcBorders>
            <w:shd w:val="clear" w:color="auto" w:fill="auto"/>
            <w:noWrap/>
            <w:vAlign w:val="center"/>
            <w:hideMark/>
          </w:tcPr>
          <w:p w14:paraId="541622CA"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1613" w:type="dxa"/>
            <w:tcBorders>
              <w:top w:val="nil"/>
              <w:left w:val="nil"/>
              <w:bottom w:val="nil"/>
              <w:right w:val="nil"/>
            </w:tcBorders>
            <w:shd w:val="clear" w:color="auto" w:fill="auto"/>
            <w:noWrap/>
            <w:vAlign w:val="center"/>
            <w:hideMark/>
          </w:tcPr>
          <w:p w14:paraId="704186A2"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Viewpoint, commentary</w:t>
            </w:r>
          </w:p>
        </w:tc>
        <w:tc>
          <w:tcPr>
            <w:tcW w:w="1482" w:type="dxa"/>
            <w:tcBorders>
              <w:top w:val="nil"/>
              <w:left w:val="nil"/>
              <w:bottom w:val="nil"/>
              <w:right w:val="nil"/>
            </w:tcBorders>
            <w:shd w:val="clear" w:color="auto" w:fill="auto"/>
            <w:noWrap/>
            <w:vAlign w:val="center"/>
            <w:hideMark/>
          </w:tcPr>
          <w:p w14:paraId="1CD6DA3B"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Secondary data</w:t>
            </w:r>
          </w:p>
        </w:tc>
        <w:tc>
          <w:tcPr>
            <w:tcW w:w="1009" w:type="dxa"/>
            <w:tcBorders>
              <w:top w:val="nil"/>
              <w:left w:val="nil"/>
              <w:bottom w:val="nil"/>
              <w:right w:val="nil"/>
            </w:tcBorders>
            <w:shd w:val="clear" w:color="auto" w:fill="auto"/>
            <w:noWrap/>
            <w:vAlign w:val="center"/>
            <w:hideMark/>
          </w:tcPr>
          <w:p w14:paraId="797EDA21"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451" w:type="dxa"/>
            <w:tcBorders>
              <w:top w:val="nil"/>
              <w:left w:val="nil"/>
              <w:bottom w:val="nil"/>
              <w:right w:val="nil"/>
            </w:tcBorders>
            <w:shd w:val="clear" w:color="auto" w:fill="auto"/>
            <w:noWrap/>
            <w:vAlign w:val="center"/>
            <w:hideMark/>
          </w:tcPr>
          <w:p w14:paraId="128315E2"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7470" w:type="dxa"/>
            <w:tcBorders>
              <w:top w:val="nil"/>
              <w:left w:val="nil"/>
              <w:bottom w:val="nil"/>
              <w:right w:val="nil"/>
            </w:tcBorders>
            <w:shd w:val="clear" w:color="auto" w:fill="auto"/>
            <w:vAlign w:val="center"/>
            <w:hideMark/>
          </w:tcPr>
          <w:p w14:paraId="49EB362C"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Advanced statistical techniques are being taken over by big data and customer analytics. The author introduces the Obama model (the use of social media, microtargeting, big data, analytics, feedback, testing, etc.).</w:t>
            </w:r>
          </w:p>
        </w:tc>
      </w:tr>
      <w:tr w:rsidR="00996AE0" w:rsidRPr="00996AE0" w14:paraId="2A4D80B4" w14:textId="77777777" w:rsidTr="009156CF">
        <w:trPr>
          <w:trHeight w:val="960"/>
        </w:trPr>
        <w:tc>
          <w:tcPr>
            <w:tcW w:w="1497" w:type="dxa"/>
            <w:tcBorders>
              <w:top w:val="nil"/>
              <w:left w:val="nil"/>
              <w:bottom w:val="nil"/>
              <w:right w:val="nil"/>
            </w:tcBorders>
            <w:shd w:val="clear" w:color="auto" w:fill="auto"/>
            <w:noWrap/>
            <w:vAlign w:val="center"/>
            <w:hideMark/>
          </w:tcPr>
          <w:p w14:paraId="517661D4" w14:textId="77777777" w:rsidR="00996AE0" w:rsidRPr="00996AE0" w:rsidRDefault="00996AE0" w:rsidP="009156CF">
            <w:pPr>
              <w:rPr>
                <w:rFonts w:ascii="Times New Roman" w:eastAsia="Times New Roman" w:hAnsi="Times New Roman" w:cs="Times New Roman"/>
                <w:b/>
                <w:bCs/>
                <w:color w:val="000000"/>
                <w:sz w:val="15"/>
                <w:szCs w:val="15"/>
              </w:rPr>
            </w:pPr>
            <w:r w:rsidRPr="00996AE0">
              <w:rPr>
                <w:rFonts w:ascii="Times New Roman" w:eastAsia="Times New Roman" w:hAnsi="Times New Roman" w:cs="Times New Roman"/>
                <w:b/>
                <w:bCs/>
                <w:color w:val="000000" w:themeColor="text1"/>
                <w:sz w:val="15"/>
                <w:szCs w:val="15"/>
                <w:lang w:val="en-US"/>
              </w:rPr>
              <w:t>Page &amp; Duffy, 2018</w:t>
            </w:r>
          </w:p>
        </w:tc>
        <w:tc>
          <w:tcPr>
            <w:tcW w:w="948" w:type="dxa"/>
            <w:tcBorders>
              <w:top w:val="nil"/>
              <w:left w:val="nil"/>
              <w:bottom w:val="nil"/>
              <w:right w:val="nil"/>
            </w:tcBorders>
            <w:shd w:val="clear" w:color="auto" w:fill="auto"/>
            <w:noWrap/>
            <w:vAlign w:val="center"/>
            <w:hideMark/>
          </w:tcPr>
          <w:p w14:paraId="4593E239"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2018</w:t>
            </w:r>
          </w:p>
        </w:tc>
        <w:tc>
          <w:tcPr>
            <w:tcW w:w="1939" w:type="dxa"/>
            <w:tcBorders>
              <w:top w:val="nil"/>
              <w:left w:val="nil"/>
              <w:bottom w:val="nil"/>
              <w:right w:val="nil"/>
            </w:tcBorders>
            <w:shd w:val="clear" w:color="auto" w:fill="auto"/>
            <w:noWrap/>
            <w:vAlign w:val="center"/>
            <w:hideMark/>
          </w:tcPr>
          <w:p w14:paraId="555A873D"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USA</w:t>
            </w:r>
          </w:p>
        </w:tc>
        <w:tc>
          <w:tcPr>
            <w:tcW w:w="1180" w:type="dxa"/>
            <w:tcBorders>
              <w:top w:val="nil"/>
              <w:left w:val="nil"/>
              <w:bottom w:val="nil"/>
              <w:right w:val="nil"/>
            </w:tcBorders>
            <w:shd w:val="clear" w:color="auto" w:fill="auto"/>
            <w:noWrap/>
            <w:vAlign w:val="center"/>
            <w:hideMark/>
          </w:tcPr>
          <w:p w14:paraId="0D030388"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2012</w:t>
            </w:r>
          </w:p>
        </w:tc>
        <w:tc>
          <w:tcPr>
            <w:tcW w:w="939" w:type="dxa"/>
            <w:tcBorders>
              <w:top w:val="nil"/>
              <w:left w:val="nil"/>
              <w:bottom w:val="nil"/>
              <w:right w:val="nil"/>
            </w:tcBorders>
            <w:shd w:val="clear" w:color="auto" w:fill="auto"/>
            <w:noWrap/>
            <w:vAlign w:val="center"/>
            <w:hideMark/>
          </w:tcPr>
          <w:p w14:paraId="47AB401D"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Candidate</w:t>
            </w:r>
          </w:p>
        </w:tc>
        <w:tc>
          <w:tcPr>
            <w:tcW w:w="1672" w:type="dxa"/>
            <w:tcBorders>
              <w:top w:val="nil"/>
              <w:left w:val="nil"/>
              <w:bottom w:val="nil"/>
              <w:right w:val="nil"/>
            </w:tcBorders>
            <w:shd w:val="clear" w:color="auto" w:fill="auto"/>
            <w:noWrap/>
            <w:vAlign w:val="center"/>
            <w:hideMark/>
          </w:tcPr>
          <w:p w14:paraId="0FC76BDC"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Presidential politics (primaries)</w:t>
            </w:r>
          </w:p>
        </w:tc>
        <w:tc>
          <w:tcPr>
            <w:tcW w:w="934" w:type="dxa"/>
            <w:tcBorders>
              <w:top w:val="nil"/>
              <w:left w:val="nil"/>
              <w:bottom w:val="nil"/>
              <w:right w:val="nil"/>
            </w:tcBorders>
            <w:shd w:val="clear" w:color="auto" w:fill="auto"/>
            <w:noWrap/>
            <w:vAlign w:val="center"/>
            <w:hideMark/>
          </w:tcPr>
          <w:p w14:paraId="708189CC"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Facebook and Twitter</w:t>
            </w:r>
          </w:p>
        </w:tc>
        <w:tc>
          <w:tcPr>
            <w:tcW w:w="2004" w:type="dxa"/>
            <w:tcBorders>
              <w:top w:val="nil"/>
              <w:left w:val="nil"/>
              <w:bottom w:val="nil"/>
              <w:right w:val="nil"/>
            </w:tcBorders>
            <w:shd w:val="clear" w:color="auto" w:fill="auto"/>
            <w:noWrap/>
            <w:vAlign w:val="center"/>
            <w:hideMark/>
          </w:tcPr>
          <w:p w14:paraId="34903DC3"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Symbolic Convergence Theory, credibility, visual rhetoric</w:t>
            </w:r>
          </w:p>
        </w:tc>
        <w:tc>
          <w:tcPr>
            <w:tcW w:w="1342" w:type="dxa"/>
            <w:tcBorders>
              <w:top w:val="nil"/>
              <w:left w:val="nil"/>
              <w:bottom w:val="nil"/>
              <w:right w:val="nil"/>
            </w:tcBorders>
            <w:shd w:val="clear" w:color="auto" w:fill="auto"/>
            <w:noWrap/>
            <w:vAlign w:val="center"/>
            <w:hideMark/>
          </w:tcPr>
          <w:p w14:paraId="1C9E35FD"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1613" w:type="dxa"/>
            <w:tcBorders>
              <w:top w:val="nil"/>
              <w:left w:val="nil"/>
              <w:bottom w:val="nil"/>
              <w:right w:val="nil"/>
            </w:tcBorders>
            <w:shd w:val="clear" w:color="auto" w:fill="auto"/>
            <w:noWrap/>
            <w:vAlign w:val="center"/>
            <w:hideMark/>
          </w:tcPr>
          <w:p w14:paraId="7C89DDB5"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Content analysis</w:t>
            </w:r>
          </w:p>
        </w:tc>
        <w:tc>
          <w:tcPr>
            <w:tcW w:w="1482" w:type="dxa"/>
            <w:tcBorders>
              <w:top w:val="nil"/>
              <w:left w:val="nil"/>
              <w:bottom w:val="nil"/>
              <w:right w:val="nil"/>
            </w:tcBorders>
            <w:shd w:val="clear" w:color="auto" w:fill="auto"/>
            <w:noWrap/>
            <w:vAlign w:val="center"/>
            <w:hideMark/>
          </w:tcPr>
          <w:p w14:paraId="500B6ECD"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Posts and tweets of candidates</w:t>
            </w:r>
          </w:p>
        </w:tc>
        <w:tc>
          <w:tcPr>
            <w:tcW w:w="1009" w:type="dxa"/>
            <w:tcBorders>
              <w:top w:val="nil"/>
              <w:left w:val="nil"/>
              <w:bottom w:val="nil"/>
              <w:right w:val="nil"/>
            </w:tcBorders>
            <w:shd w:val="clear" w:color="auto" w:fill="auto"/>
            <w:noWrap/>
            <w:vAlign w:val="center"/>
            <w:hideMark/>
          </w:tcPr>
          <w:p w14:paraId="61A686A9"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451" w:type="dxa"/>
            <w:tcBorders>
              <w:top w:val="nil"/>
              <w:left w:val="nil"/>
              <w:bottom w:val="nil"/>
              <w:right w:val="nil"/>
            </w:tcBorders>
            <w:shd w:val="clear" w:color="auto" w:fill="auto"/>
            <w:noWrap/>
            <w:vAlign w:val="center"/>
            <w:hideMark/>
          </w:tcPr>
          <w:p w14:paraId="4C88F994"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7470" w:type="dxa"/>
            <w:tcBorders>
              <w:top w:val="nil"/>
              <w:left w:val="nil"/>
              <w:bottom w:val="nil"/>
              <w:right w:val="nil"/>
            </w:tcBorders>
            <w:shd w:val="clear" w:color="auto" w:fill="auto"/>
            <w:vAlign w:val="center"/>
            <w:hideMark/>
          </w:tcPr>
          <w:p w14:paraId="3DDB8A18"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Visuals were more influential. The interpretive framework to assess images was built on the actor (hand, face, clothes, focal point ), setting (locations, distance, props, forms), and plot framework (activity, objects). Each of these elements has an impact on credibility (expertise and trustworthiness). Candidates used visuals differently. Rick Santorum was the most balanced in highlighting both dimensions of credibility.</w:t>
            </w:r>
          </w:p>
        </w:tc>
      </w:tr>
      <w:tr w:rsidR="00996AE0" w:rsidRPr="00996AE0" w14:paraId="59FC37DC" w14:textId="77777777" w:rsidTr="009156CF">
        <w:trPr>
          <w:trHeight w:val="720"/>
        </w:trPr>
        <w:tc>
          <w:tcPr>
            <w:tcW w:w="1497" w:type="dxa"/>
            <w:tcBorders>
              <w:top w:val="nil"/>
              <w:left w:val="nil"/>
              <w:bottom w:val="nil"/>
              <w:right w:val="nil"/>
            </w:tcBorders>
            <w:shd w:val="clear" w:color="auto" w:fill="auto"/>
            <w:noWrap/>
            <w:vAlign w:val="center"/>
            <w:hideMark/>
          </w:tcPr>
          <w:p w14:paraId="7A4F45E4" w14:textId="77777777" w:rsidR="00996AE0" w:rsidRPr="00996AE0" w:rsidRDefault="00996AE0" w:rsidP="009156CF">
            <w:pPr>
              <w:rPr>
                <w:rFonts w:ascii="Times New Roman" w:eastAsia="Times New Roman" w:hAnsi="Times New Roman" w:cs="Times New Roman"/>
                <w:b/>
                <w:bCs/>
                <w:color w:val="000000"/>
                <w:sz w:val="15"/>
                <w:szCs w:val="15"/>
              </w:rPr>
            </w:pPr>
            <w:r w:rsidRPr="00996AE0">
              <w:rPr>
                <w:rFonts w:ascii="Times New Roman" w:eastAsia="Times New Roman" w:hAnsi="Times New Roman" w:cs="Times New Roman"/>
                <w:b/>
                <w:bCs/>
                <w:color w:val="000000" w:themeColor="text1"/>
                <w:sz w:val="15"/>
                <w:szCs w:val="15"/>
                <w:lang w:val="en-US"/>
              </w:rPr>
              <w:t>Parsons &amp; Rowling, 2018</w:t>
            </w:r>
          </w:p>
        </w:tc>
        <w:tc>
          <w:tcPr>
            <w:tcW w:w="948" w:type="dxa"/>
            <w:tcBorders>
              <w:top w:val="nil"/>
              <w:left w:val="nil"/>
              <w:bottom w:val="nil"/>
              <w:right w:val="nil"/>
            </w:tcBorders>
            <w:shd w:val="clear" w:color="auto" w:fill="auto"/>
            <w:noWrap/>
            <w:vAlign w:val="center"/>
            <w:hideMark/>
          </w:tcPr>
          <w:p w14:paraId="4E392720"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2018</w:t>
            </w:r>
          </w:p>
        </w:tc>
        <w:tc>
          <w:tcPr>
            <w:tcW w:w="1939" w:type="dxa"/>
            <w:tcBorders>
              <w:top w:val="nil"/>
              <w:left w:val="nil"/>
              <w:bottom w:val="nil"/>
              <w:right w:val="nil"/>
            </w:tcBorders>
            <w:shd w:val="clear" w:color="auto" w:fill="auto"/>
            <w:noWrap/>
            <w:vAlign w:val="center"/>
            <w:hideMark/>
          </w:tcPr>
          <w:p w14:paraId="019ED4AA"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UK - Wales</w:t>
            </w:r>
          </w:p>
        </w:tc>
        <w:tc>
          <w:tcPr>
            <w:tcW w:w="1180" w:type="dxa"/>
            <w:tcBorders>
              <w:top w:val="nil"/>
              <w:left w:val="nil"/>
              <w:bottom w:val="nil"/>
              <w:right w:val="nil"/>
            </w:tcBorders>
            <w:shd w:val="clear" w:color="auto" w:fill="auto"/>
            <w:noWrap/>
            <w:vAlign w:val="center"/>
            <w:hideMark/>
          </w:tcPr>
          <w:p w14:paraId="45512FA9"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N/A</w:t>
            </w:r>
          </w:p>
        </w:tc>
        <w:tc>
          <w:tcPr>
            <w:tcW w:w="939" w:type="dxa"/>
            <w:tcBorders>
              <w:top w:val="nil"/>
              <w:left w:val="nil"/>
              <w:bottom w:val="nil"/>
              <w:right w:val="nil"/>
            </w:tcBorders>
            <w:shd w:val="clear" w:color="auto" w:fill="auto"/>
            <w:noWrap/>
            <w:vAlign w:val="center"/>
            <w:hideMark/>
          </w:tcPr>
          <w:p w14:paraId="569E3F2F"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Candidate</w:t>
            </w:r>
          </w:p>
        </w:tc>
        <w:tc>
          <w:tcPr>
            <w:tcW w:w="1672" w:type="dxa"/>
            <w:tcBorders>
              <w:top w:val="nil"/>
              <w:left w:val="nil"/>
              <w:bottom w:val="nil"/>
              <w:right w:val="nil"/>
            </w:tcBorders>
            <w:shd w:val="clear" w:color="auto" w:fill="auto"/>
            <w:noWrap/>
            <w:vAlign w:val="center"/>
            <w:hideMark/>
          </w:tcPr>
          <w:p w14:paraId="0FEADCBF"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Local and provincial politics</w:t>
            </w:r>
          </w:p>
        </w:tc>
        <w:tc>
          <w:tcPr>
            <w:tcW w:w="934" w:type="dxa"/>
            <w:tcBorders>
              <w:top w:val="nil"/>
              <w:left w:val="nil"/>
              <w:bottom w:val="nil"/>
              <w:right w:val="nil"/>
            </w:tcBorders>
            <w:shd w:val="clear" w:color="auto" w:fill="auto"/>
            <w:noWrap/>
            <w:vAlign w:val="center"/>
            <w:hideMark/>
          </w:tcPr>
          <w:p w14:paraId="402349BA"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General</w:t>
            </w:r>
          </w:p>
        </w:tc>
        <w:tc>
          <w:tcPr>
            <w:tcW w:w="2004" w:type="dxa"/>
            <w:tcBorders>
              <w:top w:val="nil"/>
              <w:left w:val="nil"/>
              <w:bottom w:val="nil"/>
              <w:right w:val="nil"/>
            </w:tcBorders>
            <w:shd w:val="clear" w:color="auto" w:fill="auto"/>
            <w:noWrap/>
            <w:vAlign w:val="center"/>
            <w:hideMark/>
          </w:tcPr>
          <w:p w14:paraId="24D04335"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Political relationship marketing</w:t>
            </w:r>
          </w:p>
        </w:tc>
        <w:tc>
          <w:tcPr>
            <w:tcW w:w="1342" w:type="dxa"/>
            <w:tcBorders>
              <w:top w:val="nil"/>
              <w:left w:val="nil"/>
              <w:bottom w:val="nil"/>
              <w:right w:val="nil"/>
            </w:tcBorders>
            <w:shd w:val="clear" w:color="auto" w:fill="auto"/>
            <w:noWrap/>
            <w:vAlign w:val="center"/>
            <w:hideMark/>
          </w:tcPr>
          <w:p w14:paraId="64AF0B8A"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1613" w:type="dxa"/>
            <w:tcBorders>
              <w:top w:val="nil"/>
              <w:left w:val="nil"/>
              <w:bottom w:val="nil"/>
              <w:right w:val="nil"/>
            </w:tcBorders>
            <w:shd w:val="clear" w:color="auto" w:fill="auto"/>
            <w:noWrap/>
            <w:vAlign w:val="center"/>
            <w:hideMark/>
          </w:tcPr>
          <w:p w14:paraId="2A5A8B52"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Interviews</w:t>
            </w:r>
          </w:p>
        </w:tc>
        <w:tc>
          <w:tcPr>
            <w:tcW w:w="1482" w:type="dxa"/>
            <w:tcBorders>
              <w:top w:val="nil"/>
              <w:left w:val="nil"/>
              <w:bottom w:val="nil"/>
              <w:right w:val="nil"/>
            </w:tcBorders>
            <w:shd w:val="clear" w:color="auto" w:fill="auto"/>
            <w:noWrap/>
            <w:vAlign w:val="center"/>
            <w:hideMark/>
          </w:tcPr>
          <w:p w14:paraId="6E9F88A0"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Politicians</w:t>
            </w:r>
          </w:p>
        </w:tc>
        <w:tc>
          <w:tcPr>
            <w:tcW w:w="1009" w:type="dxa"/>
            <w:tcBorders>
              <w:top w:val="nil"/>
              <w:left w:val="nil"/>
              <w:bottom w:val="nil"/>
              <w:right w:val="nil"/>
            </w:tcBorders>
            <w:shd w:val="clear" w:color="auto" w:fill="auto"/>
            <w:noWrap/>
            <w:vAlign w:val="center"/>
            <w:hideMark/>
          </w:tcPr>
          <w:p w14:paraId="79495908"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451" w:type="dxa"/>
            <w:tcBorders>
              <w:top w:val="nil"/>
              <w:left w:val="nil"/>
              <w:bottom w:val="nil"/>
              <w:right w:val="nil"/>
            </w:tcBorders>
            <w:shd w:val="clear" w:color="auto" w:fill="auto"/>
            <w:noWrap/>
            <w:vAlign w:val="center"/>
            <w:hideMark/>
          </w:tcPr>
          <w:p w14:paraId="0DE9924D"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7470" w:type="dxa"/>
            <w:tcBorders>
              <w:top w:val="nil"/>
              <w:left w:val="nil"/>
              <w:bottom w:val="nil"/>
              <w:right w:val="nil"/>
            </w:tcBorders>
            <w:shd w:val="clear" w:color="auto" w:fill="auto"/>
            <w:vAlign w:val="center"/>
            <w:hideMark/>
          </w:tcPr>
          <w:p w14:paraId="549E5A54"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Not all politicians agree that social media are an effective engagement tool. Even if they think so, they fear a lack of control which can damage their relationships. There is a lack of symmetrical, horizontal communication. Politicians do not understand a wide range of relationship marketing ethos and have a limited understanding of social media’s ROI.</w:t>
            </w:r>
          </w:p>
        </w:tc>
      </w:tr>
      <w:tr w:rsidR="00996AE0" w:rsidRPr="00996AE0" w14:paraId="1E84900F" w14:textId="77777777" w:rsidTr="009156CF">
        <w:trPr>
          <w:trHeight w:val="1200"/>
        </w:trPr>
        <w:tc>
          <w:tcPr>
            <w:tcW w:w="1497" w:type="dxa"/>
            <w:tcBorders>
              <w:top w:val="nil"/>
              <w:left w:val="nil"/>
              <w:bottom w:val="nil"/>
              <w:right w:val="nil"/>
            </w:tcBorders>
            <w:shd w:val="clear" w:color="auto" w:fill="auto"/>
            <w:noWrap/>
            <w:vAlign w:val="center"/>
            <w:hideMark/>
          </w:tcPr>
          <w:p w14:paraId="3BF7C99D" w14:textId="77777777" w:rsidR="00996AE0" w:rsidRPr="00996AE0" w:rsidRDefault="00996AE0" w:rsidP="009156CF">
            <w:pPr>
              <w:rPr>
                <w:rFonts w:ascii="Times New Roman" w:eastAsia="Times New Roman" w:hAnsi="Times New Roman" w:cs="Times New Roman"/>
                <w:b/>
                <w:bCs/>
                <w:color w:val="000000"/>
                <w:sz w:val="15"/>
                <w:szCs w:val="15"/>
              </w:rPr>
            </w:pPr>
            <w:r w:rsidRPr="00996AE0">
              <w:rPr>
                <w:rFonts w:ascii="Times New Roman" w:eastAsia="Times New Roman" w:hAnsi="Times New Roman" w:cs="Times New Roman"/>
                <w:b/>
                <w:bCs/>
                <w:color w:val="000000" w:themeColor="text1"/>
                <w:sz w:val="15"/>
                <w:szCs w:val="15"/>
                <w:lang w:val="en-US"/>
              </w:rPr>
              <w:t>Paul &amp; Sui, 2019</w:t>
            </w:r>
          </w:p>
        </w:tc>
        <w:tc>
          <w:tcPr>
            <w:tcW w:w="948" w:type="dxa"/>
            <w:tcBorders>
              <w:top w:val="nil"/>
              <w:left w:val="nil"/>
              <w:bottom w:val="nil"/>
              <w:right w:val="nil"/>
            </w:tcBorders>
            <w:shd w:val="clear" w:color="auto" w:fill="auto"/>
            <w:noWrap/>
            <w:vAlign w:val="center"/>
            <w:hideMark/>
          </w:tcPr>
          <w:p w14:paraId="2BFE6BF2"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2019</w:t>
            </w:r>
          </w:p>
        </w:tc>
        <w:tc>
          <w:tcPr>
            <w:tcW w:w="1939" w:type="dxa"/>
            <w:tcBorders>
              <w:top w:val="nil"/>
              <w:left w:val="nil"/>
              <w:bottom w:val="nil"/>
              <w:right w:val="nil"/>
            </w:tcBorders>
            <w:shd w:val="clear" w:color="auto" w:fill="auto"/>
            <w:noWrap/>
            <w:vAlign w:val="center"/>
            <w:hideMark/>
          </w:tcPr>
          <w:p w14:paraId="5A7FE992"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USA</w:t>
            </w:r>
          </w:p>
        </w:tc>
        <w:tc>
          <w:tcPr>
            <w:tcW w:w="1180" w:type="dxa"/>
            <w:tcBorders>
              <w:top w:val="nil"/>
              <w:left w:val="nil"/>
              <w:bottom w:val="nil"/>
              <w:right w:val="nil"/>
            </w:tcBorders>
            <w:shd w:val="clear" w:color="auto" w:fill="auto"/>
            <w:noWrap/>
            <w:vAlign w:val="center"/>
            <w:hideMark/>
          </w:tcPr>
          <w:p w14:paraId="78306AE4"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2016</w:t>
            </w:r>
          </w:p>
        </w:tc>
        <w:tc>
          <w:tcPr>
            <w:tcW w:w="939" w:type="dxa"/>
            <w:tcBorders>
              <w:top w:val="nil"/>
              <w:left w:val="nil"/>
              <w:bottom w:val="nil"/>
              <w:right w:val="nil"/>
            </w:tcBorders>
            <w:shd w:val="clear" w:color="auto" w:fill="auto"/>
            <w:noWrap/>
            <w:vAlign w:val="center"/>
            <w:hideMark/>
          </w:tcPr>
          <w:p w14:paraId="74819965"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Candidate</w:t>
            </w:r>
          </w:p>
        </w:tc>
        <w:tc>
          <w:tcPr>
            <w:tcW w:w="1672" w:type="dxa"/>
            <w:tcBorders>
              <w:top w:val="nil"/>
              <w:left w:val="nil"/>
              <w:bottom w:val="nil"/>
              <w:right w:val="nil"/>
            </w:tcBorders>
            <w:shd w:val="clear" w:color="auto" w:fill="auto"/>
            <w:noWrap/>
            <w:vAlign w:val="center"/>
            <w:hideMark/>
          </w:tcPr>
          <w:p w14:paraId="2AE6BF8A"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US Congress (Senate, Congress)</w:t>
            </w:r>
          </w:p>
        </w:tc>
        <w:tc>
          <w:tcPr>
            <w:tcW w:w="934" w:type="dxa"/>
            <w:tcBorders>
              <w:top w:val="nil"/>
              <w:left w:val="nil"/>
              <w:bottom w:val="nil"/>
              <w:right w:val="nil"/>
            </w:tcBorders>
            <w:shd w:val="clear" w:color="auto" w:fill="auto"/>
            <w:noWrap/>
            <w:vAlign w:val="center"/>
            <w:hideMark/>
          </w:tcPr>
          <w:p w14:paraId="714ED0BF"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Twitter</w:t>
            </w:r>
          </w:p>
        </w:tc>
        <w:tc>
          <w:tcPr>
            <w:tcW w:w="2004" w:type="dxa"/>
            <w:tcBorders>
              <w:top w:val="nil"/>
              <w:left w:val="nil"/>
              <w:bottom w:val="nil"/>
              <w:right w:val="nil"/>
            </w:tcBorders>
            <w:shd w:val="clear" w:color="auto" w:fill="auto"/>
            <w:noWrap/>
            <w:vAlign w:val="center"/>
            <w:hideMark/>
          </w:tcPr>
          <w:p w14:paraId="77AB1164"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Emotion in politics</w:t>
            </w:r>
          </w:p>
        </w:tc>
        <w:tc>
          <w:tcPr>
            <w:tcW w:w="1342" w:type="dxa"/>
            <w:tcBorders>
              <w:top w:val="nil"/>
              <w:left w:val="nil"/>
              <w:bottom w:val="nil"/>
              <w:right w:val="nil"/>
            </w:tcBorders>
            <w:shd w:val="clear" w:color="auto" w:fill="auto"/>
            <w:noWrap/>
            <w:vAlign w:val="center"/>
            <w:hideMark/>
          </w:tcPr>
          <w:p w14:paraId="78C719A4"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1613" w:type="dxa"/>
            <w:tcBorders>
              <w:top w:val="nil"/>
              <w:left w:val="nil"/>
              <w:bottom w:val="nil"/>
              <w:right w:val="nil"/>
            </w:tcBorders>
            <w:shd w:val="clear" w:color="auto" w:fill="auto"/>
            <w:noWrap/>
            <w:vAlign w:val="center"/>
            <w:hideMark/>
          </w:tcPr>
          <w:p w14:paraId="092FB393"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Content analysis (sentiment analysis)</w:t>
            </w:r>
          </w:p>
        </w:tc>
        <w:tc>
          <w:tcPr>
            <w:tcW w:w="1482" w:type="dxa"/>
            <w:tcBorders>
              <w:top w:val="nil"/>
              <w:left w:val="nil"/>
              <w:bottom w:val="nil"/>
              <w:right w:val="nil"/>
            </w:tcBorders>
            <w:shd w:val="clear" w:color="auto" w:fill="auto"/>
            <w:noWrap/>
            <w:vAlign w:val="center"/>
            <w:hideMark/>
          </w:tcPr>
          <w:p w14:paraId="0608BFC9"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Twitter accounts of winning candidates and user comments</w:t>
            </w:r>
          </w:p>
        </w:tc>
        <w:tc>
          <w:tcPr>
            <w:tcW w:w="1009" w:type="dxa"/>
            <w:tcBorders>
              <w:top w:val="nil"/>
              <w:left w:val="nil"/>
              <w:bottom w:val="nil"/>
              <w:right w:val="nil"/>
            </w:tcBorders>
            <w:shd w:val="clear" w:color="auto" w:fill="auto"/>
            <w:noWrap/>
            <w:vAlign w:val="center"/>
            <w:hideMark/>
          </w:tcPr>
          <w:p w14:paraId="18B22A09"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451" w:type="dxa"/>
            <w:tcBorders>
              <w:top w:val="nil"/>
              <w:left w:val="nil"/>
              <w:bottom w:val="nil"/>
              <w:right w:val="nil"/>
            </w:tcBorders>
            <w:shd w:val="clear" w:color="auto" w:fill="auto"/>
            <w:noWrap/>
            <w:vAlign w:val="center"/>
            <w:hideMark/>
          </w:tcPr>
          <w:p w14:paraId="06034E99"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7470" w:type="dxa"/>
            <w:tcBorders>
              <w:top w:val="nil"/>
              <w:left w:val="nil"/>
              <w:bottom w:val="nil"/>
              <w:right w:val="nil"/>
            </w:tcBorders>
            <w:shd w:val="clear" w:color="auto" w:fill="auto"/>
            <w:vAlign w:val="center"/>
            <w:hideMark/>
          </w:tcPr>
          <w:p w14:paraId="47EB0751"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Neutral and joy appeals were most frequent in candidates’ use of Twitter. The same is true for the responses of the public. The results show that the public responds with the same emotion as the one contained in the candidate’s tweet. This is particularly true for anger and disgust. Congresswomen received more joy and disgust comments compared to Congressmen. Republican candidates elicited more disgust and anger comments, and fewer joy comments compared with Democrats. Candidates try to cultivate a positive image on social media, avoiding negative appeals.</w:t>
            </w:r>
          </w:p>
        </w:tc>
      </w:tr>
      <w:tr w:rsidR="00996AE0" w:rsidRPr="00996AE0" w14:paraId="11FAD7F7" w14:textId="77777777" w:rsidTr="009156CF">
        <w:trPr>
          <w:trHeight w:val="960"/>
        </w:trPr>
        <w:tc>
          <w:tcPr>
            <w:tcW w:w="1497" w:type="dxa"/>
            <w:tcBorders>
              <w:top w:val="nil"/>
              <w:left w:val="nil"/>
              <w:bottom w:val="nil"/>
              <w:right w:val="nil"/>
            </w:tcBorders>
            <w:shd w:val="clear" w:color="auto" w:fill="auto"/>
            <w:noWrap/>
            <w:vAlign w:val="center"/>
            <w:hideMark/>
          </w:tcPr>
          <w:p w14:paraId="5E975CEC" w14:textId="77777777" w:rsidR="00996AE0" w:rsidRPr="00996AE0" w:rsidRDefault="00996AE0" w:rsidP="009156CF">
            <w:pPr>
              <w:rPr>
                <w:rFonts w:ascii="Times New Roman" w:eastAsia="Times New Roman" w:hAnsi="Times New Roman" w:cs="Times New Roman"/>
                <w:b/>
                <w:bCs/>
                <w:color w:val="000000"/>
                <w:sz w:val="15"/>
                <w:szCs w:val="15"/>
              </w:rPr>
            </w:pPr>
            <w:r w:rsidRPr="00996AE0">
              <w:rPr>
                <w:rFonts w:ascii="Times New Roman" w:eastAsia="Times New Roman" w:hAnsi="Times New Roman" w:cs="Times New Roman"/>
                <w:b/>
                <w:bCs/>
                <w:color w:val="000000" w:themeColor="text1"/>
                <w:sz w:val="15"/>
                <w:szCs w:val="15"/>
                <w:lang w:val="en-US"/>
              </w:rPr>
              <w:t>Penney, 2016</w:t>
            </w:r>
          </w:p>
        </w:tc>
        <w:tc>
          <w:tcPr>
            <w:tcW w:w="948" w:type="dxa"/>
            <w:tcBorders>
              <w:top w:val="nil"/>
              <w:left w:val="nil"/>
              <w:bottom w:val="nil"/>
              <w:right w:val="nil"/>
            </w:tcBorders>
            <w:shd w:val="clear" w:color="auto" w:fill="auto"/>
            <w:noWrap/>
            <w:vAlign w:val="center"/>
            <w:hideMark/>
          </w:tcPr>
          <w:p w14:paraId="6FD4C2E4"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2016</w:t>
            </w:r>
          </w:p>
        </w:tc>
        <w:tc>
          <w:tcPr>
            <w:tcW w:w="1939" w:type="dxa"/>
            <w:tcBorders>
              <w:top w:val="nil"/>
              <w:left w:val="nil"/>
              <w:bottom w:val="nil"/>
              <w:right w:val="nil"/>
            </w:tcBorders>
            <w:shd w:val="clear" w:color="auto" w:fill="auto"/>
            <w:noWrap/>
            <w:vAlign w:val="center"/>
            <w:hideMark/>
          </w:tcPr>
          <w:p w14:paraId="50459A04"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USA</w:t>
            </w:r>
          </w:p>
        </w:tc>
        <w:tc>
          <w:tcPr>
            <w:tcW w:w="1180" w:type="dxa"/>
            <w:tcBorders>
              <w:top w:val="nil"/>
              <w:left w:val="nil"/>
              <w:bottom w:val="nil"/>
              <w:right w:val="nil"/>
            </w:tcBorders>
            <w:shd w:val="clear" w:color="auto" w:fill="auto"/>
            <w:noWrap/>
            <w:vAlign w:val="center"/>
            <w:hideMark/>
          </w:tcPr>
          <w:p w14:paraId="19326897"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2012</w:t>
            </w:r>
          </w:p>
        </w:tc>
        <w:tc>
          <w:tcPr>
            <w:tcW w:w="939" w:type="dxa"/>
            <w:tcBorders>
              <w:top w:val="nil"/>
              <w:left w:val="nil"/>
              <w:bottom w:val="nil"/>
              <w:right w:val="nil"/>
            </w:tcBorders>
            <w:shd w:val="clear" w:color="auto" w:fill="auto"/>
            <w:noWrap/>
            <w:vAlign w:val="center"/>
            <w:hideMark/>
          </w:tcPr>
          <w:p w14:paraId="3DE33A3A"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Candidate</w:t>
            </w:r>
          </w:p>
        </w:tc>
        <w:tc>
          <w:tcPr>
            <w:tcW w:w="1672" w:type="dxa"/>
            <w:tcBorders>
              <w:top w:val="nil"/>
              <w:left w:val="nil"/>
              <w:bottom w:val="nil"/>
              <w:right w:val="nil"/>
            </w:tcBorders>
            <w:shd w:val="clear" w:color="auto" w:fill="auto"/>
            <w:noWrap/>
            <w:vAlign w:val="center"/>
            <w:hideMark/>
          </w:tcPr>
          <w:p w14:paraId="513DA6F3"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Presidential politics</w:t>
            </w:r>
          </w:p>
        </w:tc>
        <w:tc>
          <w:tcPr>
            <w:tcW w:w="934" w:type="dxa"/>
            <w:tcBorders>
              <w:top w:val="nil"/>
              <w:left w:val="nil"/>
              <w:bottom w:val="nil"/>
              <w:right w:val="nil"/>
            </w:tcBorders>
            <w:shd w:val="clear" w:color="auto" w:fill="auto"/>
            <w:noWrap/>
            <w:vAlign w:val="center"/>
            <w:hideMark/>
          </w:tcPr>
          <w:p w14:paraId="453A96FD"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Twitter</w:t>
            </w:r>
          </w:p>
        </w:tc>
        <w:tc>
          <w:tcPr>
            <w:tcW w:w="2004" w:type="dxa"/>
            <w:tcBorders>
              <w:top w:val="nil"/>
              <w:left w:val="nil"/>
              <w:bottom w:val="nil"/>
              <w:right w:val="nil"/>
            </w:tcBorders>
            <w:shd w:val="clear" w:color="auto" w:fill="auto"/>
            <w:noWrap/>
            <w:vAlign w:val="center"/>
            <w:hideMark/>
          </w:tcPr>
          <w:p w14:paraId="73BF3229"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Deliberative democracy, civic engagement, virality</w:t>
            </w:r>
          </w:p>
        </w:tc>
        <w:tc>
          <w:tcPr>
            <w:tcW w:w="1342" w:type="dxa"/>
            <w:tcBorders>
              <w:top w:val="nil"/>
              <w:left w:val="nil"/>
              <w:bottom w:val="nil"/>
              <w:right w:val="nil"/>
            </w:tcBorders>
            <w:shd w:val="clear" w:color="auto" w:fill="auto"/>
            <w:noWrap/>
            <w:vAlign w:val="center"/>
            <w:hideMark/>
          </w:tcPr>
          <w:p w14:paraId="08F44F53"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1613" w:type="dxa"/>
            <w:tcBorders>
              <w:top w:val="nil"/>
              <w:left w:val="nil"/>
              <w:bottom w:val="nil"/>
              <w:right w:val="nil"/>
            </w:tcBorders>
            <w:shd w:val="clear" w:color="auto" w:fill="auto"/>
            <w:noWrap/>
            <w:vAlign w:val="center"/>
            <w:hideMark/>
          </w:tcPr>
          <w:p w14:paraId="1F93E385"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Interviews</w:t>
            </w:r>
          </w:p>
        </w:tc>
        <w:tc>
          <w:tcPr>
            <w:tcW w:w="1482" w:type="dxa"/>
            <w:tcBorders>
              <w:top w:val="nil"/>
              <w:left w:val="nil"/>
              <w:bottom w:val="nil"/>
              <w:right w:val="nil"/>
            </w:tcBorders>
            <w:shd w:val="clear" w:color="auto" w:fill="auto"/>
            <w:noWrap/>
            <w:vAlign w:val="center"/>
            <w:hideMark/>
          </w:tcPr>
          <w:p w14:paraId="078C19EB"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Sharers of political content</w:t>
            </w:r>
          </w:p>
        </w:tc>
        <w:tc>
          <w:tcPr>
            <w:tcW w:w="1009" w:type="dxa"/>
            <w:tcBorders>
              <w:top w:val="nil"/>
              <w:left w:val="nil"/>
              <w:bottom w:val="nil"/>
              <w:right w:val="nil"/>
            </w:tcBorders>
            <w:shd w:val="clear" w:color="auto" w:fill="auto"/>
            <w:noWrap/>
            <w:vAlign w:val="center"/>
            <w:hideMark/>
          </w:tcPr>
          <w:p w14:paraId="24CB137B"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451" w:type="dxa"/>
            <w:tcBorders>
              <w:top w:val="nil"/>
              <w:left w:val="nil"/>
              <w:bottom w:val="nil"/>
              <w:right w:val="nil"/>
            </w:tcBorders>
            <w:shd w:val="clear" w:color="auto" w:fill="auto"/>
            <w:noWrap/>
            <w:vAlign w:val="center"/>
            <w:hideMark/>
          </w:tcPr>
          <w:p w14:paraId="1DB7179F"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7470" w:type="dxa"/>
            <w:tcBorders>
              <w:top w:val="nil"/>
              <w:left w:val="nil"/>
              <w:bottom w:val="nil"/>
              <w:right w:val="nil"/>
            </w:tcBorders>
            <w:shd w:val="clear" w:color="auto" w:fill="auto"/>
            <w:vAlign w:val="center"/>
            <w:hideMark/>
          </w:tcPr>
          <w:p w14:paraId="1412029C"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The study focused on users who had shared a particular Mitt Romney video. Respondents who understood the importance of marketing and volunteerism acted as unabashed promoters and persuaders for political parties. Some of the interviewed participants saw their sharing not as an attempt to persuade but to further the discourse by adding information or stimulating dialogue.</w:t>
            </w:r>
          </w:p>
        </w:tc>
      </w:tr>
      <w:tr w:rsidR="00996AE0" w:rsidRPr="00996AE0" w14:paraId="2310E62A" w14:textId="77777777" w:rsidTr="009156CF">
        <w:trPr>
          <w:trHeight w:val="1440"/>
        </w:trPr>
        <w:tc>
          <w:tcPr>
            <w:tcW w:w="1497" w:type="dxa"/>
            <w:tcBorders>
              <w:top w:val="nil"/>
              <w:left w:val="nil"/>
              <w:bottom w:val="nil"/>
              <w:right w:val="nil"/>
            </w:tcBorders>
            <w:shd w:val="clear" w:color="auto" w:fill="auto"/>
            <w:noWrap/>
            <w:vAlign w:val="center"/>
            <w:hideMark/>
          </w:tcPr>
          <w:p w14:paraId="5F3BE889" w14:textId="77777777" w:rsidR="00996AE0" w:rsidRPr="00996AE0" w:rsidRDefault="00996AE0" w:rsidP="009156CF">
            <w:pPr>
              <w:rPr>
                <w:rFonts w:ascii="Times New Roman" w:eastAsia="Times New Roman" w:hAnsi="Times New Roman" w:cs="Times New Roman"/>
                <w:b/>
                <w:bCs/>
                <w:color w:val="000000"/>
                <w:sz w:val="15"/>
                <w:szCs w:val="15"/>
              </w:rPr>
            </w:pPr>
            <w:r w:rsidRPr="00996AE0">
              <w:rPr>
                <w:rFonts w:ascii="Times New Roman" w:eastAsia="Times New Roman" w:hAnsi="Times New Roman" w:cs="Times New Roman"/>
                <w:b/>
                <w:bCs/>
                <w:color w:val="000000" w:themeColor="text1"/>
                <w:sz w:val="15"/>
                <w:szCs w:val="15"/>
                <w:lang w:val="en-US"/>
              </w:rPr>
              <w:t>Penney, 2017</w:t>
            </w:r>
          </w:p>
        </w:tc>
        <w:tc>
          <w:tcPr>
            <w:tcW w:w="948" w:type="dxa"/>
            <w:tcBorders>
              <w:top w:val="nil"/>
              <w:left w:val="nil"/>
              <w:bottom w:val="nil"/>
              <w:right w:val="nil"/>
            </w:tcBorders>
            <w:shd w:val="clear" w:color="auto" w:fill="auto"/>
            <w:noWrap/>
            <w:vAlign w:val="center"/>
            <w:hideMark/>
          </w:tcPr>
          <w:p w14:paraId="1854A664"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2017</w:t>
            </w:r>
          </w:p>
        </w:tc>
        <w:tc>
          <w:tcPr>
            <w:tcW w:w="1939" w:type="dxa"/>
            <w:tcBorders>
              <w:top w:val="nil"/>
              <w:left w:val="nil"/>
              <w:bottom w:val="nil"/>
              <w:right w:val="nil"/>
            </w:tcBorders>
            <w:shd w:val="clear" w:color="auto" w:fill="auto"/>
            <w:noWrap/>
            <w:vAlign w:val="center"/>
            <w:hideMark/>
          </w:tcPr>
          <w:p w14:paraId="027FFCE9"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USA</w:t>
            </w:r>
          </w:p>
        </w:tc>
        <w:tc>
          <w:tcPr>
            <w:tcW w:w="1180" w:type="dxa"/>
            <w:tcBorders>
              <w:top w:val="nil"/>
              <w:left w:val="nil"/>
              <w:bottom w:val="nil"/>
              <w:right w:val="nil"/>
            </w:tcBorders>
            <w:shd w:val="clear" w:color="auto" w:fill="auto"/>
            <w:noWrap/>
            <w:vAlign w:val="center"/>
            <w:hideMark/>
          </w:tcPr>
          <w:p w14:paraId="03161B10"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2016</w:t>
            </w:r>
          </w:p>
        </w:tc>
        <w:tc>
          <w:tcPr>
            <w:tcW w:w="939" w:type="dxa"/>
            <w:tcBorders>
              <w:top w:val="nil"/>
              <w:left w:val="nil"/>
              <w:bottom w:val="nil"/>
              <w:right w:val="nil"/>
            </w:tcBorders>
            <w:shd w:val="clear" w:color="auto" w:fill="auto"/>
            <w:noWrap/>
            <w:vAlign w:val="center"/>
            <w:hideMark/>
          </w:tcPr>
          <w:p w14:paraId="0218F2EF"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Candidate</w:t>
            </w:r>
          </w:p>
        </w:tc>
        <w:tc>
          <w:tcPr>
            <w:tcW w:w="1672" w:type="dxa"/>
            <w:tcBorders>
              <w:top w:val="nil"/>
              <w:left w:val="nil"/>
              <w:bottom w:val="nil"/>
              <w:right w:val="nil"/>
            </w:tcBorders>
            <w:shd w:val="clear" w:color="auto" w:fill="auto"/>
            <w:noWrap/>
            <w:vAlign w:val="center"/>
            <w:hideMark/>
          </w:tcPr>
          <w:p w14:paraId="122C7531"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Presidential politics (primaries)</w:t>
            </w:r>
          </w:p>
        </w:tc>
        <w:tc>
          <w:tcPr>
            <w:tcW w:w="934" w:type="dxa"/>
            <w:tcBorders>
              <w:top w:val="nil"/>
              <w:left w:val="nil"/>
              <w:bottom w:val="nil"/>
              <w:right w:val="nil"/>
            </w:tcBorders>
            <w:shd w:val="clear" w:color="auto" w:fill="auto"/>
            <w:noWrap/>
            <w:vAlign w:val="center"/>
            <w:hideMark/>
          </w:tcPr>
          <w:p w14:paraId="4E9897C2"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General</w:t>
            </w:r>
          </w:p>
        </w:tc>
        <w:tc>
          <w:tcPr>
            <w:tcW w:w="2004" w:type="dxa"/>
            <w:tcBorders>
              <w:top w:val="nil"/>
              <w:left w:val="nil"/>
              <w:bottom w:val="nil"/>
              <w:right w:val="nil"/>
            </w:tcBorders>
            <w:shd w:val="clear" w:color="auto" w:fill="auto"/>
            <w:noWrap/>
            <w:vAlign w:val="center"/>
            <w:hideMark/>
          </w:tcPr>
          <w:p w14:paraId="4F02BEA4"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Two-Step Flow of Information Theory, connective and collective actions</w:t>
            </w:r>
          </w:p>
        </w:tc>
        <w:tc>
          <w:tcPr>
            <w:tcW w:w="1342" w:type="dxa"/>
            <w:tcBorders>
              <w:top w:val="nil"/>
              <w:left w:val="nil"/>
              <w:bottom w:val="nil"/>
              <w:right w:val="nil"/>
            </w:tcBorders>
            <w:shd w:val="clear" w:color="auto" w:fill="auto"/>
            <w:noWrap/>
            <w:vAlign w:val="center"/>
            <w:hideMark/>
          </w:tcPr>
          <w:p w14:paraId="3758870D"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1613" w:type="dxa"/>
            <w:tcBorders>
              <w:top w:val="nil"/>
              <w:left w:val="nil"/>
              <w:bottom w:val="nil"/>
              <w:right w:val="nil"/>
            </w:tcBorders>
            <w:shd w:val="clear" w:color="auto" w:fill="auto"/>
            <w:noWrap/>
            <w:vAlign w:val="center"/>
            <w:hideMark/>
          </w:tcPr>
          <w:p w14:paraId="5A41BFA9"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Interviews</w:t>
            </w:r>
          </w:p>
        </w:tc>
        <w:tc>
          <w:tcPr>
            <w:tcW w:w="1482" w:type="dxa"/>
            <w:tcBorders>
              <w:top w:val="nil"/>
              <w:left w:val="nil"/>
              <w:bottom w:val="nil"/>
              <w:right w:val="nil"/>
            </w:tcBorders>
            <w:shd w:val="clear" w:color="auto" w:fill="auto"/>
            <w:noWrap/>
            <w:vAlign w:val="center"/>
            <w:hideMark/>
          </w:tcPr>
          <w:p w14:paraId="27628A3E"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Leaders of official and unofficial campaigns</w:t>
            </w:r>
          </w:p>
        </w:tc>
        <w:tc>
          <w:tcPr>
            <w:tcW w:w="1009" w:type="dxa"/>
            <w:tcBorders>
              <w:top w:val="nil"/>
              <w:left w:val="nil"/>
              <w:bottom w:val="nil"/>
              <w:right w:val="nil"/>
            </w:tcBorders>
            <w:shd w:val="clear" w:color="auto" w:fill="auto"/>
            <w:noWrap/>
            <w:vAlign w:val="center"/>
            <w:hideMark/>
          </w:tcPr>
          <w:p w14:paraId="0A5E29D2"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451" w:type="dxa"/>
            <w:tcBorders>
              <w:top w:val="nil"/>
              <w:left w:val="nil"/>
              <w:bottom w:val="nil"/>
              <w:right w:val="nil"/>
            </w:tcBorders>
            <w:shd w:val="clear" w:color="auto" w:fill="auto"/>
            <w:noWrap/>
            <w:vAlign w:val="center"/>
            <w:hideMark/>
          </w:tcPr>
          <w:p w14:paraId="597700BB"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7470" w:type="dxa"/>
            <w:tcBorders>
              <w:top w:val="nil"/>
              <w:left w:val="nil"/>
              <w:bottom w:val="nil"/>
              <w:right w:val="nil"/>
            </w:tcBorders>
            <w:shd w:val="clear" w:color="auto" w:fill="auto"/>
            <w:vAlign w:val="center"/>
            <w:hideMark/>
          </w:tcPr>
          <w:p w14:paraId="4563DC8D"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The effort to promote Bernie Sander’s candidacy was a hybrid of top-down online campaigning and a digitally-enabled grassroots movement. The official digital campaign reflected centralized collective action. The unofficial campaign (run by Occupy Wallstreet veterans) followed a model of organization-enabled connective action, where supporters acted as amplifiers of messages or grassroots intermediaries. Their main role was to make content go viral. Crowd-sourced community pages, independent of campaign influence, reflected a model of self-organized connective action. The role of citizen marketers is becoming increasingly important on social media.</w:t>
            </w:r>
          </w:p>
        </w:tc>
      </w:tr>
      <w:tr w:rsidR="00996AE0" w:rsidRPr="00996AE0" w14:paraId="72E12F3C" w14:textId="77777777" w:rsidTr="009156CF">
        <w:trPr>
          <w:trHeight w:val="1200"/>
        </w:trPr>
        <w:tc>
          <w:tcPr>
            <w:tcW w:w="1497" w:type="dxa"/>
            <w:tcBorders>
              <w:top w:val="nil"/>
              <w:left w:val="nil"/>
              <w:bottom w:val="nil"/>
              <w:right w:val="nil"/>
            </w:tcBorders>
            <w:shd w:val="clear" w:color="auto" w:fill="auto"/>
            <w:noWrap/>
            <w:vAlign w:val="center"/>
            <w:hideMark/>
          </w:tcPr>
          <w:p w14:paraId="5A5AA409" w14:textId="77777777" w:rsidR="00996AE0" w:rsidRPr="00996AE0" w:rsidRDefault="00996AE0" w:rsidP="009156CF">
            <w:pPr>
              <w:rPr>
                <w:rFonts w:ascii="Times New Roman" w:eastAsia="Times New Roman" w:hAnsi="Times New Roman" w:cs="Times New Roman"/>
                <w:b/>
                <w:bCs/>
                <w:color w:val="000000"/>
                <w:sz w:val="15"/>
                <w:szCs w:val="15"/>
              </w:rPr>
            </w:pPr>
            <w:r w:rsidRPr="00996AE0">
              <w:rPr>
                <w:rFonts w:ascii="Times New Roman" w:eastAsia="Times New Roman" w:hAnsi="Times New Roman" w:cs="Times New Roman"/>
                <w:b/>
                <w:bCs/>
                <w:color w:val="000000" w:themeColor="text1"/>
                <w:sz w:val="15"/>
                <w:szCs w:val="15"/>
                <w:lang w:val="en-US"/>
              </w:rPr>
              <w:t>Peres et al., 2020</w:t>
            </w:r>
          </w:p>
        </w:tc>
        <w:tc>
          <w:tcPr>
            <w:tcW w:w="948" w:type="dxa"/>
            <w:tcBorders>
              <w:top w:val="nil"/>
              <w:left w:val="nil"/>
              <w:bottom w:val="nil"/>
              <w:right w:val="nil"/>
            </w:tcBorders>
            <w:shd w:val="clear" w:color="auto" w:fill="auto"/>
            <w:noWrap/>
            <w:vAlign w:val="center"/>
            <w:hideMark/>
          </w:tcPr>
          <w:p w14:paraId="6253D1BF"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2020</w:t>
            </w:r>
          </w:p>
        </w:tc>
        <w:tc>
          <w:tcPr>
            <w:tcW w:w="1939" w:type="dxa"/>
            <w:tcBorders>
              <w:top w:val="nil"/>
              <w:left w:val="nil"/>
              <w:bottom w:val="nil"/>
              <w:right w:val="nil"/>
            </w:tcBorders>
            <w:shd w:val="clear" w:color="auto" w:fill="auto"/>
            <w:noWrap/>
            <w:vAlign w:val="center"/>
            <w:hideMark/>
          </w:tcPr>
          <w:p w14:paraId="44A27C7B"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International leaders</w:t>
            </w:r>
          </w:p>
        </w:tc>
        <w:tc>
          <w:tcPr>
            <w:tcW w:w="1180" w:type="dxa"/>
            <w:tcBorders>
              <w:top w:val="nil"/>
              <w:left w:val="nil"/>
              <w:bottom w:val="nil"/>
              <w:right w:val="nil"/>
            </w:tcBorders>
            <w:shd w:val="clear" w:color="auto" w:fill="auto"/>
            <w:noWrap/>
            <w:vAlign w:val="center"/>
            <w:hideMark/>
          </w:tcPr>
          <w:p w14:paraId="288E4A56"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N/A</w:t>
            </w:r>
          </w:p>
        </w:tc>
        <w:tc>
          <w:tcPr>
            <w:tcW w:w="939" w:type="dxa"/>
            <w:tcBorders>
              <w:top w:val="nil"/>
              <w:left w:val="nil"/>
              <w:bottom w:val="nil"/>
              <w:right w:val="nil"/>
            </w:tcBorders>
            <w:shd w:val="clear" w:color="auto" w:fill="auto"/>
            <w:noWrap/>
            <w:vAlign w:val="center"/>
            <w:hideMark/>
          </w:tcPr>
          <w:p w14:paraId="75C67BF0"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Candidate</w:t>
            </w:r>
          </w:p>
        </w:tc>
        <w:tc>
          <w:tcPr>
            <w:tcW w:w="1672" w:type="dxa"/>
            <w:tcBorders>
              <w:top w:val="nil"/>
              <w:left w:val="nil"/>
              <w:bottom w:val="nil"/>
              <w:right w:val="nil"/>
            </w:tcBorders>
            <w:shd w:val="clear" w:color="auto" w:fill="auto"/>
            <w:noWrap/>
            <w:vAlign w:val="center"/>
            <w:hideMark/>
          </w:tcPr>
          <w:p w14:paraId="5A8D96F4"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World leaders</w:t>
            </w:r>
          </w:p>
        </w:tc>
        <w:tc>
          <w:tcPr>
            <w:tcW w:w="934" w:type="dxa"/>
            <w:tcBorders>
              <w:top w:val="nil"/>
              <w:left w:val="nil"/>
              <w:bottom w:val="nil"/>
              <w:right w:val="nil"/>
            </w:tcBorders>
            <w:shd w:val="clear" w:color="auto" w:fill="auto"/>
            <w:noWrap/>
            <w:vAlign w:val="center"/>
            <w:hideMark/>
          </w:tcPr>
          <w:p w14:paraId="04E4F6B8"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Twitter</w:t>
            </w:r>
          </w:p>
        </w:tc>
        <w:tc>
          <w:tcPr>
            <w:tcW w:w="2004" w:type="dxa"/>
            <w:tcBorders>
              <w:top w:val="nil"/>
              <w:left w:val="nil"/>
              <w:bottom w:val="nil"/>
              <w:right w:val="nil"/>
            </w:tcBorders>
            <w:shd w:val="clear" w:color="auto" w:fill="auto"/>
            <w:noWrap/>
            <w:vAlign w:val="center"/>
            <w:hideMark/>
          </w:tcPr>
          <w:p w14:paraId="5ED9AFC8"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Politician brand, communication styles, particularism Versus universalism, compatibility of media outlets</w:t>
            </w:r>
          </w:p>
        </w:tc>
        <w:tc>
          <w:tcPr>
            <w:tcW w:w="1342" w:type="dxa"/>
            <w:tcBorders>
              <w:top w:val="nil"/>
              <w:left w:val="nil"/>
              <w:bottom w:val="nil"/>
              <w:right w:val="nil"/>
            </w:tcBorders>
            <w:shd w:val="clear" w:color="auto" w:fill="auto"/>
            <w:noWrap/>
            <w:vAlign w:val="center"/>
            <w:hideMark/>
          </w:tcPr>
          <w:p w14:paraId="60397BAC"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1613" w:type="dxa"/>
            <w:tcBorders>
              <w:top w:val="nil"/>
              <w:left w:val="nil"/>
              <w:bottom w:val="nil"/>
              <w:right w:val="nil"/>
            </w:tcBorders>
            <w:shd w:val="clear" w:color="auto" w:fill="auto"/>
            <w:noWrap/>
            <w:vAlign w:val="center"/>
            <w:hideMark/>
          </w:tcPr>
          <w:p w14:paraId="184A6488"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Content analysis and sentiment analysis</w:t>
            </w:r>
          </w:p>
        </w:tc>
        <w:tc>
          <w:tcPr>
            <w:tcW w:w="1482" w:type="dxa"/>
            <w:tcBorders>
              <w:top w:val="nil"/>
              <w:left w:val="nil"/>
              <w:bottom w:val="nil"/>
              <w:right w:val="nil"/>
            </w:tcBorders>
            <w:shd w:val="clear" w:color="auto" w:fill="auto"/>
            <w:noWrap/>
            <w:vAlign w:val="center"/>
            <w:hideMark/>
          </w:tcPr>
          <w:p w14:paraId="78FF7039"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Tweets and press articles</w:t>
            </w:r>
          </w:p>
        </w:tc>
        <w:tc>
          <w:tcPr>
            <w:tcW w:w="1009" w:type="dxa"/>
            <w:tcBorders>
              <w:top w:val="nil"/>
              <w:left w:val="nil"/>
              <w:bottom w:val="nil"/>
              <w:right w:val="nil"/>
            </w:tcBorders>
            <w:shd w:val="clear" w:color="auto" w:fill="auto"/>
            <w:noWrap/>
            <w:vAlign w:val="center"/>
            <w:hideMark/>
          </w:tcPr>
          <w:p w14:paraId="7A812B19"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451" w:type="dxa"/>
            <w:tcBorders>
              <w:top w:val="nil"/>
              <w:left w:val="nil"/>
              <w:bottom w:val="nil"/>
              <w:right w:val="nil"/>
            </w:tcBorders>
            <w:shd w:val="clear" w:color="auto" w:fill="auto"/>
            <w:noWrap/>
            <w:vAlign w:val="center"/>
            <w:hideMark/>
          </w:tcPr>
          <w:p w14:paraId="485F499B"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7470" w:type="dxa"/>
            <w:tcBorders>
              <w:top w:val="nil"/>
              <w:left w:val="nil"/>
              <w:bottom w:val="nil"/>
              <w:right w:val="nil"/>
            </w:tcBorders>
            <w:shd w:val="clear" w:color="auto" w:fill="auto"/>
            <w:vAlign w:val="center"/>
            <w:hideMark/>
          </w:tcPr>
          <w:p w14:paraId="0A978BF7"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World leaders adopt a uniform style on Twitter, supporting the influence of mediatization, which is a driver of globalization. A high level of universality and media compatibility was observed across political leaders. Leaders are similar to each other in their sentiment, topic mixture, and use of messages. Overall, the sentiment is positive, and the discussed topics are mainly diplomacy, economy, corruption, and the Arab world. Minor country and culture-based differences exist in the leaders’ language.</w:t>
            </w:r>
          </w:p>
        </w:tc>
      </w:tr>
      <w:tr w:rsidR="00996AE0" w:rsidRPr="00996AE0" w14:paraId="3DD365F3" w14:textId="77777777" w:rsidTr="009156CF">
        <w:trPr>
          <w:trHeight w:val="960"/>
        </w:trPr>
        <w:tc>
          <w:tcPr>
            <w:tcW w:w="1497" w:type="dxa"/>
            <w:tcBorders>
              <w:top w:val="nil"/>
              <w:left w:val="nil"/>
              <w:bottom w:val="nil"/>
              <w:right w:val="nil"/>
            </w:tcBorders>
            <w:shd w:val="clear" w:color="auto" w:fill="auto"/>
            <w:noWrap/>
            <w:vAlign w:val="center"/>
            <w:hideMark/>
          </w:tcPr>
          <w:p w14:paraId="43DE0CF4" w14:textId="77777777" w:rsidR="00996AE0" w:rsidRPr="00996AE0" w:rsidRDefault="00996AE0" w:rsidP="009156CF">
            <w:pPr>
              <w:rPr>
                <w:rFonts w:ascii="Times New Roman" w:eastAsia="Times New Roman" w:hAnsi="Times New Roman" w:cs="Times New Roman"/>
                <w:b/>
                <w:bCs/>
                <w:color w:val="000000"/>
                <w:sz w:val="15"/>
                <w:szCs w:val="15"/>
              </w:rPr>
            </w:pPr>
            <w:r w:rsidRPr="00996AE0">
              <w:rPr>
                <w:rFonts w:ascii="Times New Roman" w:eastAsia="Times New Roman" w:hAnsi="Times New Roman" w:cs="Times New Roman"/>
                <w:b/>
                <w:bCs/>
                <w:color w:val="000000" w:themeColor="text1"/>
                <w:sz w:val="15"/>
                <w:szCs w:val="15"/>
                <w:lang w:val="en-US"/>
              </w:rPr>
              <w:t>Pich et al., 2018</w:t>
            </w:r>
          </w:p>
        </w:tc>
        <w:tc>
          <w:tcPr>
            <w:tcW w:w="948" w:type="dxa"/>
            <w:tcBorders>
              <w:top w:val="nil"/>
              <w:left w:val="nil"/>
              <w:bottom w:val="nil"/>
              <w:right w:val="nil"/>
            </w:tcBorders>
            <w:shd w:val="clear" w:color="auto" w:fill="auto"/>
            <w:noWrap/>
            <w:vAlign w:val="center"/>
            <w:hideMark/>
          </w:tcPr>
          <w:p w14:paraId="38A3C5BB"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2018</w:t>
            </w:r>
          </w:p>
        </w:tc>
        <w:tc>
          <w:tcPr>
            <w:tcW w:w="1939" w:type="dxa"/>
            <w:tcBorders>
              <w:top w:val="nil"/>
              <w:left w:val="nil"/>
              <w:bottom w:val="nil"/>
              <w:right w:val="nil"/>
            </w:tcBorders>
            <w:shd w:val="clear" w:color="auto" w:fill="auto"/>
            <w:noWrap/>
            <w:vAlign w:val="center"/>
            <w:hideMark/>
          </w:tcPr>
          <w:p w14:paraId="7DE56FA5"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UK</w:t>
            </w:r>
          </w:p>
        </w:tc>
        <w:tc>
          <w:tcPr>
            <w:tcW w:w="1180" w:type="dxa"/>
            <w:tcBorders>
              <w:top w:val="nil"/>
              <w:left w:val="nil"/>
              <w:bottom w:val="nil"/>
              <w:right w:val="nil"/>
            </w:tcBorders>
            <w:shd w:val="clear" w:color="auto" w:fill="auto"/>
            <w:noWrap/>
            <w:vAlign w:val="center"/>
            <w:hideMark/>
          </w:tcPr>
          <w:p w14:paraId="65F90F8A"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Brexit Referendum</w:t>
            </w:r>
          </w:p>
        </w:tc>
        <w:tc>
          <w:tcPr>
            <w:tcW w:w="939" w:type="dxa"/>
            <w:tcBorders>
              <w:top w:val="nil"/>
              <w:left w:val="nil"/>
              <w:bottom w:val="nil"/>
              <w:right w:val="nil"/>
            </w:tcBorders>
            <w:shd w:val="clear" w:color="auto" w:fill="auto"/>
            <w:noWrap/>
            <w:vAlign w:val="center"/>
            <w:hideMark/>
          </w:tcPr>
          <w:p w14:paraId="1ED6120D"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N/A</w:t>
            </w:r>
          </w:p>
        </w:tc>
        <w:tc>
          <w:tcPr>
            <w:tcW w:w="1672" w:type="dxa"/>
            <w:tcBorders>
              <w:top w:val="nil"/>
              <w:left w:val="nil"/>
              <w:bottom w:val="nil"/>
              <w:right w:val="nil"/>
            </w:tcBorders>
            <w:shd w:val="clear" w:color="auto" w:fill="auto"/>
            <w:noWrap/>
            <w:vAlign w:val="center"/>
            <w:hideMark/>
          </w:tcPr>
          <w:p w14:paraId="157F4C4D"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National politics</w:t>
            </w:r>
          </w:p>
        </w:tc>
        <w:tc>
          <w:tcPr>
            <w:tcW w:w="934" w:type="dxa"/>
            <w:tcBorders>
              <w:top w:val="nil"/>
              <w:left w:val="nil"/>
              <w:bottom w:val="nil"/>
              <w:right w:val="nil"/>
            </w:tcBorders>
            <w:shd w:val="clear" w:color="auto" w:fill="auto"/>
            <w:noWrap/>
            <w:vAlign w:val="center"/>
            <w:hideMark/>
          </w:tcPr>
          <w:p w14:paraId="4F9ED5B4"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Twitter</w:t>
            </w:r>
          </w:p>
        </w:tc>
        <w:tc>
          <w:tcPr>
            <w:tcW w:w="2004" w:type="dxa"/>
            <w:tcBorders>
              <w:top w:val="nil"/>
              <w:left w:val="nil"/>
              <w:bottom w:val="nil"/>
              <w:right w:val="nil"/>
            </w:tcBorders>
            <w:shd w:val="clear" w:color="auto" w:fill="auto"/>
            <w:noWrap/>
            <w:vAlign w:val="center"/>
            <w:hideMark/>
          </w:tcPr>
          <w:p w14:paraId="1B7928EB"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Customer engagement</w:t>
            </w:r>
          </w:p>
        </w:tc>
        <w:tc>
          <w:tcPr>
            <w:tcW w:w="1342" w:type="dxa"/>
            <w:tcBorders>
              <w:top w:val="nil"/>
              <w:left w:val="nil"/>
              <w:bottom w:val="nil"/>
              <w:right w:val="nil"/>
            </w:tcBorders>
            <w:shd w:val="clear" w:color="auto" w:fill="auto"/>
            <w:noWrap/>
            <w:vAlign w:val="center"/>
            <w:hideMark/>
          </w:tcPr>
          <w:p w14:paraId="122380A3"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1613" w:type="dxa"/>
            <w:tcBorders>
              <w:top w:val="nil"/>
              <w:left w:val="nil"/>
              <w:bottom w:val="nil"/>
              <w:right w:val="nil"/>
            </w:tcBorders>
            <w:shd w:val="clear" w:color="auto" w:fill="auto"/>
            <w:noWrap/>
            <w:vAlign w:val="center"/>
            <w:hideMark/>
          </w:tcPr>
          <w:p w14:paraId="770AA8B4"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Survey and social network analysis</w:t>
            </w:r>
          </w:p>
        </w:tc>
        <w:tc>
          <w:tcPr>
            <w:tcW w:w="1482" w:type="dxa"/>
            <w:tcBorders>
              <w:top w:val="nil"/>
              <w:left w:val="nil"/>
              <w:bottom w:val="nil"/>
              <w:right w:val="nil"/>
            </w:tcBorders>
            <w:shd w:val="clear" w:color="auto" w:fill="auto"/>
            <w:noWrap/>
            <w:vAlign w:val="center"/>
            <w:hideMark/>
          </w:tcPr>
          <w:p w14:paraId="6EF70A22"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Young voters</w:t>
            </w:r>
          </w:p>
        </w:tc>
        <w:tc>
          <w:tcPr>
            <w:tcW w:w="1009" w:type="dxa"/>
            <w:tcBorders>
              <w:top w:val="nil"/>
              <w:left w:val="nil"/>
              <w:bottom w:val="nil"/>
              <w:right w:val="nil"/>
            </w:tcBorders>
            <w:shd w:val="clear" w:color="auto" w:fill="auto"/>
            <w:noWrap/>
            <w:vAlign w:val="center"/>
            <w:hideMark/>
          </w:tcPr>
          <w:p w14:paraId="164CA73A"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451" w:type="dxa"/>
            <w:tcBorders>
              <w:top w:val="nil"/>
              <w:left w:val="nil"/>
              <w:bottom w:val="nil"/>
              <w:right w:val="nil"/>
            </w:tcBorders>
            <w:shd w:val="clear" w:color="auto" w:fill="auto"/>
            <w:noWrap/>
            <w:vAlign w:val="center"/>
            <w:hideMark/>
          </w:tcPr>
          <w:p w14:paraId="15B80CB4"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7470" w:type="dxa"/>
            <w:tcBorders>
              <w:top w:val="nil"/>
              <w:left w:val="nil"/>
              <w:bottom w:val="nil"/>
              <w:right w:val="nil"/>
            </w:tcBorders>
            <w:shd w:val="clear" w:color="auto" w:fill="auto"/>
            <w:vAlign w:val="center"/>
            <w:hideMark/>
          </w:tcPr>
          <w:p w14:paraId="50CC0472"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Young voters’ engagement was greater for the Brexit referendum than traditional elections. The study proposes a segmentation typology of young voters based on cognitive, affective, and behavioral engagement. Young voters were knowledgeable and actively following politicians on Twitter. Young voters were active in the lead to Brexit. Young voters’ engagement is multifaceted.</w:t>
            </w:r>
          </w:p>
        </w:tc>
      </w:tr>
      <w:tr w:rsidR="00996AE0" w:rsidRPr="00996AE0" w14:paraId="5EE60132" w14:textId="77777777" w:rsidTr="009156CF">
        <w:trPr>
          <w:trHeight w:val="1200"/>
        </w:trPr>
        <w:tc>
          <w:tcPr>
            <w:tcW w:w="1497" w:type="dxa"/>
            <w:tcBorders>
              <w:top w:val="nil"/>
              <w:left w:val="nil"/>
              <w:bottom w:val="nil"/>
              <w:right w:val="nil"/>
            </w:tcBorders>
            <w:shd w:val="clear" w:color="auto" w:fill="auto"/>
            <w:noWrap/>
            <w:vAlign w:val="center"/>
            <w:hideMark/>
          </w:tcPr>
          <w:p w14:paraId="71FB01A0" w14:textId="77777777" w:rsidR="00996AE0" w:rsidRPr="00996AE0" w:rsidRDefault="00996AE0" w:rsidP="009156CF">
            <w:pPr>
              <w:rPr>
                <w:rFonts w:ascii="Times New Roman" w:eastAsia="Times New Roman" w:hAnsi="Times New Roman" w:cs="Times New Roman"/>
                <w:b/>
                <w:bCs/>
                <w:color w:val="000000"/>
                <w:sz w:val="15"/>
                <w:szCs w:val="15"/>
              </w:rPr>
            </w:pPr>
            <w:r w:rsidRPr="00996AE0">
              <w:rPr>
                <w:rFonts w:ascii="Times New Roman" w:eastAsia="Times New Roman" w:hAnsi="Times New Roman" w:cs="Times New Roman"/>
                <w:b/>
                <w:bCs/>
                <w:color w:val="000000" w:themeColor="text1"/>
                <w:sz w:val="15"/>
                <w:szCs w:val="15"/>
                <w:lang w:val="en-US"/>
              </w:rPr>
              <w:lastRenderedPageBreak/>
              <w:t>Ryoo &amp; Bendle, 2017</w:t>
            </w:r>
          </w:p>
        </w:tc>
        <w:tc>
          <w:tcPr>
            <w:tcW w:w="948" w:type="dxa"/>
            <w:tcBorders>
              <w:top w:val="nil"/>
              <w:left w:val="nil"/>
              <w:bottom w:val="nil"/>
              <w:right w:val="nil"/>
            </w:tcBorders>
            <w:shd w:val="clear" w:color="auto" w:fill="auto"/>
            <w:noWrap/>
            <w:vAlign w:val="center"/>
            <w:hideMark/>
          </w:tcPr>
          <w:p w14:paraId="457A5BF9"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2017</w:t>
            </w:r>
          </w:p>
        </w:tc>
        <w:tc>
          <w:tcPr>
            <w:tcW w:w="1939" w:type="dxa"/>
            <w:tcBorders>
              <w:top w:val="nil"/>
              <w:left w:val="nil"/>
              <w:bottom w:val="nil"/>
              <w:right w:val="nil"/>
            </w:tcBorders>
            <w:shd w:val="clear" w:color="auto" w:fill="auto"/>
            <w:noWrap/>
            <w:vAlign w:val="center"/>
            <w:hideMark/>
          </w:tcPr>
          <w:p w14:paraId="02273B40"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USA</w:t>
            </w:r>
          </w:p>
        </w:tc>
        <w:tc>
          <w:tcPr>
            <w:tcW w:w="1180" w:type="dxa"/>
            <w:tcBorders>
              <w:top w:val="nil"/>
              <w:left w:val="nil"/>
              <w:bottom w:val="nil"/>
              <w:right w:val="nil"/>
            </w:tcBorders>
            <w:shd w:val="clear" w:color="auto" w:fill="auto"/>
            <w:noWrap/>
            <w:vAlign w:val="center"/>
            <w:hideMark/>
          </w:tcPr>
          <w:p w14:paraId="3618A6EB"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2016</w:t>
            </w:r>
          </w:p>
        </w:tc>
        <w:tc>
          <w:tcPr>
            <w:tcW w:w="939" w:type="dxa"/>
            <w:tcBorders>
              <w:top w:val="nil"/>
              <w:left w:val="nil"/>
              <w:bottom w:val="nil"/>
              <w:right w:val="nil"/>
            </w:tcBorders>
            <w:shd w:val="clear" w:color="auto" w:fill="auto"/>
            <w:noWrap/>
            <w:vAlign w:val="center"/>
            <w:hideMark/>
          </w:tcPr>
          <w:p w14:paraId="6AC866B4"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Candidate</w:t>
            </w:r>
          </w:p>
        </w:tc>
        <w:tc>
          <w:tcPr>
            <w:tcW w:w="1672" w:type="dxa"/>
            <w:tcBorders>
              <w:top w:val="nil"/>
              <w:left w:val="nil"/>
              <w:bottom w:val="nil"/>
              <w:right w:val="nil"/>
            </w:tcBorders>
            <w:shd w:val="clear" w:color="auto" w:fill="auto"/>
            <w:noWrap/>
            <w:vAlign w:val="center"/>
            <w:hideMark/>
          </w:tcPr>
          <w:p w14:paraId="2518F65D"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Presidential politics (primaries)</w:t>
            </w:r>
          </w:p>
        </w:tc>
        <w:tc>
          <w:tcPr>
            <w:tcW w:w="934" w:type="dxa"/>
            <w:tcBorders>
              <w:top w:val="nil"/>
              <w:left w:val="nil"/>
              <w:bottom w:val="nil"/>
              <w:right w:val="nil"/>
            </w:tcBorders>
            <w:shd w:val="clear" w:color="auto" w:fill="auto"/>
            <w:noWrap/>
            <w:vAlign w:val="center"/>
            <w:hideMark/>
          </w:tcPr>
          <w:p w14:paraId="49B001B6"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Facebook and Twitter</w:t>
            </w:r>
          </w:p>
        </w:tc>
        <w:tc>
          <w:tcPr>
            <w:tcW w:w="2004" w:type="dxa"/>
            <w:tcBorders>
              <w:top w:val="nil"/>
              <w:left w:val="nil"/>
              <w:bottom w:val="nil"/>
              <w:right w:val="nil"/>
            </w:tcBorders>
            <w:shd w:val="clear" w:color="auto" w:fill="auto"/>
            <w:noWrap/>
            <w:vAlign w:val="center"/>
            <w:hideMark/>
          </w:tcPr>
          <w:p w14:paraId="003E783D"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Twitter and politics</w:t>
            </w:r>
          </w:p>
        </w:tc>
        <w:tc>
          <w:tcPr>
            <w:tcW w:w="1342" w:type="dxa"/>
            <w:tcBorders>
              <w:top w:val="nil"/>
              <w:left w:val="nil"/>
              <w:bottom w:val="nil"/>
              <w:right w:val="nil"/>
            </w:tcBorders>
            <w:shd w:val="clear" w:color="auto" w:fill="auto"/>
            <w:noWrap/>
            <w:vAlign w:val="center"/>
            <w:hideMark/>
          </w:tcPr>
          <w:p w14:paraId="77977CD2"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1613" w:type="dxa"/>
            <w:tcBorders>
              <w:top w:val="nil"/>
              <w:left w:val="nil"/>
              <w:bottom w:val="nil"/>
              <w:right w:val="nil"/>
            </w:tcBorders>
            <w:shd w:val="clear" w:color="auto" w:fill="auto"/>
            <w:noWrap/>
            <w:vAlign w:val="center"/>
            <w:hideMark/>
          </w:tcPr>
          <w:p w14:paraId="099C7B21"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Content analysis</w:t>
            </w:r>
          </w:p>
        </w:tc>
        <w:tc>
          <w:tcPr>
            <w:tcW w:w="1482" w:type="dxa"/>
            <w:tcBorders>
              <w:top w:val="nil"/>
              <w:left w:val="nil"/>
              <w:bottom w:val="nil"/>
              <w:right w:val="nil"/>
            </w:tcBorders>
            <w:shd w:val="clear" w:color="auto" w:fill="auto"/>
            <w:noWrap/>
            <w:vAlign w:val="center"/>
            <w:hideMark/>
          </w:tcPr>
          <w:p w14:paraId="532C65FF"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Candidates’ Twitter and Facebook pages</w:t>
            </w:r>
          </w:p>
        </w:tc>
        <w:tc>
          <w:tcPr>
            <w:tcW w:w="1009" w:type="dxa"/>
            <w:tcBorders>
              <w:top w:val="nil"/>
              <w:left w:val="nil"/>
              <w:bottom w:val="nil"/>
              <w:right w:val="nil"/>
            </w:tcBorders>
            <w:shd w:val="clear" w:color="auto" w:fill="auto"/>
            <w:noWrap/>
            <w:vAlign w:val="center"/>
            <w:hideMark/>
          </w:tcPr>
          <w:p w14:paraId="6951CCA3"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451" w:type="dxa"/>
            <w:tcBorders>
              <w:top w:val="nil"/>
              <w:left w:val="nil"/>
              <w:bottom w:val="nil"/>
              <w:right w:val="nil"/>
            </w:tcBorders>
            <w:shd w:val="clear" w:color="auto" w:fill="auto"/>
            <w:noWrap/>
            <w:vAlign w:val="center"/>
            <w:hideMark/>
          </w:tcPr>
          <w:p w14:paraId="022483BA"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7470" w:type="dxa"/>
            <w:tcBorders>
              <w:top w:val="nil"/>
              <w:left w:val="nil"/>
              <w:bottom w:val="nil"/>
              <w:right w:val="nil"/>
            </w:tcBorders>
            <w:shd w:val="clear" w:color="auto" w:fill="auto"/>
            <w:vAlign w:val="center"/>
            <w:hideMark/>
          </w:tcPr>
          <w:p w14:paraId="4DDE295F"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Candidates favored broadcasting their own messages and adopting a sales orientation while offering limited interactivity. The Democrats (Bernie Sander and Hillary Clinton) had a higher level of activity compared to Donald Trump. The activity declined when candidates dropped out. Variance in tweet word count was significantly higher for Trump denoting a more natural use of social media. Variations in the reliance on specific themes were witnessed between and within parties.</w:t>
            </w:r>
          </w:p>
        </w:tc>
      </w:tr>
      <w:tr w:rsidR="00996AE0" w:rsidRPr="00996AE0" w14:paraId="498A893A" w14:textId="77777777" w:rsidTr="009156CF">
        <w:trPr>
          <w:trHeight w:val="480"/>
        </w:trPr>
        <w:tc>
          <w:tcPr>
            <w:tcW w:w="1497" w:type="dxa"/>
            <w:tcBorders>
              <w:top w:val="nil"/>
              <w:left w:val="nil"/>
              <w:bottom w:val="nil"/>
              <w:right w:val="nil"/>
            </w:tcBorders>
            <w:shd w:val="clear" w:color="auto" w:fill="auto"/>
            <w:noWrap/>
            <w:vAlign w:val="center"/>
            <w:hideMark/>
          </w:tcPr>
          <w:p w14:paraId="38C8CA49" w14:textId="77777777" w:rsidR="00996AE0" w:rsidRPr="00996AE0" w:rsidRDefault="00996AE0" w:rsidP="009156CF">
            <w:pPr>
              <w:rPr>
                <w:rFonts w:ascii="Times New Roman" w:eastAsia="Times New Roman" w:hAnsi="Times New Roman" w:cs="Times New Roman"/>
                <w:b/>
                <w:bCs/>
                <w:color w:val="000000"/>
                <w:sz w:val="15"/>
                <w:szCs w:val="15"/>
              </w:rPr>
            </w:pPr>
            <w:r w:rsidRPr="00996AE0">
              <w:rPr>
                <w:rFonts w:ascii="Times New Roman" w:eastAsia="Times New Roman" w:hAnsi="Times New Roman" w:cs="Times New Roman"/>
                <w:b/>
                <w:bCs/>
                <w:color w:val="000000" w:themeColor="text1"/>
                <w:sz w:val="15"/>
                <w:szCs w:val="15"/>
                <w:lang w:val="en-US"/>
              </w:rPr>
              <w:t>Safiullah et al., 2017</w:t>
            </w:r>
          </w:p>
        </w:tc>
        <w:tc>
          <w:tcPr>
            <w:tcW w:w="948" w:type="dxa"/>
            <w:tcBorders>
              <w:top w:val="nil"/>
              <w:left w:val="nil"/>
              <w:bottom w:val="nil"/>
              <w:right w:val="nil"/>
            </w:tcBorders>
            <w:shd w:val="clear" w:color="auto" w:fill="auto"/>
            <w:noWrap/>
            <w:vAlign w:val="center"/>
            <w:hideMark/>
          </w:tcPr>
          <w:p w14:paraId="0A05144F"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2017</w:t>
            </w:r>
          </w:p>
        </w:tc>
        <w:tc>
          <w:tcPr>
            <w:tcW w:w="1939" w:type="dxa"/>
            <w:tcBorders>
              <w:top w:val="nil"/>
              <w:left w:val="nil"/>
              <w:bottom w:val="nil"/>
              <w:right w:val="nil"/>
            </w:tcBorders>
            <w:shd w:val="clear" w:color="auto" w:fill="auto"/>
            <w:noWrap/>
            <w:vAlign w:val="center"/>
            <w:hideMark/>
          </w:tcPr>
          <w:p w14:paraId="7FE8E09B"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India</w:t>
            </w:r>
          </w:p>
        </w:tc>
        <w:tc>
          <w:tcPr>
            <w:tcW w:w="1180" w:type="dxa"/>
            <w:tcBorders>
              <w:top w:val="nil"/>
              <w:left w:val="nil"/>
              <w:bottom w:val="nil"/>
              <w:right w:val="nil"/>
            </w:tcBorders>
            <w:shd w:val="clear" w:color="auto" w:fill="auto"/>
            <w:noWrap/>
            <w:vAlign w:val="center"/>
            <w:hideMark/>
          </w:tcPr>
          <w:p w14:paraId="23FD8635"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2014</w:t>
            </w:r>
          </w:p>
        </w:tc>
        <w:tc>
          <w:tcPr>
            <w:tcW w:w="939" w:type="dxa"/>
            <w:tcBorders>
              <w:top w:val="nil"/>
              <w:left w:val="nil"/>
              <w:bottom w:val="nil"/>
              <w:right w:val="nil"/>
            </w:tcBorders>
            <w:shd w:val="clear" w:color="auto" w:fill="auto"/>
            <w:noWrap/>
            <w:vAlign w:val="center"/>
            <w:hideMark/>
          </w:tcPr>
          <w:p w14:paraId="5012684F"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Party</w:t>
            </w:r>
          </w:p>
        </w:tc>
        <w:tc>
          <w:tcPr>
            <w:tcW w:w="1672" w:type="dxa"/>
            <w:tcBorders>
              <w:top w:val="nil"/>
              <w:left w:val="nil"/>
              <w:bottom w:val="nil"/>
              <w:right w:val="nil"/>
            </w:tcBorders>
            <w:shd w:val="clear" w:color="auto" w:fill="auto"/>
            <w:noWrap/>
            <w:vAlign w:val="center"/>
            <w:hideMark/>
          </w:tcPr>
          <w:p w14:paraId="6D387C5B"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National politics</w:t>
            </w:r>
          </w:p>
        </w:tc>
        <w:tc>
          <w:tcPr>
            <w:tcW w:w="934" w:type="dxa"/>
            <w:tcBorders>
              <w:top w:val="nil"/>
              <w:left w:val="nil"/>
              <w:bottom w:val="nil"/>
              <w:right w:val="nil"/>
            </w:tcBorders>
            <w:shd w:val="clear" w:color="auto" w:fill="auto"/>
            <w:noWrap/>
            <w:vAlign w:val="center"/>
            <w:hideMark/>
          </w:tcPr>
          <w:p w14:paraId="2B07B136"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Twitter</w:t>
            </w:r>
          </w:p>
        </w:tc>
        <w:tc>
          <w:tcPr>
            <w:tcW w:w="2004" w:type="dxa"/>
            <w:tcBorders>
              <w:top w:val="nil"/>
              <w:left w:val="nil"/>
              <w:bottom w:val="nil"/>
              <w:right w:val="nil"/>
            </w:tcBorders>
            <w:shd w:val="clear" w:color="auto" w:fill="auto"/>
            <w:noWrap/>
            <w:vAlign w:val="center"/>
            <w:hideMark/>
          </w:tcPr>
          <w:p w14:paraId="61262BB9"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Buzz marketing</w:t>
            </w:r>
          </w:p>
        </w:tc>
        <w:tc>
          <w:tcPr>
            <w:tcW w:w="1342" w:type="dxa"/>
            <w:tcBorders>
              <w:top w:val="nil"/>
              <w:left w:val="nil"/>
              <w:bottom w:val="nil"/>
              <w:right w:val="nil"/>
            </w:tcBorders>
            <w:shd w:val="clear" w:color="auto" w:fill="auto"/>
            <w:noWrap/>
            <w:vAlign w:val="center"/>
            <w:hideMark/>
          </w:tcPr>
          <w:p w14:paraId="10684083"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1613" w:type="dxa"/>
            <w:tcBorders>
              <w:top w:val="nil"/>
              <w:left w:val="nil"/>
              <w:bottom w:val="nil"/>
              <w:right w:val="nil"/>
            </w:tcBorders>
            <w:shd w:val="clear" w:color="auto" w:fill="auto"/>
            <w:noWrap/>
            <w:vAlign w:val="center"/>
            <w:hideMark/>
          </w:tcPr>
          <w:p w14:paraId="0A7F8F13"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Content analysis</w:t>
            </w:r>
          </w:p>
        </w:tc>
        <w:tc>
          <w:tcPr>
            <w:tcW w:w="1482" w:type="dxa"/>
            <w:tcBorders>
              <w:top w:val="nil"/>
              <w:left w:val="nil"/>
              <w:bottom w:val="nil"/>
              <w:right w:val="nil"/>
            </w:tcBorders>
            <w:shd w:val="clear" w:color="auto" w:fill="auto"/>
            <w:noWrap/>
            <w:vAlign w:val="center"/>
            <w:hideMark/>
          </w:tcPr>
          <w:p w14:paraId="5AA08931"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Number of tweets on Twitter</w:t>
            </w:r>
          </w:p>
        </w:tc>
        <w:tc>
          <w:tcPr>
            <w:tcW w:w="1009" w:type="dxa"/>
            <w:tcBorders>
              <w:top w:val="nil"/>
              <w:left w:val="nil"/>
              <w:bottom w:val="nil"/>
              <w:right w:val="nil"/>
            </w:tcBorders>
            <w:shd w:val="clear" w:color="auto" w:fill="auto"/>
            <w:noWrap/>
            <w:vAlign w:val="center"/>
            <w:hideMark/>
          </w:tcPr>
          <w:p w14:paraId="5BBC0CF8"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451" w:type="dxa"/>
            <w:tcBorders>
              <w:top w:val="nil"/>
              <w:left w:val="nil"/>
              <w:bottom w:val="nil"/>
              <w:right w:val="nil"/>
            </w:tcBorders>
            <w:shd w:val="clear" w:color="auto" w:fill="auto"/>
            <w:noWrap/>
            <w:vAlign w:val="center"/>
            <w:hideMark/>
          </w:tcPr>
          <w:p w14:paraId="584A5CB6"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7470" w:type="dxa"/>
            <w:tcBorders>
              <w:top w:val="nil"/>
              <w:left w:val="nil"/>
              <w:bottom w:val="nil"/>
              <w:right w:val="nil"/>
            </w:tcBorders>
            <w:shd w:val="clear" w:color="auto" w:fill="auto"/>
            <w:vAlign w:val="center"/>
            <w:hideMark/>
          </w:tcPr>
          <w:p w14:paraId="37D38B0F"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Social media buzz can predict parliamentary seats won by different parties in the general elections. Social media are gaining importance in Indian politics. Politicians are not well versed in social media so IT cells provide training.</w:t>
            </w:r>
          </w:p>
        </w:tc>
      </w:tr>
      <w:tr w:rsidR="00996AE0" w:rsidRPr="00996AE0" w14:paraId="118572A7" w14:textId="77777777" w:rsidTr="009156CF">
        <w:trPr>
          <w:trHeight w:val="1200"/>
        </w:trPr>
        <w:tc>
          <w:tcPr>
            <w:tcW w:w="1497" w:type="dxa"/>
            <w:tcBorders>
              <w:top w:val="nil"/>
              <w:left w:val="nil"/>
              <w:bottom w:val="nil"/>
              <w:right w:val="nil"/>
            </w:tcBorders>
            <w:shd w:val="clear" w:color="auto" w:fill="auto"/>
            <w:noWrap/>
            <w:vAlign w:val="center"/>
            <w:hideMark/>
          </w:tcPr>
          <w:p w14:paraId="62BF5A8C" w14:textId="77777777" w:rsidR="00996AE0" w:rsidRPr="00996AE0" w:rsidRDefault="00996AE0" w:rsidP="009156CF">
            <w:pPr>
              <w:rPr>
                <w:rFonts w:ascii="Times New Roman" w:eastAsia="Times New Roman" w:hAnsi="Times New Roman" w:cs="Times New Roman"/>
                <w:b/>
                <w:bCs/>
                <w:color w:val="000000"/>
                <w:sz w:val="15"/>
                <w:szCs w:val="15"/>
              </w:rPr>
            </w:pPr>
            <w:r w:rsidRPr="00996AE0">
              <w:rPr>
                <w:rFonts w:ascii="Times New Roman" w:eastAsia="Times New Roman" w:hAnsi="Times New Roman" w:cs="Times New Roman"/>
                <w:b/>
                <w:bCs/>
                <w:color w:val="000000" w:themeColor="text1"/>
                <w:sz w:val="15"/>
                <w:szCs w:val="15"/>
                <w:lang w:val="en-US"/>
              </w:rPr>
              <w:t>Schneiker, 2019</w:t>
            </w:r>
          </w:p>
        </w:tc>
        <w:tc>
          <w:tcPr>
            <w:tcW w:w="948" w:type="dxa"/>
            <w:tcBorders>
              <w:top w:val="nil"/>
              <w:left w:val="nil"/>
              <w:bottom w:val="nil"/>
              <w:right w:val="nil"/>
            </w:tcBorders>
            <w:shd w:val="clear" w:color="auto" w:fill="auto"/>
            <w:noWrap/>
            <w:vAlign w:val="center"/>
            <w:hideMark/>
          </w:tcPr>
          <w:p w14:paraId="62019CF3"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2019</w:t>
            </w:r>
          </w:p>
        </w:tc>
        <w:tc>
          <w:tcPr>
            <w:tcW w:w="1939" w:type="dxa"/>
            <w:tcBorders>
              <w:top w:val="nil"/>
              <w:left w:val="nil"/>
              <w:bottom w:val="nil"/>
              <w:right w:val="nil"/>
            </w:tcBorders>
            <w:shd w:val="clear" w:color="auto" w:fill="auto"/>
            <w:noWrap/>
            <w:vAlign w:val="center"/>
            <w:hideMark/>
          </w:tcPr>
          <w:p w14:paraId="72EF0C49"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USA</w:t>
            </w:r>
          </w:p>
        </w:tc>
        <w:tc>
          <w:tcPr>
            <w:tcW w:w="1180" w:type="dxa"/>
            <w:tcBorders>
              <w:top w:val="nil"/>
              <w:left w:val="nil"/>
              <w:bottom w:val="nil"/>
              <w:right w:val="nil"/>
            </w:tcBorders>
            <w:shd w:val="clear" w:color="auto" w:fill="auto"/>
            <w:noWrap/>
            <w:vAlign w:val="center"/>
            <w:hideMark/>
          </w:tcPr>
          <w:p w14:paraId="57B74FF1"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2016</w:t>
            </w:r>
          </w:p>
        </w:tc>
        <w:tc>
          <w:tcPr>
            <w:tcW w:w="939" w:type="dxa"/>
            <w:tcBorders>
              <w:top w:val="nil"/>
              <w:left w:val="nil"/>
              <w:bottom w:val="nil"/>
              <w:right w:val="nil"/>
            </w:tcBorders>
            <w:shd w:val="clear" w:color="auto" w:fill="auto"/>
            <w:noWrap/>
            <w:vAlign w:val="center"/>
            <w:hideMark/>
          </w:tcPr>
          <w:p w14:paraId="2E82C178"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Candidate</w:t>
            </w:r>
          </w:p>
        </w:tc>
        <w:tc>
          <w:tcPr>
            <w:tcW w:w="1672" w:type="dxa"/>
            <w:tcBorders>
              <w:top w:val="nil"/>
              <w:left w:val="nil"/>
              <w:bottom w:val="nil"/>
              <w:right w:val="nil"/>
            </w:tcBorders>
            <w:shd w:val="clear" w:color="auto" w:fill="auto"/>
            <w:noWrap/>
            <w:vAlign w:val="center"/>
            <w:hideMark/>
          </w:tcPr>
          <w:p w14:paraId="6944E82A"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Presidential politics (primaries)</w:t>
            </w:r>
          </w:p>
        </w:tc>
        <w:tc>
          <w:tcPr>
            <w:tcW w:w="934" w:type="dxa"/>
            <w:tcBorders>
              <w:top w:val="nil"/>
              <w:left w:val="nil"/>
              <w:bottom w:val="nil"/>
              <w:right w:val="nil"/>
            </w:tcBorders>
            <w:shd w:val="clear" w:color="auto" w:fill="auto"/>
            <w:noWrap/>
            <w:vAlign w:val="center"/>
            <w:hideMark/>
          </w:tcPr>
          <w:p w14:paraId="138B8FB7"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Twitter</w:t>
            </w:r>
          </w:p>
        </w:tc>
        <w:tc>
          <w:tcPr>
            <w:tcW w:w="2004" w:type="dxa"/>
            <w:tcBorders>
              <w:top w:val="nil"/>
              <w:left w:val="nil"/>
              <w:bottom w:val="nil"/>
              <w:right w:val="nil"/>
            </w:tcBorders>
            <w:shd w:val="clear" w:color="auto" w:fill="auto"/>
            <w:noWrap/>
            <w:vAlign w:val="center"/>
            <w:hideMark/>
          </w:tcPr>
          <w:p w14:paraId="6C152E01"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Celebrity politicians, political branding</w:t>
            </w:r>
          </w:p>
        </w:tc>
        <w:tc>
          <w:tcPr>
            <w:tcW w:w="1342" w:type="dxa"/>
            <w:tcBorders>
              <w:top w:val="nil"/>
              <w:left w:val="nil"/>
              <w:bottom w:val="nil"/>
              <w:right w:val="nil"/>
            </w:tcBorders>
            <w:shd w:val="clear" w:color="auto" w:fill="auto"/>
            <w:noWrap/>
            <w:vAlign w:val="center"/>
            <w:hideMark/>
          </w:tcPr>
          <w:p w14:paraId="0392C3FE"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1613" w:type="dxa"/>
            <w:tcBorders>
              <w:top w:val="nil"/>
              <w:left w:val="nil"/>
              <w:bottom w:val="nil"/>
              <w:right w:val="nil"/>
            </w:tcBorders>
            <w:shd w:val="clear" w:color="auto" w:fill="auto"/>
            <w:noWrap/>
            <w:vAlign w:val="center"/>
            <w:hideMark/>
          </w:tcPr>
          <w:p w14:paraId="3075A2D8"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 xml:space="preserve">Content analysis </w:t>
            </w:r>
          </w:p>
        </w:tc>
        <w:tc>
          <w:tcPr>
            <w:tcW w:w="1482" w:type="dxa"/>
            <w:tcBorders>
              <w:top w:val="nil"/>
              <w:left w:val="nil"/>
              <w:bottom w:val="nil"/>
              <w:right w:val="nil"/>
            </w:tcBorders>
            <w:shd w:val="clear" w:color="auto" w:fill="auto"/>
            <w:noWrap/>
            <w:vAlign w:val="center"/>
            <w:hideMark/>
          </w:tcPr>
          <w:p w14:paraId="2BF4FB75"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Donald Trump's Twitter page</w:t>
            </w:r>
          </w:p>
        </w:tc>
        <w:tc>
          <w:tcPr>
            <w:tcW w:w="1009" w:type="dxa"/>
            <w:tcBorders>
              <w:top w:val="nil"/>
              <w:left w:val="nil"/>
              <w:bottom w:val="nil"/>
              <w:right w:val="nil"/>
            </w:tcBorders>
            <w:shd w:val="clear" w:color="auto" w:fill="auto"/>
            <w:noWrap/>
            <w:vAlign w:val="center"/>
            <w:hideMark/>
          </w:tcPr>
          <w:p w14:paraId="705F79D0"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451" w:type="dxa"/>
            <w:tcBorders>
              <w:top w:val="nil"/>
              <w:left w:val="nil"/>
              <w:bottom w:val="nil"/>
              <w:right w:val="nil"/>
            </w:tcBorders>
            <w:shd w:val="clear" w:color="auto" w:fill="auto"/>
            <w:noWrap/>
            <w:vAlign w:val="center"/>
            <w:hideMark/>
          </w:tcPr>
          <w:p w14:paraId="19D11740"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7470" w:type="dxa"/>
            <w:tcBorders>
              <w:top w:val="nil"/>
              <w:left w:val="nil"/>
              <w:bottom w:val="nil"/>
              <w:right w:val="nil"/>
            </w:tcBorders>
            <w:shd w:val="clear" w:color="auto" w:fill="auto"/>
            <w:vAlign w:val="center"/>
            <w:hideMark/>
          </w:tcPr>
          <w:p w14:paraId="0575C14E"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Donald Trump is an amalgamation of two kinds of celebrity politicians: superstar political celebrity (one-way communication, stage events, strong and decisive, special, unique) and everyday political celebrity (two-way communication, gaffes, ordinary, anti-establishment). Trump’s new kind of celebrity politician brand is termed ‘superhero anti-politician celebrity’. This kind sees the problem, knows how to solve it, has god-gifted abilities to solve the problem, solves the problem, and breaks the rules.</w:t>
            </w:r>
          </w:p>
        </w:tc>
      </w:tr>
      <w:tr w:rsidR="00996AE0" w:rsidRPr="00996AE0" w14:paraId="63BD97FB" w14:textId="77777777" w:rsidTr="009156CF">
        <w:trPr>
          <w:trHeight w:val="960"/>
        </w:trPr>
        <w:tc>
          <w:tcPr>
            <w:tcW w:w="1497" w:type="dxa"/>
            <w:tcBorders>
              <w:top w:val="nil"/>
              <w:left w:val="nil"/>
              <w:bottom w:val="nil"/>
              <w:right w:val="nil"/>
            </w:tcBorders>
            <w:shd w:val="clear" w:color="auto" w:fill="auto"/>
            <w:noWrap/>
            <w:vAlign w:val="center"/>
            <w:hideMark/>
          </w:tcPr>
          <w:p w14:paraId="478C35AD" w14:textId="77777777" w:rsidR="00996AE0" w:rsidRPr="00996AE0" w:rsidRDefault="00996AE0" w:rsidP="009156CF">
            <w:pPr>
              <w:rPr>
                <w:rFonts w:ascii="Times New Roman" w:eastAsia="Times New Roman" w:hAnsi="Times New Roman" w:cs="Times New Roman"/>
                <w:b/>
                <w:bCs/>
                <w:color w:val="000000"/>
                <w:sz w:val="15"/>
                <w:szCs w:val="15"/>
              </w:rPr>
            </w:pPr>
            <w:r w:rsidRPr="00996AE0">
              <w:rPr>
                <w:rFonts w:ascii="Times New Roman" w:eastAsia="Times New Roman" w:hAnsi="Times New Roman" w:cs="Times New Roman"/>
                <w:b/>
                <w:bCs/>
                <w:color w:val="000000" w:themeColor="text1"/>
                <w:sz w:val="15"/>
                <w:szCs w:val="15"/>
                <w:lang w:val="en-US"/>
              </w:rPr>
              <w:t>Sherman et al., 2012</w:t>
            </w:r>
          </w:p>
        </w:tc>
        <w:tc>
          <w:tcPr>
            <w:tcW w:w="948" w:type="dxa"/>
            <w:tcBorders>
              <w:top w:val="nil"/>
              <w:left w:val="nil"/>
              <w:bottom w:val="nil"/>
              <w:right w:val="nil"/>
            </w:tcBorders>
            <w:shd w:val="clear" w:color="auto" w:fill="auto"/>
            <w:noWrap/>
            <w:vAlign w:val="center"/>
            <w:hideMark/>
          </w:tcPr>
          <w:p w14:paraId="68F412D9"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2012</w:t>
            </w:r>
          </w:p>
        </w:tc>
        <w:tc>
          <w:tcPr>
            <w:tcW w:w="1939" w:type="dxa"/>
            <w:tcBorders>
              <w:top w:val="nil"/>
              <w:left w:val="nil"/>
              <w:bottom w:val="nil"/>
              <w:right w:val="nil"/>
            </w:tcBorders>
            <w:shd w:val="clear" w:color="auto" w:fill="auto"/>
            <w:noWrap/>
            <w:vAlign w:val="center"/>
            <w:hideMark/>
          </w:tcPr>
          <w:p w14:paraId="76840956"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USA</w:t>
            </w:r>
          </w:p>
        </w:tc>
        <w:tc>
          <w:tcPr>
            <w:tcW w:w="1180" w:type="dxa"/>
            <w:tcBorders>
              <w:top w:val="nil"/>
              <w:left w:val="nil"/>
              <w:bottom w:val="nil"/>
              <w:right w:val="nil"/>
            </w:tcBorders>
            <w:shd w:val="clear" w:color="auto" w:fill="auto"/>
            <w:noWrap/>
            <w:vAlign w:val="center"/>
            <w:hideMark/>
          </w:tcPr>
          <w:p w14:paraId="426727C5"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2008</w:t>
            </w:r>
          </w:p>
        </w:tc>
        <w:tc>
          <w:tcPr>
            <w:tcW w:w="939" w:type="dxa"/>
            <w:tcBorders>
              <w:top w:val="nil"/>
              <w:left w:val="nil"/>
              <w:bottom w:val="nil"/>
              <w:right w:val="nil"/>
            </w:tcBorders>
            <w:shd w:val="clear" w:color="auto" w:fill="auto"/>
            <w:noWrap/>
            <w:vAlign w:val="center"/>
            <w:hideMark/>
          </w:tcPr>
          <w:p w14:paraId="0A6D9067"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N/A</w:t>
            </w:r>
          </w:p>
        </w:tc>
        <w:tc>
          <w:tcPr>
            <w:tcW w:w="1672" w:type="dxa"/>
            <w:tcBorders>
              <w:top w:val="nil"/>
              <w:left w:val="nil"/>
              <w:bottom w:val="nil"/>
              <w:right w:val="nil"/>
            </w:tcBorders>
            <w:shd w:val="clear" w:color="auto" w:fill="auto"/>
            <w:noWrap/>
            <w:vAlign w:val="center"/>
            <w:hideMark/>
          </w:tcPr>
          <w:p w14:paraId="28497F1C"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Presidential politics</w:t>
            </w:r>
          </w:p>
        </w:tc>
        <w:tc>
          <w:tcPr>
            <w:tcW w:w="934" w:type="dxa"/>
            <w:tcBorders>
              <w:top w:val="nil"/>
              <w:left w:val="nil"/>
              <w:bottom w:val="nil"/>
              <w:right w:val="nil"/>
            </w:tcBorders>
            <w:shd w:val="clear" w:color="auto" w:fill="auto"/>
            <w:noWrap/>
            <w:vAlign w:val="center"/>
            <w:hideMark/>
          </w:tcPr>
          <w:p w14:paraId="269E17C9"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General</w:t>
            </w:r>
          </w:p>
        </w:tc>
        <w:tc>
          <w:tcPr>
            <w:tcW w:w="2004" w:type="dxa"/>
            <w:tcBorders>
              <w:top w:val="nil"/>
              <w:left w:val="nil"/>
              <w:bottom w:val="nil"/>
              <w:right w:val="nil"/>
            </w:tcBorders>
            <w:shd w:val="clear" w:color="auto" w:fill="auto"/>
            <w:noWrap/>
            <w:vAlign w:val="center"/>
            <w:hideMark/>
          </w:tcPr>
          <w:p w14:paraId="1A033FDB"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Young voters, trust in social media</w:t>
            </w:r>
          </w:p>
        </w:tc>
        <w:tc>
          <w:tcPr>
            <w:tcW w:w="1342" w:type="dxa"/>
            <w:tcBorders>
              <w:top w:val="nil"/>
              <w:left w:val="nil"/>
              <w:bottom w:val="nil"/>
              <w:right w:val="nil"/>
            </w:tcBorders>
            <w:shd w:val="clear" w:color="auto" w:fill="auto"/>
            <w:noWrap/>
            <w:vAlign w:val="center"/>
            <w:hideMark/>
          </w:tcPr>
          <w:p w14:paraId="09B57321"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1613" w:type="dxa"/>
            <w:tcBorders>
              <w:top w:val="nil"/>
              <w:left w:val="nil"/>
              <w:bottom w:val="nil"/>
              <w:right w:val="nil"/>
            </w:tcBorders>
            <w:shd w:val="clear" w:color="auto" w:fill="auto"/>
            <w:noWrap/>
            <w:vAlign w:val="center"/>
            <w:hideMark/>
          </w:tcPr>
          <w:p w14:paraId="110E5FCE"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Survey</w:t>
            </w:r>
          </w:p>
        </w:tc>
        <w:tc>
          <w:tcPr>
            <w:tcW w:w="1482" w:type="dxa"/>
            <w:tcBorders>
              <w:top w:val="nil"/>
              <w:left w:val="nil"/>
              <w:bottom w:val="nil"/>
              <w:right w:val="nil"/>
            </w:tcBorders>
            <w:shd w:val="clear" w:color="auto" w:fill="auto"/>
            <w:noWrap/>
            <w:vAlign w:val="center"/>
            <w:hideMark/>
          </w:tcPr>
          <w:p w14:paraId="6F7E18C1"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Young voters</w:t>
            </w:r>
          </w:p>
        </w:tc>
        <w:tc>
          <w:tcPr>
            <w:tcW w:w="1009" w:type="dxa"/>
            <w:tcBorders>
              <w:top w:val="nil"/>
              <w:left w:val="nil"/>
              <w:bottom w:val="nil"/>
              <w:right w:val="nil"/>
            </w:tcBorders>
            <w:shd w:val="clear" w:color="auto" w:fill="auto"/>
            <w:noWrap/>
            <w:vAlign w:val="center"/>
            <w:hideMark/>
          </w:tcPr>
          <w:p w14:paraId="5388A9C9"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451" w:type="dxa"/>
            <w:tcBorders>
              <w:top w:val="nil"/>
              <w:left w:val="nil"/>
              <w:bottom w:val="nil"/>
              <w:right w:val="nil"/>
            </w:tcBorders>
            <w:shd w:val="clear" w:color="auto" w:fill="auto"/>
            <w:noWrap/>
            <w:vAlign w:val="center"/>
            <w:hideMark/>
          </w:tcPr>
          <w:p w14:paraId="3CE65FA8"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7470" w:type="dxa"/>
            <w:tcBorders>
              <w:top w:val="nil"/>
              <w:left w:val="nil"/>
              <w:bottom w:val="nil"/>
              <w:right w:val="nil"/>
            </w:tcBorders>
            <w:shd w:val="clear" w:color="auto" w:fill="auto"/>
            <w:vAlign w:val="center"/>
            <w:hideMark/>
          </w:tcPr>
          <w:p w14:paraId="6CF08F7D"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Young voters’ trust in politicians ranged between negative and neutral. Social networking sites were not considered reliable sources of information. Information from immediate family, friends, press, television, politicians’ websites, etc., was considered more trustworthy compared to SNS. Hierarchy of trusted sources of voting influence was (high to low): intimate sources, traditional media, political sources, new media sources.</w:t>
            </w:r>
          </w:p>
        </w:tc>
      </w:tr>
      <w:tr w:rsidR="00996AE0" w:rsidRPr="00996AE0" w14:paraId="30A9CA28" w14:textId="77777777" w:rsidTr="009156CF">
        <w:trPr>
          <w:trHeight w:val="1440"/>
        </w:trPr>
        <w:tc>
          <w:tcPr>
            <w:tcW w:w="1497" w:type="dxa"/>
            <w:tcBorders>
              <w:top w:val="nil"/>
              <w:left w:val="nil"/>
              <w:bottom w:val="nil"/>
              <w:right w:val="nil"/>
            </w:tcBorders>
            <w:shd w:val="clear" w:color="auto" w:fill="auto"/>
            <w:noWrap/>
            <w:vAlign w:val="center"/>
            <w:hideMark/>
          </w:tcPr>
          <w:p w14:paraId="7B7C75D6" w14:textId="77777777" w:rsidR="00996AE0" w:rsidRPr="00996AE0" w:rsidRDefault="00996AE0" w:rsidP="009156CF">
            <w:pPr>
              <w:rPr>
                <w:rFonts w:ascii="Times New Roman" w:eastAsia="Times New Roman" w:hAnsi="Times New Roman" w:cs="Times New Roman"/>
                <w:b/>
                <w:bCs/>
                <w:color w:val="000000"/>
                <w:sz w:val="15"/>
                <w:szCs w:val="15"/>
              </w:rPr>
            </w:pPr>
            <w:r w:rsidRPr="00996AE0">
              <w:rPr>
                <w:rFonts w:ascii="Times New Roman" w:eastAsia="Times New Roman" w:hAnsi="Times New Roman" w:cs="Times New Roman"/>
                <w:b/>
                <w:bCs/>
                <w:color w:val="000000" w:themeColor="text1"/>
                <w:sz w:val="15"/>
                <w:szCs w:val="15"/>
                <w:lang w:val="en-US"/>
              </w:rPr>
              <w:t>Shmargad, 2018</w:t>
            </w:r>
          </w:p>
        </w:tc>
        <w:tc>
          <w:tcPr>
            <w:tcW w:w="948" w:type="dxa"/>
            <w:tcBorders>
              <w:top w:val="nil"/>
              <w:left w:val="nil"/>
              <w:bottom w:val="nil"/>
              <w:right w:val="nil"/>
            </w:tcBorders>
            <w:shd w:val="clear" w:color="auto" w:fill="auto"/>
            <w:noWrap/>
            <w:vAlign w:val="center"/>
            <w:hideMark/>
          </w:tcPr>
          <w:p w14:paraId="70C18408"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2018</w:t>
            </w:r>
          </w:p>
        </w:tc>
        <w:tc>
          <w:tcPr>
            <w:tcW w:w="1939" w:type="dxa"/>
            <w:tcBorders>
              <w:top w:val="nil"/>
              <w:left w:val="nil"/>
              <w:bottom w:val="nil"/>
              <w:right w:val="nil"/>
            </w:tcBorders>
            <w:shd w:val="clear" w:color="auto" w:fill="auto"/>
            <w:noWrap/>
            <w:vAlign w:val="center"/>
            <w:hideMark/>
          </w:tcPr>
          <w:p w14:paraId="4AF31952"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USA</w:t>
            </w:r>
          </w:p>
        </w:tc>
        <w:tc>
          <w:tcPr>
            <w:tcW w:w="1180" w:type="dxa"/>
            <w:tcBorders>
              <w:top w:val="nil"/>
              <w:left w:val="nil"/>
              <w:bottom w:val="nil"/>
              <w:right w:val="nil"/>
            </w:tcBorders>
            <w:shd w:val="clear" w:color="auto" w:fill="auto"/>
            <w:noWrap/>
            <w:vAlign w:val="center"/>
            <w:hideMark/>
          </w:tcPr>
          <w:p w14:paraId="6B1F46B6"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2016</w:t>
            </w:r>
          </w:p>
        </w:tc>
        <w:tc>
          <w:tcPr>
            <w:tcW w:w="939" w:type="dxa"/>
            <w:tcBorders>
              <w:top w:val="nil"/>
              <w:left w:val="nil"/>
              <w:bottom w:val="nil"/>
              <w:right w:val="nil"/>
            </w:tcBorders>
            <w:shd w:val="clear" w:color="auto" w:fill="auto"/>
            <w:noWrap/>
            <w:vAlign w:val="center"/>
            <w:hideMark/>
          </w:tcPr>
          <w:p w14:paraId="29E8B1D9"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Candidate</w:t>
            </w:r>
          </w:p>
        </w:tc>
        <w:tc>
          <w:tcPr>
            <w:tcW w:w="1672" w:type="dxa"/>
            <w:tcBorders>
              <w:top w:val="nil"/>
              <w:left w:val="nil"/>
              <w:bottom w:val="nil"/>
              <w:right w:val="nil"/>
            </w:tcBorders>
            <w:shd w:val="clear" w:color="auto" w:fill="auto"/>
            <w:noWrap/>
            <w:vAlign w:val="center"/>
            <w:hideMark/>
          </w:tcPr>
          <w:p w14:paraId="5EFBA3E0"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US Congress (Senate, Congress)</w:t>
            </w:r>
          </w:p>
        </w:tc>
        <w:tc>
          <w:tcPr>
            <w:tcW w:w="934" w:type="dxa"/>
            <w:tcBorders>
              <w:top w:val="nil"/>
              <w:left w:val="nil"/>
              <w:bottom w:val="nil"/>
              <w:right w:val="nil"/>
            </w:tcBorders>
            <w:shd w:val="clear" w:color="auto" w:fill="auto"/>
            <w:noWrap/>
            <w:vAlign w:val="center"/>
            <w:hideMark/>
          </w:tcPr>
          <w:p w14:paraId="76CAC49A"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Twitter</w:t>
            </w:r>
          </w:p>
        </w:tc>
        <w:tc>
          <w:tcPr>
            <w:tcW w:w="2004" w:type="dxa"/>
            <w:tcBorders>
              <w:top w:val="nil"/>
              <w:left w:val="nil"/>
              <w:bottom w:val="nil"/>
              <w:right w:val="nil"/>
            </w:tcBorders>
            <w:shd w:val="clear" w:color="auto" w:fill="auto"/>
            <w:noWrap/>
            <w:vAlign w:val="center"/>
            <w:hideMark/>
          </w:tcPr>
          <w:p w14:paraId="5BE54E4A"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Influencer politics</w:t>
            </w:r>
          </w:p>
        </w:tc>
        <w:tc>
          <w:tcPr>
            <w:tcW w:w="1342" w:type="dxa"/>
            <w:tcBorders>
              <w:top w:val="nil"/>
              <w:left w:val="nil"/>
              <w:bottom w:val="nil"/>
              <w:right w:val="nil"/>
            </w:tcBorders>
            <w:shd w:val="clear" w:color="auto" w:fill="auto"/>
            <w:noWrap/>
            <w:vAlign w:val="center"/>
            <w:hideMark/>
          </w:tcPr>
          <w:p w14:paraId="06F960F3"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1613" w:type="dxa"/>
            <w:tcBorders>
              <w:top w:val="nil"/>
              <w:left w:val="nil"/>
              <w:bottom w:val="nil"/>
              <w:right w:val="nil"/>
            </w:tcBorders>
            <w:shd w:val="clear" w:color="auto" w:fill="auto"/>
            <w:noWrap/>
            <w:vAlign w:val="center"/>
            <w:hideMark/>
          </w:tcPr>
          <w:p w14:paraId="28090B9E"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Content analysis and social network analysis</w:t>
            </w:r>
          </w:p>
        </w:tc>
        <w:tc>
          <w:tcPr>
            <w:tcW w:w="1482" w:type="dxa"/>
            <w:tcBorders>
              <w:top w:val="nil"/>
              <w:left w:val="nil"/>
              <w:bottom w:val="nil"/>
              <w:right w:val="nil"/>
            </w:tcBorders>
            <w:shd w:val="clear" w:color="auto" w:fill="auto"/>
            <w:noWrap/>
            <w:vAlign w:val="center"/>
            <w:hideMark/>
          </w:tcPr>
          <w:p w14:paraId="7E0F6EDB"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Congressional candidates and users who retweet them</w:t>
            </w:r>
          </w:p>
        </w:tc>
        <w:tc>
          <w:tcPr>
            <w:tcW w:w="1009" w:type="dxa"/>
            <w:tcBorders>
              <w:top w:val="nil"/>
              <w:left w:val="nil"/>
              <w:bottom w:val="nil"/>
              <w:right w:val="nil"/>
            </w:tcBorders>
            <w:shd w:val="clear" w:color="auto" w:fill="auto"/>
            <w:noWrap/>
            <w:vAlign w:val="center"/>
            <w:hideMark/>
          </w:tcPr>
          <w:p w14:paraId="311CCC2F"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451" w:type="dxa"/>
            <w:tcBorders>
              <w:top w:val="nil"/>
              <w:left w:val="nil"/>
              <w:bottom w:val="nil"/>
              <w:right w:val="nil"/>
            </w:tcBorders>
            <w:shd w:val="clear" w:color="auto" w:fill="auto"/>
            <w:noWrap/>
            <w:vAlign w:val="center"/>
            <w:hideMark/>
          </w:tcPr>
          <w:p w14:paraId="38D1EE08"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7470" w:type="dxa"/>
            <w:tcBorders>
              <w:top w:val="nil"/>
              <w:left w:val="nil"/>
              <w:bottom w:val="nil"/>
              <w:right w:val="nil"/>
            </w:tcBorders>
            <w:shd w:val="clear" w:color="auto" w:fill="auto"/>
            <w:vAlign w:val="center"/>
            <w:hideMark/>
          </w:tcPr>
          <w:p w14:paraId="68A58345"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Influential politicians are those that receive many retweets while politicized influencers are Twitter users who engage with politicians’ messages and receive many retweets themselves. Politicized influencers do not have any official role in the campaign (everyday makers). For richer candidates and incumbents, receiving many retweets is associated with higher vote percentages. For poorer candidates and challengers receiving retweets from highly retweeted users is associated with higher vote percentages. Better-off candidates should thus strive to be influential politicians, whereas worse-off candidates should aim to get engagement from politicized influencers.</w:t>
            </w:r>
          </w:p>
        </w:tc>
      </w:tr>
      <w:tr w:rsidR="00996AE0" w:rsidRPr="00996AE0" w14:paraId="4178B22C" w14:textId="77777777" w:rsidTr="009156CF">
        <w:trPr>
          <w:trHeight w:val="720"/>
        </w:trPr>
        <w:tc>
          <w:tcPr>
            <w:tcW w:w="1497" w:type="dxa"/>
            <w:tcBorders>
              <w:top w:val="nil"/>
              <w:left w:val="nil"/>
              <w:bottom w:val="nil"/>
              <w:right w:val="nil"/>
            </w:tcBorders>
            <w:shd w:val="clear" w:color="auto" w:fill="auto"/>
            <w:noWrap/>
            <w:vAlign w:val="center"/>
            <w:hideMark/>
          </w:tcPr>
          <w:p w14:paraId="7CBD1D12" w14:textId="77777777" w:rsidR="00996AE0" w:rsidRPr="00996AE0" w:rsidRDefault="00996AE0" w:rsidP="009156CF">
            <w:pPr>
              <w:rPr>
                <w:rFonts w:ascii="Times New Roman" w:eastAsia="Times New Roman" w:hAnsi="Times New Roman" w:cs="Times New Roman"/>
                <w:b/>
                <w:bCs/>
                <w:color w:val="000000"/>
                <w:sz w:val="15"/>
                <w:szCs w:val="15"/>
              </w:rPr>
            </w:pPr>
            <w:r w:rsidRPr="00996AE0">
              <w:rPr>
                <w:rFonts w:ascii="Times New Roman" w:eastAsia="Times New Roman" w:hAnsi="Times New Roman" w:cs="Times New Roman"/>
                <w:b/>
                <w:bCs/>
                <w:color w:val="000000" w:themeColor="text1"/>
                <w:sz w:val="15"/>
                <w:szCs w:val="15"/>
                <w:lang w:val="en-US"/>
              </w:rPr>
              <w:t>Temple, 2013</w:t>
            </w:r>
          </w:p>
        </w:tc>
        <w:tc>
          <w:tcPr>
            <w:tcW w:w="948" w:type="dxa"/>
            <w:tcBorders>
              <w:top w:val="nil"/>
              <w:left w:val="nil"/>
              <w:bottom w:val="nil"/>
              <w:right w:val="nil"/>
            </w:tcBorders>
            <w:shd w:val="clear" w:color="auto" w:fill="auto"/>
            <w:noWrap/>
            <w:vAlign w:val="center"/>
            <w:hideMark/>
          </w:tcPr>
          <w:p w14:paraId="7E1132BF"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2013</w:t>
            </w:r>
          </w:p>
        </w:tc>
        <w:tc>
          <w:tcPr>
            <w:tcW w:w="1939" w:type="dxa"/>
            <w:tcBorders>
              <w:top w:val="nil"/>
              <w:left w:val="nil"/>
              <w:bottom w:val="nil"/>
              <w:right w:val="nil"/>
            </w:tcBorders>
            <w:shd w:val="clear" w:color="auto" w:fill="auto"/>
            <w:noWrap/>
            <w:vAlign w:val="center"/>
            <w:hideMark/>
          </w:tcPr>
          <w:p w14:paraId="74D4C949"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UK</w:t>
            </w:r>
          </w:p>
        </w:tc>
        <w:tc>
          <w:tcPr>
            <w:tcW w:w="1180" w:type="dxa"/>
            <w:tcBorders>
              <w:top w:val="nil"/>
              <w:left w:val="nil"/>
              <w:bottom w:val="nil"/>
              <w:right w:val="nil"/>
            </w:tcBorders>
            <w:shd w:val="clear" w:color="auto" w:fill="auto"/>
            <w:noWrap/>
            <w:vAlign w:val="center"/>
            <w:hideMark/>
          </w:tcPr>
          <w:p w14:paraId="223AF81F"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2010</w:t>
            </w:r>
          </w:p>
        </w:tc>
        <w:tc>
          <w:tcPr>
            <w:tcW w:w="939" w:type="dxa"/>
            <w:tcBorders>
              <w:top w:val="nil"/>
              <w:left w:val="nil"/>
              <w:bottom w:val="nil"/>
              <w:right w:val="nil"/>
            </w:tcBorders>
            <w:shd w:val="clear" w:color="auto" w:fill="auto"/>
            <w:noWrap/>
            <w:vAlign w:val="center"/>
            <w:hideMark/>
          </w:tcPr>
          <w:p w14:paraId="4B4D87D1"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Candidate and party</w:t>
            </w:r>
          </w:p>
        </w:tc>
        <w:tc>
          <w:tcPr>
            <w:tcW w:w="1672" w:type="dxa"/>
            <w:tcBorders>
              <w:top w:val="nil"/>
              <w:left w:val="nil"/>
              <w:bottom w:val="nil"/>
              <w:right w:val="nil"/>
            </w:tcBorders>
            <w:shd w:val="clear" w:color="auto" w:fill="auto"/>
            <w:noWrap/>
            <w:vAlign w:val="center"/>
            <w:hideMark/>
          </w:tcPr>
          <w:p w14:paraId="78602C7F"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National politics</w:t>
            </w:r>
          </w:p>
        </w:tc>
        <w:tc>
          <w:tcPr>
            <w:tcW w:w="934" w:type="dxa"/>
            <w:tcBorders>
              <w:top w:val="nil"/>
              <w:left w:val="nil"/>
              <w:bottom w:val="nil"/>
              <w:right w:val="nil"/>
            </w:tcBorders>
            <w:shd w:val="clear" w:color="auto" w:fill="auto"/>
            <w:noWrap/>
            <w:vAlign w:val="center"/>
            <w:hideMark/>
          </w:tcPr>
          <w:p w14:paraId="1C980098"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General</w:t>
            </w:r>
          </w:p>
        </w:tc>
        <w:tc>
          <w:tcPr>
            <w:tcW w:w="2004" w:type="dxa"/>
            <w:tcBorders>
              <w:top w:val="nil"/>
              <w:left w:val="nil"/>
              <w:bottom w:val="nil"/>
              <w:right w:val="nil"/>
            </w:tcBorders>
            <w:shd w:val="clear" w:color="auto" w:fill="auto"/>
            <w:noWrap/>
            <w:vAlign w:val="center"/>
            <w:hideMark/>
          </w:tcPr>
          <w:p w14:paraId="0E5B95D2"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UK General Election (2010)</w:t>
            </w:r>
          </w:p>
        </w:tc>
        <w:tc>
          <w:tcPr>
            <w:tcW w:w="1342" w:type="dxa"/>
            <w:tcBorders>
              <w:top w:val="nil"/>
              <w:left w:val="nil"/>
              <w:bottom w:val="nil"/>
              <w:right w:val="nil"/>
            </w:tcBorders>
            <w:shd w:val="clear" w:color="auto" w:fill="auto"/>
            <w:noWrap/>
            <w:vAlign w:val="center"/>
            <w:hideMark/>
          </w:tcPr>
          <w:p w14:paraId="6A8F6185"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1613" w:type="dxa"/>
            <w:tcBorders>
              <w:top w:val="nil"/>
              <w:left w:val="nil"/>
              <w:bottom w:val="nil"/>
              <w:right w:val="nil"/>
            </w:tcBorders>
            <w:shd w:val="clear" w:color="auto" w:fill="auto"/>
            <w:noWrap/>
            <w:vAlign w:val="center"/>
            <w:hideMark/>
          </w:tcPr>
          <w:p w14:paraId="199D090E"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Case-study</w:t>
            </w:r>
          </w:p>
        </w:tc>
        <w:tc>
          <w:tcPr>
            <w:tcW w:w="1482" w:type="dxa"/>
            <w:tcBorders>
              <w:top w:val="nil"/>
              <w:left w:val="nil"/>
              <w:bottom w:val="nil"/>
              <w:right w:val="nil"/>
            </w:tcBorders>
            <w:shd w:val="clear" w:color="auto" w:fill="auto"/>
            <w:noWrap/>
            <w:vAlign w:val="center"/>
            <w:hideMark/>
          </w:tcPr>
          <w:p w14:paraId="38711A7B"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Secondary data</w:t>
            </w:r>
          </w:p>
        </w:tc>
        <w:tc>
          <w:tcPr>
            <w:tcW w:w="1009" w:type="dxa"/>
            <w:tcBorders>
              <w:top w:val="nil"/>
              <w:left w:val="nil"/>
              <w:bottom w:val="nil"/>
              <w:right w:val="nil"/>
            </w:tcBorders>
            <w:shd w:val="clear" w:color="auto" w:fill="auto"/>
            <w:noWrap/>
            <w:vAlign w:val="center"/>
            <w:hideMark/>
          </w:tcPr>
          <w:p w14:paraId="6611A398"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451" w:type="dxa"/>
            <w:tcBorders>
              <w:top w:val="nil"/>
              <w:left w:val="nil"/>
              <w:bottom w:val="nil"/>
              <w:right w:val="nil"/>
            </w:tcBorders>
            <w:shd w:val="clear" w:color="auto" w:fill="auto"/>
            <w:noWrap/>
            <w:vAlign w:val="center"/>
            <w:hideMark/>
          </w:tcPr>
          <w:p w14:paraId="4DBDDFED"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7470" w:type="dxa"/>
            <w:tcBorders>
              <w:top w:val="nil"/>
              <w:left w:val="nil"/>
              <w:bottom w:val="nil"/>
              <w:right w:val="nil"/>
            </w:tcBorders>
            <w:shd w:val="clear" w:color="auto" w:fill="auto"/>
            <w:vAlign w:val="center"/>
            <w:hideMark/>
          </w:tcPr>
          <w:p w14:paraId="08445B8C"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The UK general election (2010) was not a social media affair. Politicians were not convicted in their social media use. The authors refer to social media as the dog that did not bark. Social media’s role was responsive like spoofing of slogans and posters.</w:t>
            </w:r>
          </w:p>
        </w:tc>
      </w:tr>
      <w:tr w:rsidR="00996AE0" w:rsidRPr="00996AE0" w14:paraId="4627FC4C" w14:textId="77777777" w:rsidTr="009156CF">
        <w:trPr>
          <w:trHeight w:val="1200"/>
        </w:trPr>
        <w:tc>
          <w:tcPr>
            <w:tcW w:w="1497" w:type="dxa"/>
            <w:tcBorders>
              <w:top w:val="nil"/>
              <w:left w:val="nil"/>
              <w:bottom w:val="nil"/>
              <w:right w:val="nil"/>
            </w:tcBorders>
            <w:shd w:val="clear" w:color="auto" w:fill="auto"/>
            <w:noWrap/>
            <w:vAlign w:val="center"/>
            <w:hideMark/>
          </w:tcPr>
          <w:p w14:paraId="4E58112F" w14:textId="77777777" w:rsidR="00996AE0" w:rsidRPr="00996AE0" w:rsidRDefault="00996AE0" w:rsidP="009156CF">
            <w:pPr>
              <w:rPr>
                <w:rFonts w:ascii="Times New Roman" w:eastAsia="Times New Roman" w:hAnsi="Times New Roman" w:cs="Times New Roman"/>
                <w:b/>
                <w:bCs/>
                <w:color w:val="000000"/>
                <w:sz w:val="15"/>
                <w:szCs w:val="15"/>
              </w:rPr>
            </w:pPr>
            <w:r w:rsidRPr="00996AE0">
              <w:rPr>
                <w:rFonts w:ascii="Times New Roman" w:eastAsia="Times New Roman" w:hAnsi="Times New Roman" w:cs="Times New Roman"/>
                <w:b/>
                <w:bCs/>
                <w:color w:val="000000" w:themeColor="text1"/>
                <w:sz w:val="15"/>
                <w:szCs w:val="15"/>
                <w:lang w:val="en-US"/>
              </w:rPr>
              <w:t>Towner &amp; Dulio, 2011</w:t>
            </w:r>
          </w:p>
        </w:tc>
        <w:tc>
          <w:tcPr>
            <w:tcW w:w="948" w:type="dxa"/>
            <w:tcBorders>
              <w:top w:val="nil"/>
              <w:left w:val="nil"/>
              <w:bottom w:val="nil"/>
              <w:right w:val="nil"/>
            </w:tcBorders>
            <w:shd w:val="clear" w:color="auto" w:fill="auto"/>
            <w:noWrap/>
            <w:vAlign w:val="center"/>
            <w:hideMark/>
          </w:tcPr>
          <w:p w14:paraId="239811B1"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2011</w:t>
            </w:r>
          </w:p>
        </w:tc>
        <w:tc>
          <w:tcPr>
            <w:tcW w:w="1939" w:type="dxa"/>
            <w:tcBorders>
              <w:top w:val="nil"/>
              <w:left w:val="nil"/>
              <w:bottom w:val="nil"/>
              <w:right w:val="nil"/>
            </w:tcBorders>
            <w:shd w:val="clear" w:color="auto" w:fill="auto"/>
            <w:noWrap/>
            <w:vAlign w:val="center"/>
            <w:hideMark/>
          </w:tcPr>
          <w:p w14:paraId="1BEB7012"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USA</w:t>
            </w:r>
          </w:p>
        </w:tc>
        <w:tc>
          <w:tcPr>
            <w:tcW w:w="1180" w:type="dxa"/>
            <w:tcBorders>
              <w:top w:val="nil"/>
              <w:left w:val="nil"/>
              <w:bottom w:val="nil"/>
              <w:right w:val="nil"/>
            </w:tcBorders>
            <w:shd w:val="clear" w:color="auto" w:fill="auto"/>
            <w:noWrap/>
            <w:vAlign w:val="center"/>
            <w:hideMark/>
          </w:tcPr>
          <w:p w14:paraId="323721EE"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2008</w:t>
            </w:r>
          </w:p>
        </w:tc>
        <w:tc>
          <w:tcPr>
            <w:tcW w:w="939" w:type="dxa"/>
            <w:tcBorders>
              <w:top w:val="nil"/>
              <w:left w:val="nil"/>
              <w:bottom w:val="nil"/>
              <w:right w:val="nil"/>
            </w:tcBorders>
            <w:shd w:val="clear" w:color="auto" w:fill="auto"/>
            <w:noWrap/>
            <w:vAlign w:val="center"/>
            <w:hideMark/>
          </w:tcPr>
          <w:p w14:paraId="081D7491"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Candidate</w:t>
            </w:r>
          </w:p>
        </w:tc>
        <w:tc>
          <w:tcPr>
            <w:tcW w:w="1672" w:type="dxa"/>
            <w:tcBorders>
              <w:top w:val="nil"/>
              <w:left w:val="nil"/>
              <w:bottom w:val="nil"/>
              <w:right w:val="nil"/>
            </w:tcBorders>
            <w:shd w:val="clear" w:color="auto" w:fill="auto"/>
            <w:noWrap/>
            <w:vAlign w:val="center"/>
            <w:hideMark/>
          </w:tcPr>
          <w:p w14:paraId="6D0D8EA1"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Presidential politics</w:t>
            </w:r>
          </w:p>
        </w:tc>
        <w:tc>
          <w:tcPr>
            <w:tcW w:w="934" w:type="dxa"/>
            <w:tcBorders>
              <w:top w:val="nil"/>
              <w:left w:val="nil"/>
              <w:bottom w:val="nil"/>
              <w:right w:val="nil"/>
            </w:tcBorders>
            <w:shd w:val="clear" w:color="auto" w:fill="auto"/>
            <w:noWrap/>
            <w:vAlign w:val="center"/>
            <w:hideMark/>
          </w:tcPr>
          <w:p w14:paraId="3C2599EB"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YouTube and Facebook</w:t>
            </w:r>
          </w:p>
        </w:tc>
        <w:tc>
          <w:tcPr>
            <w:tcW w:w="2004" w:type="dxa"/>
            <w:tcBorders>
              <w:top w:val="nil"/>
              <w:left w:val="nil"/>
              <w:bottom w:val="nil"/>
              <w:right w:val="nil"/>
            </w:tcBorders>
            <w:shd w:val="clear" w:color="auto" w:fill="auto"/>
            <w:noWrap/>
            <w:vAlign w:val="center"/>
            <w:hideMark/>
          </w:tcPr>
          <w:p w14:paraId="098EA7B6"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Web 2.0 and politics</w:t>
            </w:r>
          </w:p>
        </w:tc>
        <w:tc>
          <w:tcPr>
            <w:tcW w:w="1342" w:type="dxa"/>
            <w:tcBorders>
              <w:top w:val="nil"/>
              <w:left w:val="nil"/>
              <w:bottom w:val="nil"/>
              <w:right w:val="nil"/>
            </w:tcBorders>
            <w:shd w:val="clear" w:color="auto" w:fill="auto"/>
            <w:noWrap/>
            <w:vAlign w:val="center"/>
            <w:hideMark/>
          </w:tcPr>
          <w:p w14:paraId="40C4B4B4"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1613" w:type="dxa"/>
            <w:tcBorders>
              <w:top w:val="nil"/>
              <w:left w:val="nil"/>
              <w:bottom w:val="nil"/>
              <w:right w:val="nil"/>
            </w:tcBorders>
            <w:shd w:val="clear" w:color="auto" w:fill="auto"/>
            <w:noWrap/>
            <w:vAlign w:val="center"/>
            <w:hideMark/>
          </w:tcPr>
          <w:p w14:paraId="55553116"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Experiment</w:t>
            </w:r>
          </w:p>
        </w:tc>
        <w:tc>
          <w:tcPr>
            <w:tcW w:w="1482" w:type="dxa"/>
            <w:tcBorders>
              <w:top w:val="nil"/>
              <w:left w:val="nil"/>
              <w:bottom w:val="nil"/>
              <w:right w:val="nil"/>
            </w:tcBorders>
            <w:shd w:val="clear" w:color="auto" w:fill="auto"/>
            <w:noWrap/>
            <w:vAlign w:val="center"/>
            <w:hideMark/>
          </w:tcPr>
          <w:p w14:paraId="4048EEB6"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Young voters</w:t>
            </w:r>
          </w:p>
        </w:tc>
        <w:tc>
          <w:tcPr>
            <w:tcW w:w="1009" w:type="dxa"/>
            <w:tcBorders>
              <w:top w:val="nil"/>
              <w:left w:val="nil"/>
              <w:bottom w:val="nil"/>
              <w:right w:val="nil"/>
            </w:tcBorders>
            <w:shd w:val="clear" w:color="auto" w:fill="auto"/>
            <w:noWrap/>
            <w:vAlign w:val="center"/>
            <w:hideMark/>
          </w:tcPr>
          <w:p w14:paraId="48FA8E2A"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451" w:type="dxa"/>
            <w:tcBorders>
              <w:top w:val="nil"/>
              <w:left w:val="nil"/>
              <w:bottom w:val="nil"/>
              <w:right w:val="nil"/>
            </w:tcBorders>
            <w:shd w:val="clear" w:color="auto" w:fill="auto"/>
            <w:noWrap/>
            <w:vAlign w:val="center"/>
            <w:hideMark/>
          </w:tcPr>
          <w:p w14:paraId="4F2CB720"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7470" w:type="dxa"/>
            <w:tcBorders>
              <w:top w:val="nil"/>
              <w:left w:val="nil"/>
              <w:bottom w:val="nil"/>
              <w:right w:val="nil"/>
            </w:tcBorders>
            <w:shd w:val="clear" w:color="auto" w:fill="auto"/>
            <w:vAlign w:val="center"/>
            <w:hideMark/>
          </w:tcPr>
          <w:p w14:paraId="017A269D"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 xml:space="preserve">The viewers of online videos, on the YouTube channel YouChoose 2008, had low trust in government. The use of ABC News’ politics page was linked to greater trust in internet sources and higher perceived performance of internet sources in regard to political coverage. Facebook use was linked to political efficacy. The use of candidates’ websites led to a higher perceived performance of internet sources in regard to political coverage. The study demonstrates that different technologies, falling under the web 2.0 umbrella, have distinct effects. </w:t>
            </w:r>
          </w:p>
        </w:tc>
      </w:tr>
      <w:tr w:rsidR="00996AE0" w:rsidRPr="00996AE0" w14:paraId="0A3E2B7C" w14:textId="77777777" w:rsidTr="009156CF">
        <w:trPr>
          <w:trHeight w:val="480"/>
        </w:trPr>
        <w:tc>
          <w:tcPr>
            <w:tcW w:w="1497" w:type="dxa"/>
            <w:tcBorders>
              <w:top w:val="nil"/>
              <w:left w:val="nil"/>
              <w:bottom w:val="nil"/>
              <w:right w:val="nil"/>
            </w:tcBorders>
            <w:shd w:val="clear" w:color="auto" w:fill="auto"/>
            <w:noWrap/>
            <w:vAlign w:val="center"/>
            <w:hideMark/>
          </w:tcPr>
          <w:p w14:paraId="0706D059" w14:textId="77777777" w:rsidR="00996AE0" w:rsidRPr="00996AE0" w:rsidRDefault="00996AE0" w:rsidP="009156CF">
            <w:pPr>
              <w:rPr>
                <w:rFonts w:ascii="Times New Roman" w:eastAsia="Times New Roman" w:hAnsi="Times New Roman" w:cs="Times New Roman"/>
                <w:b/>
                <w:bCs/>
                <w:color w:val="000000"/>
                <w:sz w:val="15"/>
                <w:szCs w:val="15"/>
              </w:rPr>
            </w:pPr>
            <w:r w:rsidRPr="00996AE0">
              <w:rPr>
                <w:rFonts w:ascii="Times New Roman" w:eastAsia="Times New Roman" w:hAnsi="Times New Roman" w:cs="Times New Roman"/>
                <w:b/>
                <w:bCs/>
                <w:color w:val="000000" w:themeColor="text1"/>
                <w:sz w:val="15"/>
                <w:szCs w:val="15"/>
                <w:lang w:val="en-US"/>
              </w:rPr>
              <w:t>Towner &amp; Dulio, 2012</w:t>
            </w:r>
          </w:p>
        </w:tc>
        <w:tc>
          <w:tcPr>
            <w:tcW w:w="948" w:type="dxa"/>
            <w:tcBorders>
              <w:top w:val="nil"/>
              <w:left w:val="nil"/>
              <w:bottom w:val="nil"/>
              <w:right w:val="nil"/>
            </w:tcBorders>
            <w:shd w:val="clear" w:color="auto" w:fill="auto"/>
            <w:noWrap/>
            <w:vAlign w:val="center"/>
            <w:hideMark/>
          </w:tcPr>
          <w:p w14:paraId="2B739204"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2012</w:t>
            </w:r>
          </w:p>
        </w:tc>
        <w:tc>
          <w:tcPr>
            <w:tcW w:w="1939" w:type="dxa"/>
            <w:tcBorders>
              <w:top w:val="nil"/>
              <w:left w:val="nil"/>
              <w:bottom w:val="nil"/>
              <w:right w:val="nil"/>
            </w:tcBorders>
            <w:shd w:val="clear" w:color="auto" w:fill="auto"/>
            <w:noWrap/>
            <w:vAlign w:val="center"/>
            <w:hideMark/>
          </w:tcPr>
          <w:p w14:paraId="0BB57953"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USA</w:t>
            </w:r>
          </w:p>
        </w:tc>
        <w:tc>
          <w:tcPr>
            <w:tcW w:w="1180" w:type="dxa"/>
            <w:tcBorders>
              <w:top w:val="nil"/>
              <w:left w:val="nil"/>
              <w:bottom w:val="nil"/>
              <w:right w:val="nil"/>
            </w:tcBorders>
            <w:shd w:val="clear" w:color="auto" w:fill="auto"/>
            <w:noWrap/>
            <w:vAlign w:val="center"/>
            <w:hideMark/>
          </w:tcPr>
          <w:p w14:paraId="4BFC1EC6"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2008/2012</w:t>
            </w:r>
          </w:p>
        </w:tc>
        <w:tc>
          <w:tcPr>
            <w:tcW w:w="939" w:type="dxa"/>
            <w:tcBorders>
              <w:top w:val="nil"/>
              <w:left w:val="nil"/>
              <w:bottom w:val="nil"/>
              <w:right w:val="nil"/>
            </w:tcBorders>
            <w:shd w:val="clear" w:color="auto" w:fill="auto"/>
            <w:noWrap/>
            <w:vAlign w:val="center"/>
            <w:hideMark/>
          </w:tcPr>
          <w:p w14:paraId="22355F8F"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Candidate</w:t>
            </w:r>
          </w:p>
        </w:tc>
        <w:tc>
          <w:tcPr>
            <w:tcW w:w="1672" w:type="dxa"/>
            <w:tcBorders>
              <w:top w:val="nil"/>
              <w:left w:val="nil"/>
              <w:bottom w:val="nil"/>
              <w:right w:val="nil"/>
            </w:tcBorders>
            <w:shd w:val="clear" w:color="auto" w:fill="auto"/>
            <w:noWrap/>
            <w:vAlign w:val="center"/>
            <w:hideMark/>
          </w:tcPr>
          <w:p w14:paraId="749FAB51"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Presidential politics</w:t>
            </w:r>
          </w:p>
        </w:tc>
        <w:tc>
          <w:tcPr>
            <w:tcW w:w="934" w:type="dxa"/>
            <w:tcBorders>
              <w:top w:val="nil"/>
              <w:left w:val="nil"/>
              <w:bottom w:val="nil"/>
              <w:right w:val="nil"/>
            </w:tcBorders>
            <w:shd w:val="clear" w:color="auto" w:fill="auto"/>
            <w:noWrap/>
            <w:vAlign w:val="center"/>
            <w:hideMark/>
          </w:tcPr>
          <w:p w14:paraId="2C7C2F60"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General</w:t>
            </w:r>
          </w:p>
        </w:tc>
        <w:tc>
          <w:tcPr>
            <w:tcW w:w="2004" w:type="dxa"/>
            <w:tcBorders>
              <w:top w:val="nil"/>
              <w:left w:val="nil"/>
              <w:bottom w:val="nil"/>
              <w:right w:val="nil"/>
            </w:tcBorders>
            <w:shd w:val="clear" w:color="auto" w:fill="auto"/>
            <w:noWrap/>
            <w:vAlign w:val="center"/>
            <w:hideMark/>
          </w:tcPr>
          <w:p w14:paraId="33322D8C"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New media effect, Obama campaign</w:t>
            </w:r>
          </w:p>
        </w:tc>
        <w:tc>
          <w:tcPr>
            <w:tcW w:w="1342" w:type="dxa"/>
            <w:tcBorders>
              <w:top w:val="nil"/>
              <w:left w:val="nil"/>
              <w:bottom w:val="nil"/>
              <w:right w:val="nil"/>
            </w:tcBorders>
            <w:shd w:val="clear" w:color="auto" w:fill="auto"/>
            <w:noWrap/>
            <w:vAlign w:val="center"/>
            <w:hideMark/>
          </w:tcPr>
          <w:p w14:paraId="270A2C20"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1613" w:type="dxa"/>
            <w:tcBorders>
              <w:top w:val="nil"/>
              <w:left w:val="nil"/>
              <w:bottom w:val="nil"/>
              <w:right w:val="nil"/>
            </w:tcBorders>
            <w:shd w:val="clear" w:color="auto" w:fill="auto"/>
            <w:noWrap/>
            <w:vAlign w:val="center"/>
            <w:hideMark/>
          </w:tcPr>
          <w:p w14:paraId="4C4BA06A"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Case study, viewpoint</w:t>
            </w:r>
          </w:p>
        </w:tc>
        <w:tc>
          <w:tcPr>
            <w:tcW w:w="1482" w:type="dxa"/>
            <w:tcBorders>
              <w:top w:val="nil"/>
              <w:left w:val="nil"/>
              <w:bottom w:val="nil"/>
              <w:right w:val="nil"/>
            </w:tcBorders>
            <w:shd w:val="clear" w:color="auto" w:fill="auto"/>
            <w:noWrap/>
            <w:vAlign w:val="center"/>
            <w:hideMark/>
          </w:tcPr>
          <w:p w14:paraId="0C55E5B7"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Secondary data</w:t>
            </w:r>
          </w:p>
        </w:tc>
        <w:tc>
          <w:tcPr>
            <w:tcW w:w="1009" w:type="dxa"/>
            <w:tcBorders>
              <w:top w:val="nil"/>
              <w:left w:val="nil"/>
              <w:bottom w:val="nil"/>
              <w:right w:val="nil"/>
            </w:tcBorders>
            <w:shd w:val="clear" w:color="auto" w:fill="auto"/>
            <w:noWrap/>
            <w:vAlign w:val="center"/>
            <w:hideMark/>
          </w:tcPr>
          <w:p w14:paraId="565A63D6"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451" w:type="dxa"/>
            <w:tcBorders>
              <w:top w:val="nil"/>
              <w:left w:val="nil"/>
              <w:bottom w:val="nil"/>
              <w:right w:val="nil"/>
            </w:tcBorders>
            <w:shd w:val="clear" w:color="auto" w:fill="auto"/>
            <w:noWrap/>
            <w:vAlign w:val="center"/>
            <w:hideMark/>
          </w:tcPr>
          <w:p w14:paraId="64B4F815"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7470" w:type="dxa"/>
            <w:tcBorders>
              <w:top w:val="nil"/>
              <w:left w:val="nil"/>
              <w:bottom w:val="nil"/>
              <w:right w:val="nil"/>
            </w:tcBorders>
            <w:shd w:val="clear" w:color="auto" w:fill="auto"/>
            <w:vAlign w:val="center"/>
            <w:hideMark/>
          </w:tcPr>
          <w:p w14:paraId="0D9E3AB0"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 xml:space="preserve">The study highlights the Obama campaign’s focus and success on new media. It predicts how new media, mobile marketing, SMS, etc., will interact with politics. It forecasts greater personalization. </w:t>
            </w:r>
          </w:p>
        </w:tc>
      </w:tr>
      <w:tr w:rsidR="00996AE0" w:rsidRPr="00996AE0" w14:paraId="2C18EB44" w14:textId="77777777" w:rsidTr="009156CF">
        <w:trPr>
          <w:trHeight w:val="1200"/>
        </w:trPr>
        <w:tc>
          <w:tcPr>
            <w:tcW w:w="1497" w:type="dxa"/>
            <w:tcBorders>
              <w:top w:val="nil"/>
              <w:left w:val="nil"/>
              <w:bottom w:val="nil"/>
              <w:right w:val="nil"/>
            </w:tcBorders>
            <w:shd w:val="clear" w:color="auto" w:fill="auto"/>
            <w:noWrap/>
            <w:vAlign w:val="center"/>
            <w:hideMark/>
          </w:tcPr>
          <w:p w14:paraId="0E16FAB5" w14:textId="77777777" w:rsidR="00996AE0" w:rsidRPr="00996AE0" w:rsidRDefault="00996AE0" w:rsidP="009156CF">
            <w:pPr>
              <w:rPr>
                <w:rFonts w:ascii="Times New Roman" w:eastAsia="Times New Roman" w:hAnsi="Times New Roman" w:cs="Times New Roman"/>
                <w:b/>
                <w:bCs/>
                <w:color w:val="000000"/>
                <w:sz w:val="15"/>
                <w:szCs w:val="15"/>
              </w:rPr>
            </w:pPr>
            <w:r w:rsidRPr="00996AE0">
              <w:rPr>
                <w:rFonts w:ascii="Times New Roman" w:eastAsia="Times New Roman" w:hAnsi="Times New Roman" w:cs="Times New Roman"/>
                <w:b/>
                <w:bCs/>
                <w:color w:val="000000" w:themeColor="text1"/>
                <w:sz w:val="15"/>
                <w:szCs w:val="15"/>
                <w:lang w:val="en-US"/>
              </w:rPr>
              <w:t>Towner &amp;</w:t>
            </w:r>
            <w:r w:rsidRPr="00996AE0">
              <w:rPr>
                <w:rFonts w:ascii="Times New Roman" w:eastAsia="Times New Roman" w:hAnsi="Times New Roman" w:cs="Times New Roman"/>
                <w:color w:val="000000"/>
                <w:lang w:val="en-US"/>
              </w:rPr>
              <w:t xml:space="preserve"> </w:t>
            </w:r>
            <w:r w:rsidRPr="00996AE0">
              <w:rPr>
                <w:rFonts w:ascii="Times New Roman" w:eastAsia="Times New Roman" w:hAnsi="Times New Roman" w:cs="Times New Roman"/>
                <w:b/>
                <w:bCs/>
                <w:color w:val="000000"/>
                <w:sz w:val="15"/>
                <w:szCs w:val="15"/>
                <w:lang w:val="en-US"/>
              </w:rPr>
              <w:t>Muñoz , 2018</w:t>
            </w:r>
          </w:p>
        </w:tc>
        <w:tc>
          <w:tcPr>
            <w:tcW w:w="948" w:type="dxa"/>
            <w:tcBorders>
              <w:top w:val="nil"/>
              <w:left w:val="nil"/>
              <w:bottom w:val="nil"/>
              <w:right w:val="nil"/>
            </w:tcBorders>
            <w:shd w:val="clear" w:color="auto" w:fill="auto"/>
            <w:noWrap/>
            <w:vAlign w:val="center"/>
            <w:hideMark/>
          </w:tcPr>
          <w:p w14:paraId="229CB03F"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2018</w:t>
            </w:r>
          </w:p>
        </w:tc>
        <w:tc>
          <w:tcPr>
            <w:tcW w:w="1939" w:type="dxa"/>
            <w:tcBorders>
              <w:top w:val="nil"/>
              <w:left w:val="nil"/>
              <w:bottom w:val="nil"/>
              <w:right w:val="nil"/>
            </w:tcBorders>
            <w:shd w:val="clear" w:color="auto" w:fill="auto"/>
            <w:noWrap/>
            <w:vAlign w:val="center"/>
            <w:hideMark/>
          </w:tcPr>
          <w:p w14:paraId="70222718"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USA</w:t>
            </w:r>
          </w:p>
        </w:tc>
        <w:tc>
          <w:tcPr>
            <w:tcW w:w="1180" w:type="dxa"/>
            <w:tcBorders>
              <w:top w:val="nil"/>
              <w:left w:val="nil"/>
              <w:bottom w:val="nil"/>
              <w:right w:val="nil"/>
            </w:tcBorders>
            <w:shd w:val="clear" w:color="auto" w:fill="auto"/>
            <w:noWrap/>
            <w:vAlign w:val="center"/>
            <w:hideMark/>
          </w:tcPr>
          <w:p w14:paraId="6942A520"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2012</w:t>
            </w:r>
          </w:p>
        </w:tc>
        <w:tc>
          <w:tcPr>
            <w:tcW w:w="939" w:type="dxa"/>
            <w:tcBorders>
              <w:top w:val="nil"/>
              <w:left w:val="nil"/>
              <w:bottom w:val="nil"/>
              <w:right w:val="nil"/>
            </w:tcBorders>
            <w:shd w:val="clear" w:color="auto" w:fill="auto"/>
            <w:noWrap/>
            <w:vAlign w:val="center"/>
            <w:hideMark/>
          </w:tcPr>
          <w:p w14:paraId="3CC59B8F"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Candidate</w:t>
            </w:r>
          </w:p>
        </w:tc>
        <w:tc>
          <w:tcPr>
            <w:tcW w:w="1672" w:type="dxa"/>
            <w:tcBorders>
              <w:top w:val="nil"/>
              <w:left w:val="nil"/>
              <w:bottom w:val="nil"/>
              <w:right w:val="nil"/>
            </w:tcBorders>
            <w:shd w:val="clear" w:color="auto" w:fill="auto"/>
            <w:noWrap/>
            <w:vAlign w:val="center"/>
            <w:hideMark/>
          </w:tcPr>
          <w:p w14:paraId="03ED9C1D"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Presidential politics</w:t>
            </w:r>
          </w:p>
        </w:tc>
        <w:tc>
          <w:tcPr>
            <w:tcW w:w="934" w:type="dxa"/>
            <w:tcBorders>
              <w:top w:val="nil"/>
              <w:left w:val="nil"/>
              <w:bottom w:val="nil"/>
              <w:right w:val="nil"/>
            </w:tcBorders>
            <w:shd w:val="clear" w:color="auto" w:fill="auto"/>
            <w:noWrap/>
            <w:vAlign w:val="center"/>
            <w:hideMark/>
          </w:tcPr>
          <w:p w14:paraId="4D8AABDF"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Facebook, YouTube, and Twitter</w:t>
            </w:r>
          </w:p>
        </w:tc>
        <w:tc>
          <w:tcPr>
            <w:tcW w:w="2004" w:type="dxa"/>
            <w:tcBorders>
              <w:top w:val="nil"/>
              <w:left w:val="nil"/>
              <w:bottom w:val="nil"/>
              <w:right w:val="nil"/>
            </w:tcBorders>
            <w:shd w:val="clear" w:color="auto" w:fill="auto"/>
            <w:noWrap/>
            <w:vAlign w:val="center"/>
            <w:hideMark/>
          </w:tcPr>
          <w:p w14:paraId="5BF071B6"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Political communication effects, message-response involvement</w:t>
            </w:r>
          </w:p>
        </w:tc>
        <w:tc>
          <w:tcPr>
            <w:tcW w:w="1342" w:type="dxa"/>
            <w:tcBorders>
              <w:top w:val="nil"/>
              <w:left w:val="nil"/>
              <w:bottom w:val="nil"/>
              <w:right w:val="nil"/>
            </w:tcBorders>
            <w:shd w:val="clear" w:color="auto" w:fill="auto"/>
            <w:noWrap/>
            <w:vAlign w:val="center"/>
            <w:hideMark/>
          </w:tcPr>
          <w:p w14:paraId="32473BF1"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1613" w:type="dxa"/>
            <w:tcBorders>
              <w:top w:val="nil"/>
              <w:left w:val="nil"/>
              <w:bottom w:val="nil"/>
              <w:right w:val="nil"/>
            </w:tcBorders>
            <w:shd w:val="clear" w:color="auto" w:fill="auto"/>
            <w:noWrap/>
            <w:vAlign w:val="center"/>
            <w:hideMark/>
          </w:tcPr>
          <w:p w14:paraId="71D36ACF"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Survey</w:t>
            </w:r>
          </w:p>
        </w:tc>
        <w:tc>
          <w:tcPr>
            <w:tcW w:w="1482" w:type="dxa"/>
            <w:tcBorders>
              <w:top w:val="nil"/>
              <w:left w:val="nil"/>
              <w:bottom w:val="nil"/>
              <w:right w:val="nil"/>
            </w:tcBorders>
            <w:shd w:val="clear" w:color="auto" w:fill="auto"/>
            <w:noWrap/>
            <w:vAlign w:val="center"/>
            <w:hideMark/>
          </w:tcPr>
          <w:p w14:paraId="56B5745E"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Baby boomers</w:t>
            </w:r>
          </w:p>
        </w:tc>
        <w:tc>
          <w:tcPr>
            <w:tcW w:w="1009" w:type="dxa"/>
            <w:tcBorders>
              <w:top w:val="nil"/>
              <w:left w:val="nil"/>
              <w:bottom w:val="nil"/>
              <w:right w:val="nil"/>
            </w:tcBorders>
            <w:shd w:val="clear" w:color="auto" w:fill="auto"/>
            <w:noWrap/>
            <w:vAlign w:val="center"/>
            <w:hideMark/>
          </w:tcPr>
          <w:p w14:paraId="0A3E2D04"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451" w:type="dxa"/>
            <w:tcBorders>
              <w:top w:val="nil"/>
              <w:left w:val="nil"/>
              <w:bottom w:val="nil"/>
              <w:right w:val="nil"/>
            </w:tcBorders>
            <w:shd w:val="clear" w:color="auto" w:fill="auto"/>
            <w:noWrap/>
            <w:vAlign w:val="center"/>
            <w:hideMark/>
          </w:tcPr>
          <w:p w14:paraId="0E51B764"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7470" w:type="dxa"/>
            <w:tcBorders>
              <w:top w:val="nil"/>
              <w:left w:val="nil"/>
              <w:bottom w:val="nil"/>
              <w:right w:val="nil"/>
            </w:tcBorders>
            <w:shd w:val="clear" w:color="auto" w:fill="auto"/>
            <w:vAlign w:val="center"/>
            <w:hideMark/>
          </w:tcPr>
          <w:p w14:paraId="6FF52EFF"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The use of Facebook, Twitter, and YouTube has a limited impact on the offline political participation of baby boomers. Websites, however, are effective. Campaign consumption on Facebook (and to a limited extent YouTube) is linked to online political participation. Websites are the most effective indicator of online political participation. Attention to traditional media does not have any positive effect on offline and online political participation. Political interest, gender, race, and party identification predict various forms of offline and online political participation.</w:t>
            </w:r>
          </w:p>
        </w:tc>
      </w:tr>
      <w:tr w:rsidR="00996AE0" w:rsidRPr="00996AE0" w14:paraId="64CA9587" w14:textId="77777777" w:rsidTr="009156CF">
        <w:trPr>
          <w:trHeight w:val="480"/>
        </w:trPr>
        <w:tc>
          <w:tcPr>
            <w:tcW w:w="1497" w:type="dxa"/>
            <w:tcBorders>
              <w:top w:val="nil"/>
              <w:left w:val="nil"/>
              <w:bottom w:val="nil"/>
              <w:right w:val="nil"/>
            </w:tcBorders>
            <w:shd w:val="clear" w:color="auto" w:fill="auto"/>
            <w:noWrap/>
            <w:vAlign w:val="center"/>
            <w:hideMark/>
          </w:tcPr>
          <w:p w14:paraId="530668A4" w14:textId="77777777" w:rsidR="00996AE0" w:rsidRPr="00996AE0" w:rsidRDefault="00996AE0" w:rsidP="009156CF">
            <w:pPr>
              <w:rPr>
                <w:rFonts w:ascii="Times New Roman" w:eastAsia="Times New Roman" w:hAnsi="Times New Roman" w:cs="Times New Roman"/>
                <w:b/>
                <w:bCs/>
                <w:color w:val="000000"/>
                <w:sz w:val="15"/>
                <w:szCs w:val="15"/>
              </w:rPr>
            </w:pPr>
            <w:r w:rsidRPr="00996AE0">
              <w:rPr>
                <w:rFonts w:ascii="Times New Roman" w:eastAsia="Times New Roman" w:hAnsi="Times New Roman" w:cs="Times New Roman"/>
                <w:b/>
                <w:bCs/>
                <w:color w:val="000000" w:themeColor="text1"/>
                <w:sz w:val="15"/>
                <w:szCs w:val="15"/>
                <w:lang w:val="en-US"/>
              </w:rPr>
              <w:t>Tsvetkova, 2020</w:t>
            </w:r>
          </w:p>
        </w:tc>
        <w:tc>
          <w:tcPr>
            <w:tcW w:w="948" w:type="dxa"/>
            <w:tcBorders>
              <w:top w:val="nil"/>
              <w:left w:val="nil"/>
              <w:bottom w:val="nil"/>
              <w:right w:val="nil"/>
            </w:tcBorders>
            <w:shd w:val="clear" w:color="auto" w:fill="auto"/>
            <w:noWrap/>
            <w:vAlign w:val="center"/>
            <w:hideMark/>
          </w:tcPr>
          <w:p w14:paraId="37E94CB8"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2020</w:t>
            </w:r>
          </w:p>
        </w:tc>
        <w:tc>
          <w:tcPr>
            <w:tcW w:w="1939" w:type="dxa"/>
            <w:tcBorders>
              <w:top w:val="nil"/>
              <w:left w:val="nil"/>
              <w:bottom w:val="nil"/>
              <w:right w:val="nil"/>
            </w:tcBorders>
            <w:shd w:val="clear" w:color="auto" w:fill="auto"/>
            <w:noWrap/>
            <w:vAlign w:val="center"/>
            <w:hideMark/>
          </w:tcPr>
          <w:p w14:paraId="0C311353"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USA</w:t>
            </w:r>
          </w:p>
        </w:tc>
        <w:tc>
          <w:tcPr>
            <w:tcW w:w="1180" w:type="dxa"/>
            <w:tcBorders>
              <w:top w:val="nil"/>
              <w:left w:val="nil"/>
              <w:bottom w:val="nil"/>
              <w:right w:val="nil"/>
            </w:tcBorders>
            <w:shd w:val="clear" w:color="auto" w:fill="auto"/>
            <w:noWrap/>
            <w:vAlign w:val="center"/>
            <w:hideMark/>
          </w:tcPr>
          <w:p w14:paraId="51BF20E2"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N/A</w:t>
            </w:r>
          </w:p>
        </w:tc>
        <w:tc>
          <w:tcPr>
            <w:tcW w:w="939" w:type="dxa"/>
            <w:tcBorders>
              <w:top w:val="nil"/>
              <w:left w:val="nil"/>
              <w:bottom w:val="nil"/>
              <w:right w:val="nil"/>
            </w:tcBorders>
            <w:shd w:val="clear" w:color="auto" w:fill="auto"/>
            <w:noWrap/>
            <w:vAlign w:val="center"/>
            <w:hideMark/>
          </w:tcPr>
          <w:p w14:paraId="2C5D4DC0"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Candidate</w:t>
            </w:r>
          </w:p>
        </w:tc>
        <w:tc>
          <w:tcPr>
            <w:tcW w:w="1672" w:type="dxa"/>
            <w:tcBorders>
              <w:top w:val="nil"/>
              <w:left w:val="nil"/>
              <w:bottom w:val="nil"/>
              <w:right w:val="nil"/>
            </w:tcBorders>
            <w:shd w:val="clear" w:color="auto" w:fill="auto"/>
            <w:noWrap/>
            <w:vAlign w:val="center"/>
            <w:hideMark/>
          </w:tcPr>
          <w:p w14:paraId="127C9BD0"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 xml:space="preserve">International </w:t>
            </w:r>
          </w:p>
        </w:tc>
        <w:tc>
          <w:tcPr>
            <w:tcW w:w="934" w:type="dxa"/>
            <w:tcBorders>
              <w:top w:val="nil"/>
              <w:left w:val="nil"/>
              <w:bottom w:val="nil"/>
              <w:right w:val="nil"/>
            </w:tcBorders>
            <w:shd w:val="clear" w:color="auto" w:fill="auto"/>
            <w:noWrap/>
            <w:vAlign w:val="center"/>
            <w:hideMark/>
          </w:tcPr>
          <w:p w14:paraId="517244F7"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General</w:t>
            </w:r>
          </w:p>
        </w:tc>
        <w:tc>
          <w:tcPr>
            <w:tcW w:w="2004" w:type="dxa"/>
            <w:tcBorders>
              <w:top w:val="nil"/>
              <w:left w:val="nil"/>
              <w:bottom w:val="nil"/>
              <w:right w:val="nil"/>
            </w:tcBorders>
            <w:shd w:val="clear" w:color="auto" w:fill="auto"/>
            <w:noWrap/>
            <w:vAlign w:val="center"/>
            <w:hideMark/>
          </w:tcPr>
          <w:p w14:paraId="27CC9FBC"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Public diplomacy, strategic communication</w:t>
            </w:r>
          </w:p>
        </w:tc>
        <w:tc>
          <w:tcPr>
            <w:tcW w:w="1342" w:type="dxa"/>
            <w:tcBorders>
              <w:top w:val="nil"/>
              <w:left w:val="nil"/>
              <w:bottom w:val="nil"/>
              <w:right w:val="nil"/>
            </w:tcBorders>
            <w:shd w:val="clear" w:color="auto" w:fill="auto"/>
            <w:noWrap/>
            <w:vAlign w:val="center"/>
            <w:hideMark/>
          </w:tcPr>
          <w:p w14:paraId="7018A744"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1613" w:type="dxa"/>
            <w:tcBorders>
              <w:top w:val="nil"/>
              <w:left w:val="nil"/>
              <w:bottom w:val="nil"/>
              <w:right w:val="nil"/>
            </w:tcBorders>
            <w:shd w:val="clear" w:color="auto" w:fill="auto"/>
            <w:noWrap/>
            <w:vAlign w:val="center"/>
            <w:hideMark/>
          </w:tcPr>
          <w:p w14:paraId="7CD5CFD7"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Commentary/viewpoint</w:t>
            </w:r>
          </w:p>
        </w:tc>
        <w:tc>
          <w:tcPr>
            <w:tcW w:w="1482" w:type="dxa"/>
            <w:tcBorders>
              <w:top w:val="nil"/>
              <w:left w:val="nil"/>
              <w:bottom w:val="nil"/>
              <w:right w:val="nil"/>
            </w:tcBorders>
            <w:shd w:val="clear" w:color="auto" w:fill="auto"/>
            <w:noWrap/>
            <w:vAlign w:val="center"/>
            <w:hideMark/>
          </w:tcPr>
          <w:p w14:paraId="319359ED"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Secondary data</w:t>
            </w:r>
          </w:p>
        </w:tc>
        <w:tc>
          <w:tcPr>
            <w:tcW w:w="1009" w:type="dxa"/>
            <w:tcBorders>
              <w:top w:val="nil"/>
              <w:left w:val="nil"/>
              <w:bottom w:val="nil"/>
              <w:right w:val="nil"/>
            </w:tcBorders>
            <w:shd w:val="clear" w:color="auto" w:fill="auto"/>
            <w:noWrap/>
            <w:vAlign w:val="center"/>
            <w:hideMark/>
          </w:tcPr>
          <w:p w14:paraId="7CEDA572"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451" w:type="dxa"/>
            <w:tcBorders>
              <w:top w:val="nil"/>
              <w:left w:val="nil"/>
              <w:bottom w:val="nil"/>
              <w:right w:val="nil"/>
            </w:tcBorders>
            <w:shd w:val="clear" w:color="auto" w:fill="auto"/>
            <w:noWrap/>
            <w:vAlign w:val="center"/>
            <w:hideMark/>
          </w:tcPr>
          <w:p w14:paraId="43F10A23"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7470" w:type="dxa"/>
            <w:tcBorders>
              <w:top w:val="nil"/>
              <w:left w:val="nil"/>
              <w:bottom w:val="nil"/>
              <w:right w:val="nil"/>
            </w:tcBorders>
            <w:shd w:val="clear" w:color="auto" w:fill="auto"/>
            <w:vAlign w:val="center"/>
            <w:hideMark/>
          </w:tcPr>
          <w:p w14:paraId="111EC725"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Barack Obama exploited political marketing in public diplomacy and introduced social media to foreign policy, diplomacy, and public diplomacy. Obama connected with foreign citizens directly using social media.</w:t>
            </w:r>
          </w:p>
        </w:tc>
      </w:tr>
      <w:tr w:rsidR="00996AE0" w:rsidRPr="00996AE0" w14:paraId="6A726AD7" w14:textId="77777777" w:rsidTr="009156CF">
        <w:trPr>
          <w:trHeight w:val="720"/>
        </w:trPr>
        <w:tc>
          <w:tcPr>
            <w:tcW w:w="1497" w:type="dxa"/>
            <w:tcBorders>
              <w:top w:val="nil"/>
              <w:left w:val="nil"/>
              <w:bottom w:val="nil"/>
              <w:right w:val="nil"/>
            </w:tcBorders>
            <w:shd w:val="clear" w:color="auto" w:fill="auto"/>
            <w:noWrap/>
            <w:vAlign w:val="center"/>
            <w:hideMark/>
          </w:tcPr>
          <w:p w14:paraId="4AD759FF" w14:textId="77777777" w:rsidR="00996AE0" w:rsidRPr="00996AE0" w:rsidRDefault="00996AE0" w:rsidP="009156CF">
            <w:pPr>
              <w:rPr>
                <w:rFonts w:ascii="Times New Roman" w:eastAsia="Times New Roman" w:hAnsi="Times New Roman" w:cs="Times New Roman"/>
                <w:b/>
                <w:bCs/>
                <w:color w:val="000000"/>
                <w:sz w:val="15"/>
                <w:szCs w:val="15"/>
              </w:rPr>
            </w:pPr>
            <w:r w:rsidRPr="00996AE0">
              <w:rPr>
                <w:rFonts w:ascii="Times New Roman" w:eastAsia="Times New Roman" w:hAnsi="Times New Roman" w:cs="Times New Roman"/>
                <w:b/>
                <w:bCs/>
                <w:color w:val="000000" w:themeColor="text1"/>
                <w:sz w:val="15"/>
                <w:szCs w:val="15"/>
                <w:lang w:val="en-US"/>
              </w:rPr>
              <w:t>Veenstra, 2017</w:t>
            </w:r>
          </w:p>
        </w:tc>
        <w:tc>
          <w:tcPr>
            <w:tcW w:w="948" w:type="dxa"/>
            <w:tcBorders>
              <w:top w:val="nil"/>
              <w:left w:val="nil"/>
              <w:bottom w:val="nil"/>
              <w:right w:val="nil"/>
            </w:tcBorders>
            <w:shd w:val="clear" w:color="auto" w:fill="auto"/>
            <w:noWrap/>
            <w:vAlign w:val="center"/>
            <w:hideMark/>
          </w:tcPr>
          <w:p w14:paraId="42A47270"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2017</w:t>
            </w:r>
          </w:p>
        </w:tc>
        <w:tc>
          <w:tcPr>
            <w:tcW w:w="1939" w:type="dxa"/>
            <w:tcBorders>
              <w:top w:val="nil"/>
              <w:left w:val="nil"/>
              <w:bottom w:val="nil"/>
              <w:right w:val="nil"/>
            </w:tcBorders>
            <w:shd w:val="clear" w:color="auto" w:fill="auto"/>
            <w:noWrap/>
            <w:vAlign w:val="center"/>
            <w:hideMark/>
          </w:tcPr>
          <w:p w14:paraId="39C7149F"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USA</w:t>
            </w:r>
          </w:p>
        </w:tc>
        <w:tc>
          <w:tcPr>
            <w:tcW w:w="1180" w:type="dxa"/>
            <w:tcBorders>
              <w:top w:val="nil"/>
              <w:left w:val="nil"/>
              <w:bottom w:val="nil"/>
              <w:right w:val="nil"/>
            </w:tcBorders>
            <w:shd w:val="clear" w:color="auto" w:fill="auto"/>
            <w:noWrap/>
            <w:vAlign w:val="center"/>
            <w:hideMark/>
          </w:tcPr>
          <w:p w14:paraId="256EDAC0"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2016</w:t>
            </w:r>
          </w:p>
        </w:tc>
        <w:tc>
          <w:tcPr>
            <w:tcW w:w="939" w:type="dxa"/>
            <w:tcBorders>
              <w:top w:val="nil"/>
              <w:left w:val="nil"/>
              <w:bottom w:val="nil"/>
              <w:right w:val="nil"/>
            </w:tcBorders>
            <w:shd w:val="clear" w:color="auto" w:fill="auto"/>
            <w:noWrap/>
            <w:vAlign w:val="center"/>
            <w:hideMark/>
          </w:tcPr>
          <w:p w14:paraId="28CABA10"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Candidate and Party</w:t>
            </w:r>
          </w:p>
        </w:tc>
        <w:tc>
          <w:tcPr>
            <w:tcW w:w="1672" w:type="dxa"/>
            <w:tcBorders>
              <w:top w:val="nil"/>
              <w:left w:val="nil"/>
              <w:bottom w:val="nil"/>
              <w:right w:val="nil"/>
            </w:tcBorders>
            <w:shd w:val="clear" w:color="auto" w:fill="auto"/>
            <w:noWrap/>
            <w:vAlign w:val="center"/>
            <w:hideMark/>
          </w:tcPr>
          <w:p w14:paraId="0450C824"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Presidential politics (primaries)</w:t>
            </w:r>
          </w:p>
        </w:tc>
        <w:tc>
          <w:tcPr>
            <w:tcW w:w="934" w:type="dxa"/>
            <w:tcBorders>
              <w:top w:val="nil"/>
              <w:left w:val="nil"/>
              <w:bottom w:val="nil"/>
              <w:right w:val="nil"/>
            </w:tcBorders>
            <w:shd w:val="clear" w:color="auto" w:fill="auto"/>
            <w:noWrap/>
            <w:vAlign w:val="center"/>
            <w:hideMark/>
          </w:tcPr>
          <w:p w14:paraId="2A1AB5C4"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General</w:t>
            </w:r>
          </w:p>
        </w:tc>
        <w:tc>
          <w:tcPr>
            <w:tcW w:w="2004" w:type="dxa"/>
            <w:tcBorders>
              <w:top w:val="nil"/>
              <w:left w:val="nil"/>
              <w:bottom w:val="nil"/>
              <w:right w:val="nil"/>
            </w:tcBorders>
            <w:shd w:val="clear" w:color="auto" w:fill="auto"/>
            <w:noWrap/>
            <w:vAlign w:val="center"/>
            <w:hideMark/>
          </w:tcPr>
          <w:p w14:paraId="5DBBEBE1"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Hostile media effect, Social Identity theory</w:t>
            </w:r>
          </w:p>
        </w:tc>
        <w:tc>
          <w:tcPr>
            <w:tcW w:w="1342" w:type="dxa"/>
            <w:tcBorders>
              <w:top w:val="nil"/>
              <w:left w:val="nil"/>
              <w:bottom w:val="nil"/>
              <w:right w:val="nil"/>
            </w:tcBorders>
            <w:shd w:val="clear" w:color="auto" w:fill="auto"/>
            <w:noWrap/>
            <w:vAlign w:val="center"/>
            <w:hideMark/>
          </w:tcPr>
          <w:p w14:paraId="0D55021D"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1613" w:type="dxa"/>
            <w:tcBorders>
              <w:top w:val="nil"/>
              <w:left w:val="nil"/>
              <w:bottom w:val="nil"/>
              <w:right w:val="nil"/>
            </w:tcBorders>
            <w:shd w:val="clear" w:color="auto" w:fill="auto"/>
            <w:noWrap/>
            <w:vAlign w:val="center"/>
            <w:hideMark/>
          </w:tcPr>
          <w:p w14:paraId="113ED12E"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Survey (multiple)</w:t>
            </w:r>
          </w:p>
        </w:tc>
        <w:tc>
          <w:tcPr>
            <w:tcW w:w="1482" w:type="dxa"/>
            <w:tcBorders>
              <w:top w:val="nil"/>
              <w:left w:val="nil"/>
              <w:bottom w:val="nil"/>
              <w:right w:val="nil"/>
            </w:tcBorders>
            <w:shd w:val="clear" w:color="auto" w:fill="auto"/>
            <w:noWrap/>
            <w:vAlign w:val="center"/>
            <w:hideMark/>
          </w:tcPr>
          <w:p w14:paraId="31EB7F7E"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Voters</w:t>
            </w:r>
          </w:p>
        </w:tc>
        <w:tc>
          <w:tcPr>
            <w:tcW w:w="1009" w:type="dxa"/>
            <w:tcBorders>
              <w:top w:val="nil"/>
              <w:left w:val="nil"/>
              <w:bottom w:val="nil"/>
              <w:right w:val="nil"/>
            </w:tcBorders>
            <w:shd w:val="clear" w:color="auto" w:fill="auto"/>
            <w:noWrap/>
            <w:vAlign w:val="center"/>
            <w:hideMark/>
          </w:tcPr>
          <w:p w14:paraId="3286DDF0"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451" w:type="dxa"/>
            <w:tcBorders>
              <w:top w:val="nil"/>
              <w:left w:val="nil"/>
              <w:bottom w:val="nil"/>
              <w:right w:val="nil"/>
            </w:tcBorders>
            <w:shd w:val="clear" w:color="auto" w:fill="auto"/>
            <w:noWrap/>
            <w:vAlign w:val="center"/>
            <w:hideMark/>
          </w:tcPr>
          <w:p w14:paraId="7AFD1FDE"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7470" w:type="dxa"/>
            <w:tcBorders>
              <w:top w:val="nil"/>
              <w:left w:val="nil"/>
              <w:bottom w:val="nil"/>
              <w:right w:val="nil"/>
            </w:tcBorders>
            <w:shd w:val="clear" w:color="auto" w:fill="auto"/>
            <w:vAlign w:val="center"/>
            <w:hideMark/>
          </w:tcPr>
          <w:p w14:paraId="5BBC8620"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Identity centrality and candidate favorability predicted greater perceived bias against one’s candidate. Perceived network homogeneity influences media bias perception against one’s party during the general election. The study suggests that users are source-blind.</w:t>
            </w:r>
          </w:p>
        </w:tc>
      </w:tr>
      <w:tr w:rsidR="00996AE0" w:rsidRPr="00996AE0" w14:paraId="116C18DE" w14:textId="77777777" w:rsidTr="009156CF">
        <w:trPr>
          <w:trHeight w:val="1240"/>
        </w:trPr>
        <w:tc>
          <w:tcPr>
            <w:tcW w:w="1497" w:type="dxa"/>
            <w:tcBorders>
              <w:top w:val="nil"/>
              <w:left w:val="nil"/>
              <w:bottom w:val="nil"/>
              <w:right w:val="nil"/>
            </w:tcBorders>
            <w:shd w:val="clear" w:color="auto" w:fill="auto"/>
            <w:noWrap/>
            <w:vAlign w:val="center"/>
            <w:hideMark/>
          </w:tcPr>
          <w:p w14:paraId="4279A58E" w14:textId="77777777" w:rsidR="00996AE0" w:rsidRPr="00996AE0" w:rsidRDefault="00996AE0" w:rsidP="009156CF">
            <w:pPr>
              <w:rPr>
                <w:rFonts w:ascii="Times New Roman" w:eastAsia="Times New Roman" w:hAnsi="Times New Roman" w:cs="Times New Roman"/>
                <w:b/>
                <w:bCs/>
                <w:color w:val="000000"/>
                <w:sz w:val="15"/>
                <w:szCs w:val="15"/>
              </w:rPr>
            </w:pPr>
            <w:r w:rsidRPr="00996AE0">
              <w:rPr>
                <w:rFonts w:ascii="Times New Roman" w:eastAsia="Times New Roman" w:hAnsi="Times New Roman" w:cs="Times New Roman"/>
                <w:b/>
                <w:bCs/>
                <w:color w:val="000000" w:themeColor="text1"/>
                <w:sz w:val="15"/>
                <w:szCs w:val="15"/>
                <w:lang w:val="en-US"/>
              </w:rPr>
              <w:t>Vesnic-Alujevic &amp; Bauwel, 2014</w:t>
            </w:r>
          </w:p>
        </w:tc>
        <w:tc>
          <w:tcPr>
            <w:tcW w:w="948" w:type="dxa"/>
            <w:tcBorders>
              <w:top w:val="nil"/>
              <w:left w:val="nil"/>
              <w:bottom w:val="nil"/>
              <w:right w:val="nil"/>
            </w:tcBorders>
            <w:shd w:val="clear" w:color="auto" w:fill="auto"/>
            <w:noWrap/>
            <w:vAlign w:val="center"/>
            <w:hideMark/>
          </w:tcPr>
          <w:p w14:paraId="4FD0FE32"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2014</w:t>
            </w:r>
          </w:p>
        </w:tc>
        <w:tc>
          <w:tcPr>
            <w:tcW w:w="1939" w:type="dxa"/>
            <w:tcBorders>
              <w:top w:val="nil"/>
              <w:left w:val="nil"/>
              <w:bottom w:val="nil"/>
              <w:right w:val="nil"/>
            </w:tcBorders>
            <w:shd w:val="clear" w:color="auto" w:fill="auto"/>
            <w:noWrap/>
            <w:vAlign w:val="center"/>
            <w:hideMark/>
          </w:tcPr>
          <w:p w14:paraId="1FB49431"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France/Italy/Ireland/Slovenia</w:t>
            </w:r>
          </w:p>
        </w:tc>
        <w:tc>
          <w:tcPr>
            <w:tcW w:w="1180" w:type="dxa"/>
            <w:tcBorders>
              <w:top w:val="nil"/>
              <w:left w:val="nil"/>
              <w:bottom w:val="nil"/>
              <w:right w:val="nil"/>
            </w:tcBorders>
            <w:shd w:val="clear" w:color="auto" w:fill="auto"/>
            <w:noWrap/>
            <w:vAlign w:val="center"/>
            <w:hideMark/>
          </w:tcPr>
          <w:p w14:paraId="6DA5CEF9"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2009</w:t>
            </w:r>
          </w:p>
        </w:tc>
        <w:tc>
          <w:tcPr>
            <w:tcW w:w="939" w:type="dxa"/>
            <w:tcBorders>
              <w:top w:val="nil"/>
              <w:left w:val="nil"/>
              <w:bottom w:val="nil"/>
              <w:right w:val="nil"/>
            </w:tcBorders>
            <w:shd w:val="clear" w:color="auto" w:fill="auto"/>
            <w:noWrap/>
            <w:vAlign w:val="center"/>
            <w:hideMark/>
          </w:tcPr>
          <w:p w14:paraId="0D0228FC"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Party</w:t>
            </w:r>
          </w:p>
        </w:tc>
        <w:tc>
          <w:tcPr>
            <w:tcW w:w="1672" w:type="dxa"/>
            <w:tcBorders>
              <w:top w:val="nil"/>
              <w:left w:val="nil"/>
              <w:bottom w:val="nil"/>
              <w:right w:val="nil"/>
            </w:tcBorders>
            <w:shd w:val="clear" w:color="auto" w:fill="auto"/>
            <w:noWrap/>
            <w:vAlign w:val="center"/>
            <w:hideMark/>
          </w:tcPr>
          <w:p w14:paraId="26EB0F35"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EU Parliament</w:t>
            </w:r>
          </w:p>
        </w:tc>
        <w:tc>
          <w:tcPr>
            <w:tcW w:w="934" w:type="dxa"/>
            <w:tcBorders>
              <w:top w:val="nil"/>
              <w:left w:val="nil"/>
              <w:bottom w:val="nil"/>
              <w:right w:val="nil"/>
            </w:tcBorders>
            <w:shd w:val="clear" w:color="auto" w:fill="auto"/>
            <w:noWrap/>
            <w:vAlign w:val="center"/>
            <w:hideMark/>
          </w:tcPr>
          <w:p w14:paraId="22B33EEB"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YouTube</w:t>
            </w:r>
          </w:p>
        </w:tc>
        <w:tc>
          <w:tcPr>
            <w:tcW w:w="2004" w:type="dxa"/>
            <w:tcBorders>
              <w:top w:val="nil"/>
              <w:left w:val="nil"/>
              <w:bottom w:val="nil"/>
              <w:right w:val="nil"/>
            </w:tcBorders>
            <w:shd w:val="clear" w:color="auto" w:fill="auto"/>
            <w:noWrap/>
            <w:vAlign w:val="center"/>
            <w:hideMark/>
          </w:tcPr>
          <w:p w14:paraId="51818EF8"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Political advertising, Web 2.0, YouTube</w:t>
            </w:r>
          </w:p>
        </w:tc>
        <w:tc>
          <w:tcPr>
            <w:tcW w:w="1342" w:type="dxa"/>
            <w:tcBorders>
              <w:top w:val="nil"/>
              <w:left w:val="nil"/>
              <w:bottom w:val="nil"/>
              <w:right w:val="nil"/>
            </w:tcBorders>
            <w:shd w:val="clear" w:color="auto" w:fill="auto"/>
            <w:noWrap/>
            <w:vAlign w:val="center"/>
            <w:hideMark/>
          </w:tcPr>
          <w:p w14:paraId="72569283"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1613" w:type="dxa"/>
            <w:tcBorders>
              <w:top w:val="nil"/>
              <w:left w:val="nil"/>
              <w:bottom w:val="nil"/>
              <w:right w:val="nil"/>
            </w:tcBorders>
            <w:shd w:val="clear" w:color="auto" w:fill="auto"/>
            <w:noWrap/>
            <w:vAlign w:val="center"/>
            <w:hideMark/>
          </w:tcPr>
          <w:p w14:paraId="7E3FA44C"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Content analysis</w:t>
            </w:r>
          </w:p>
        </w:tc>
        <w:tc>
          <w:tcPr>
            <w:tcW w:w="1482" w:type="dxa"/>
            <w:tcBorders>
              <w:top w:val="nil"/>
              <w:left w:val="nil"/>
              <w:bottom w:val="nil"/>
              <w:right w:val="nil"/>
            </w:tcBorders>
            <w:shd w:val="clear" w:color="auto" w:fill="auto"/>
            <w:noWrap/>
            <w:vAlign w:val="center"/>
            <w:hideMark/>
          </w:tcPr>
          <w:p w14:paraId="6A8EE96C"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Videos posted by political parties</w:t>
            </w:r>
          </w:p>
        </w:tc>
        <w:tc>
          <w:tcPr>
            <w:tcW w:w="1009" w:type="dxa"/>
            <w:tcBorders>
              <w:top w:val="nil"/>
              <w:left w:val="nil"/>
              <w:bottom w:val="nil"/>
              <w:right w:val="nil"/>
            </w:tcBorders>
            <w:shd w:val="clear" w:color="auto" w:fill="auto"/>
            <w:noWrap/>
            <w:vAlign w:val="center"/>
            <w:hideMark/>
          </w:tcPr>
          <w:p w14:paraId="079DD125"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451" w:type="dxa"/>
            <w:tcBorders>
              <w:top w:val="nil"/>
              <w:left w:val="nil"/>
              <w:bottom w:val="nil"/>
              <w:right w:val="nil"/>
            </w:tcBorders>
            <w:shd w:val="clear" w:color="auto" w:fill="auto"/>
            <w:noWrap/>
            <w:vAlign w:val="center"/>
            <w:hideMark/>
          </w:tcPr>
          <w:p w14:paraId="4C6D240D"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7470" w:type="dxa"/>
            <w:tcBorders>
              <w:top w:val="nil"/>
              <w:left w:val="nil"/>
              <w:bottom w:val="nil"/>
              <w:right w:val="nil"/>
            </w:tcBorders>
            <w:shd w:val="clear" w:color="auto" w:fill="auto"/>
            <w:vAlign w:val="center"/>
            <w:hideMark/>
          </w:tcPr>
          <w:p w14:paraId="120CD5A0"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YouTube videos were longer than TV ads. The use of a narrator decreased along the right-left continuum. Candidates were prominent (some personalization) in many videos but issues were the main focus. Production techniques varied. Talking heads were more prominent in less professionalized countries (France (28%), Italy (40%), Ireland (60%), Slovenia (100%). Most videos attempted to inform and mobilize.</w:t>
            </w:r>
          </w:p>
        </w:tc>
      </w:tr>
      <w:tr w:rsidR="00996AE0" w:rsidRPr="00996AE0" w14:paraId="28B5FA7B" w14:textId="77777777" w:rsidTr="009156CF">
        <w:trPr>
          <w:trHeight w:val="720"/>
        </w:trPr>
        <w:tc>
          <w:tcPr>
            <w:tcW w:w="1497" w:type="dxa"/>
            <w:tcBorders>
              <w:top w:val="nil"/>
              <w:left w:val="nil"/>
              <w:bottom w:val="nil"/>
              <w:right w:val="nil"/>
            </w:tcBorders>
            <w:shd w:val="clear" w:color="auto" w:fill="auto"/>
            <w:noWrap/>
            <w:vAlign w:val="center"/>
            <w:hideMark/>
          </w:tcPr>
          <w:p w14:paraId="7B02C9E5" w14:textId="77777777" w:rsidR="00996AE0" w:rsidRPr="00996AE0" w:rsidRDefault="00996AE0" w:rsidP="009156CF">
            <w:pPr>
              <w:rPr>
                <w:rFonts w:ascii="Times New Roman" w:eastAsia="Times New Roman" w:hAnsi="Times New Roman" w:cs="Times New Roman"/>
                <w:b/>
                <w:bCs/>
                <w:color w:val="000000"/>
                <w:sz w:val="15"/>
                <w:szCs w:val="15"/>
              </w:rPr>
            </w:pPr>
            <w:r w:rsidRPr="00996AE0">
              <w:rPr>
                <w:rFonts w:ascii="Times New Roman" w:eastAsia="Times New Roman" w:hAnsi="Times New Roman" w:cs="Times New Roman"/>
                <w:b/>
                <w:bCs/>
                <w:color w:val="000000" w:themeColor="text1"/>
                <w:sz w:val="15"/>
                <w:szCs w:val="15"/>
                <w:lang w:val="en-US"/>
              </w:rPr>
              <w:t>Wallsten, 2011</w:t>
            </w:r>
          </w:p>
        </w:tc>
        <w:tc>
          <w:tcPr>
            <w:tcW w:w="948" w:type="dxa"/>
            <w:tcBorders>
              <w:top w:val="nil"/>
              <w:left w:val="nil"/>
              <w:bottom w:val="nil"/>
              <w:right w:val="nil"/>
            </w:tcBorders>
            <w:shd w:val="clear" w:color="auto" w:fill="auto"/>
            <w:noWrap/>
            <w:vAlign w:val="center"/>
            <w:hideMark/>
          </w:tcPr>
          <w:p w14:paraId="350860CF"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2011</w:t>
            </w:r>
          </w:p>
        </w:tc>
        <w:tc>
          <w:tcPr>
            <w:tcW w:w="1939" w:type="dxa"/>
            <w:tcBorders>
              <w:top w:val="nil"/>
              <w:left w:val="nil"/>
              <w:bottom w:val="nil"/>
              <w:right w:val="nil"/>
            </w:tcBorders>
            <w:shd w:val="clear" w:color="auto" w:fill="auto"/>
            <w:noWrap/>
            <w:vAlign w:val="center"/>
            <w:hideMark/>
          </w:tcPr>
          <w:p w14:paraId="1D76C08A"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USA</w:t>
            </w:r>
          </w:p>
        </w:tc>
        <w:tc>
          <w:tcPr>
            <w:tcW w:w="1180" w:type="dxa"/>
            <w:tcBorders>
              <w:top w:val="nil"/>
              <w:left w:val="nil"/>
              <w:bottom w:val="nil"/>
              <w:right w:val="nil"/>
            </w:tcBorders>
            <w:shd w:val="clear" w:color="auto" w:fill="auto"/>
            <w:noWrap/>
            <w:vAlign w:val="center"/>
            <w:hideMark/>
          </w:tcPr>
          <w:p w14:paraId="6FC531B7"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2008</w:t>
            </w:r>
          </w:p>
        </w:tc>
        <w:tc>
          <w:tcPr>
            <w:tcW w:w="939" w:type="dxa"/>
            <w:tcBorders>
              <w:top w:val="nil"/>
              <w:left w:val="nil"/>
              <w:bottom w:val="nil"/>
              <w:right w:val="nil"/>
            </w:tcBorders>
            <w:shd w:val="clear" w:color="auto" w:fill="auto"/>
            <w:noWrap/>
            <w:vAlign w:val="center"/>
            <w:hideMark/>
          </w:tcPr>
          <w:p w14:paraId="7B113389"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N/A</w:t>
            </w:r>
          </w:p>
        </w:tc>
        <w:tc>
          <w:tcPr>
            <w:tcW w:w="1672" w:type="dxa"/>
            <w:tcBorders>
              <w:top w:val="nil"/>
              <w:left w:val="nil"/>
              <w:bottom w:val="nil"/>
              <w:right w:val="nil"/>
            </w:tcBorders>
            <w:shd w:val="clear" w:color="auto" w:fill="auto"/>
            <w:noWrap/>
            <w:vAlign w:val="center"/>
            <w:hideMark/>
          </w:tcPr>
          <w:p w14:paraId="5DF30AED"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Presidential politics</w:t>
            </w:r>
          </w:p>
        </w:tc>
        <w:tc>
          <w:tcPr>
            <w:tcW w:w="934" w:type="dxa"/>
            <w:tcBorders>
              <w:top w:val="nil"/>
              <w:left w:val="nil"/>
              <w:bottom w:val="nil"/>
              <w:right w:val="nil"/>
            </w:tcBorders>
            <w:shd w:val="clear" w:color="auto" w:fill="auto"/>
            <w:noWrap/>
            <w:vAlign w:val="center"/>
            <w:hideMark/>
          </w:tcPr>
          <w:p w14:paraId="4FF6FF30"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Blogs and YouTube</w:t>
            </w:r>
          </w:p>
        </w:tc>
        <w:tc>
          <w:tcPr>
            <w:tcW w:w="2004" w:type="dxa"/>
            <w:tcBorders>
              <w:top w:val="nil"/>
              <w:left w:val="nil"/>
              <w:bottom w:val="nil"/>
              <w:right w:val="nil"/>
            </w:tcBorders>
            <w:shd w:val="clear" w:color="auto" w:fill="auto"/>
            <w:noWrap/>
            <w:vAlign w:val="center"/>
            <w:hideMark/>
          </w:tcPr>
          <w:p w14:paraId="51A8AD27"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Political blogging</w:t>
            </w:r>
          </w:p>
        </w:tc>
        <w:tc>
          <w:tcPr>
            <w:tcW w:w="1342" w:type="dxa"/>
            <w:tcBorders>
              <w:top w:val="nil"/>
              <w:left w:val="nil"/>
              <w:bottom w:val="nil"/>
              <w:right w:val="nil"/>
            </w:tcBorders>
            <w:shd w:val="clear" w:color="auto" w:fill="auto"/>
            <w:noWrap/>
            <w:vAlign w:val="center"/>
            <w:hideMark/>
          </w:tcPr>
          <w:p w14:paraId="4F078D67"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1613" w:type="dxa"/>
            <w:tcBorders>
              <w:top w:val="nil"/>
              <w:left w:val="nil"/>
              <w:bottom w:val="nil"/>
              <w:right w:val="nil"/>
            </w:tcBorders>
            <w:shd w:val="clear" w:color="auto" w:fill="auto"/>
            <w:noWrap/>
            <w:vAlign w:val="center"/>
            <w:hideMark/>
          </w:tcPr>
          <w:p w14:paraId="6FC89942"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Content analysis</w:t>
            </w:r>
          </w:p>
        </w:tc>
        <w:tc>
          <w:tcPr>
            <w:tcW w:w="1482" w:type="dxa"/>
            <w:tcBorders>
              <w:top w:val="nil"/>
              <w:left w:val="nil"/>
              <w:bottom w:val="nil"/>
              <w:right w:val="nil"/>
            </w:tcBorders>
            <w:shd w:val="clear" w:color="auto" w:fill="auto"/>
            <w:noWrap/>
            <w:vAlign w:val="center"/>
            <w:hideMark/>
          </w:tcPr>
          <w:p w14:paraId="7DAC67F1"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Blogs and online videos</w:t>
            </w:r>
          </w:p>
        </w:tc>
        <w:tc>
          <w:tcPr>
            <w:tcW w:w="1009" w:type="dxa"/>
            <w:tcBorders>
              <w:top w:val="nil"/>
              <w:left w:val="nil"/>
              <w:bottom w:val="nil"/>
              <w:right w:val="nil"/>
            </w:tcBorders>
            <w:shd w:val="clear" w:color="auto" w:fill="auto"/>
            <w:noWrap/>
            <w:vAlign w:val="center"/>
            <w:hideMark/>
          </w:tcPr>
          <w:p w14:paraId="5A1C8934"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451" w:type="dxa"/>
            <w:tcBorders>
              <w:top w:val="nil"/>
              <w:left w:val="nil"/>
              <w:bottom w:val="nil"/>
              <w:right w:val="nil"/>
            </w:tcBorders>
            <w:shd w:val="clear" w:color="auto" w:fill="auto"/>
            <w:noWrap/>
            <w:vAlign w:val="center"/>
            <w:hideMark/>
          </w:tcPr>
          <w:p w14:paraId="13C86516"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1</w:t>
            </w:r>
          </w:p>
        </w:tc>
        <w:tc>
          <w:tcPr>
            <w:tcW w:w="7470" w:type="dxa"/>
            <w:tcBorders>
              <w:top w:val="nil"/>
              <w:left w:val="nil"/>
              <w:bottom w:val="nil"/>
              <w:right w:val="nil"/>
            </w:tcBorders>
            <w:shd w:val="clear" w:color="auto" w:fill="auto"/>
            <w:vAlign w:val="center"/>
            <w:hideMark/>
          </w:tcPr>
          <w:p w14:paraId="09DAC4A1"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Political bloggers were ideologically driven and shared any video that portrays the opposition candidate in a negative light. Negative valence dominated the blogosphere. Political bloggers did not act as media watchdogs. Bloggers seldom linked to videos from prominent news sources.</w:t>
            </w:r>
          </w:p>
        </w:tc>
      </w:tr>
      <w:tr w:rsidR="00996AE0" w:rsidRPr="00996AE0" w14:paraId="4D14C924" w14:textId="77777777" w:rsidTr="009156CF">
        <w:trPr>
          <w:trHeight w:val="500"/>
        </w:trPr>
        <w:tc>
          <w:tcPr>
            <w:tcW w:w="1497" w:type="dxa"/>
            <w:tcBorders>
              <w:top w:val="nil"/>
              <w:left w:val="nil"/>
              <w:bottom w:val="single" w:sz="8" w:space="0" w:color="auto"/>
              <w:right w:val="nil"/>
            </w:tcBorders>
            <w:shd w:val="clear" w:color="auto" w:fill="auto"/>
            <w:noWrap/>
            <w:vAlign w:val="center"/>
            <w:hideMark/>
          </w:tcPr>
          <w:p w14:paraId="6856F7AE" w14:textId="77777777" w:rsidR="00996AE0" w:rsidRPr="00996AE0" w:rsidRDefault="00996AE0" w:rsidP="009156CF">
            <w:pPr>
              <w:rPr>
                <w:rFonts w:ascii="Times New Roman" w:eastAsia="Times New Roman" w:hAnsi="Times New Roman" w:cs="Times New Roman"/>
                <w:b/>
                <w:bCs/>
                <w:color w:val="000000"/>
                <w:sz w:val="15"/>
                <w:szCs w:val="15"/>
              </w:rPr>
            </w:pPr>
            <w:r w:rsidRPr="00996AE0">
              <w:rPr>
                <w:rFonts w:ascii="Times New Roman" w:eastAsia="Times New Roman" w:hAnsi="Times New Roman" w:cs="Times New Roman"/>
                <w:b/>
                <w:bCs/>
                <w:color w:val="000000" w:themeColor="text1"/>
                <w:sz w:val="15"/>
                <w:szCs w:val="15"/>
                <w:lang w:val="en-US"/>
              </w:rPr>
              <w:t>YLI-KAITALA, 2014</w:t>
            </w:r>
          </w:p>
        </w:tc>
        <w:tc>
          <w:tcPr>
            <w:tcW w:w="948" w:type="dxa"/>
            <w:tcBorders>
              <w:top w:val="nil"/>
              <w:left w:val="nil"/>
              <w:bottom w:val="single" w:sz="8" w:space="0" w:color="auto"/>
              <w:right w:val="nil"/>
            </w:tcBorders>
            <w:shd w:val="clear" w:color="auto" w:fill="auto"/>
            <w:noWrap/>
            <w:vAlign w:val="center"/>
            <w:hideMark/>
          </w:tcPr>
          <w:p w14:paraId="6B68B47C"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2014</w:t>
            </w:r>
          </w:p>
        </w:tc>
        <w:tc>
          <w:tcPr>
            <w:tcW w:w="1939" w:type="dxa"/>
            <w:tcBorders>
              <w:top w:val="nil"/>
              <w:left w:val="nil"/>
              <w:bottom w:val="single" w:sz="8" w:space="0" w:color="auto"/>
              <w:right w:val="nil"/>
            </w:tcBorders>
            <w:shd w:val="clear" w:color="auto" w:fill="auto"/>
            <w:noWrap/>
            <w:vAlign w:val="center"/>
            <w:hideMark/>
          </w:tcPr>
          <w:p w14:paraId="2AE0F6EE"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Egypt and USA</w:t>
            </w:r>
          </w:p>
        </w:tc>
        <w:tc>
          <w:tcPr>
            <w:tcW w:w="1180" w:type="dxa"/>
            <w:tcBorders>
              <w:top w:val="nil"/>
              <w:left w:val="nil"/>
              <w:bottom w:val="single" w:sz="8" w:space="0" w:color="auto"/>
              <w:right w:val="nil"/>
            </w:tcBorders>
            <w:shd w:val="clear" w:color="auto" w:fill="auto"/>
            <w:noWrap/>
            <w:vAlign w:val="center"/>
            <w:hideMark/>
          </w:tcPr>
          <w:p w14:paraId="136DC1EF"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N/A</w:t>
            </w:r>
          </w:p>
        </w:tc>
        <w:tc>
          <w:tcPr>
            <w:tcW w:w="939" w:type="dxa"/>
            <w:tcBorders>
              <w:top w:val="nil"/>
              <w:left w:val="nil"/>
              <w:bottom w:val="single" w:sz="8" w:space="0" w:color="auto"/>
              <w:right w:val="nil"/>
            </w:tcBorders>
            <w:shd w:val="clear" w:color="auto" w:fill="auto"/>
            <w:noWrap/>
            <w:vAlign w:val="center"/>
            <w:hideMark/>
          </w:tcPr>
          <w:p w14:paraId="74B5AD83"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N/A</w:t>
            </w:r>
          </w:p>
        </w:tc>
        <w:tc>
          <w:tcPr>
            <w:tcW w:w="1672" w:type="dxa"/>
            <w:tcBorders>
              <w:top w:val="nil"/>
              <w:left w:val="nil"/>
              <w:bottom w:val="single" w:sz="8" w:space="0" w:color="auto"/>
              <w:right w:val="nil"/>
            </w:tcBorders>
            <w:shd w:val="clear" w:color="auto" w:fill="auto"/>
            <w:noWrap/>
            <w:vAlign w:val="center"/>
            <w:hideMark/>
          </w:tcPr>
          <w:p w14:paraId="78CE6390"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Revolution and protest</w:t>
            </w:r>
          </w:p>
        </w:tc>
        <w:tc>
          <w:tcPr>
            <w:tcW w:w="934" w:type="dxa"/>
            <w:tcBorders>
              <w:top w:val="nil"/>
              <w:left w:val="nil"/>
              <w:bottom w:val="single" w:sz="8" w:space="0" w:color="auto"/>
              <w:right w:val="nil"/>
            </w:tcBorders>
            <w:shd w:val="clear" w:color="auto" w:fill="auto"/>
            <w:noWrap/>
            <w:vAlign w:val="center"/>
            <w:hideMark/>
          </w:tcPr>
          <w:p w14:paraId="20CE7796"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General</w:t>
            </w:r>
          </w:p>
        </w:tc>
        <w:tc>
          <w:tcPr>
            <w:tcW w:w="2004" w:type="dxa"/>
            <w:tcBorders>
              <w:top w:val="nil"/>
              <w:left w:val="nil"/>
              <w:bottom w:val="single" w:sz="8" w:space="0" w:color="auto"/>
              <w:right w:val="nil"/>
            </w:tcBorders>
            <w:shd w:val="clear" w:color="auto" w:fill="auto"/>
            <w:noWrap/>
            <w:vAlign w:val="center"/>
            <w:hideMark/>
          </w:tcPr>
          <w:p w14:paraId="2BCE7B1A"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Public diplomacy, political empowerment, democracy promotion</w:t>
            </w:r>
          </w:p>
        </w:tc>
        <w:tc>
          <w:tcPr>
            <w:tcW w:w="1342" w:type="dxa"/>
            <w:tcBorders>
              <w:top w:val="nil"/>
              <w:left w:val="nil"/>
              <w:bottom w:val="single" w:sz="8" w:space="0" w:color="auto"/>
              <w:right w:val="nil"/>
            </w:tcBorders>
            <w:shd w:val="clear" w:color="auto" w:fill="auto"/>
            <w:noWrap/>
            <w:vAlign w:val="center"/>
            <w:hideMark/>
          </w:tcPr>
          <w:p w14:paraId="2B556478"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1613" w:type="dxa"/>
            <w:tcBorders>
              <w:top w:val="nil"/>
              <w:left w:val="nil"/>
              <w:bottom w:val="single" w:sz="8" w:space="0" w:color="auto"/>
              <w:right w:val="nil"/>
            </w:tcBorders>
            <w:shd w:val="clear" w:color="auto" w:fill="auto"/>
            <w:noWrap/>
            <w:vAlign w:val="center"/>
            <w:hideMark/>
          </w:tcPr>
          <w:p w14:paraId="05FC2923"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Case-study</w:t>
            </w:r>
          </w:p>
        </w:tc>
        <w:tc>
          <w:tcPr>
            <w:tcW w:w="1482" w:type="dxa"/>
            <w:tcBorders>
              <w:top w:val="nil"/>
              <w:left w:val="nil"/>
              <w:bottom w:val="single" w:sz="8" w:space="0" w:color="auto"/>
              <w:right w:val="nil"/>
            </w:tcBorders>
            <w:shd w:val="clear" w:color="auto" w:fill="auto"/>
            <w:noWrap/>
            <w:vAlign w:val="center"/>
            <w:hideMark/>
          </w:tcPr>
          <w:p w14:paraId="35C2D984"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Secondary data</w:t>
            </w:r>
          </w:p>
        </w:tc>
        <w:tc>
          <w:tcPr>
            <w:tcW w:w="1009" w:type="dxa"/>
            <w:tcBorders>
              <w:top w:val="nil"/>
              <w:left w:val="nil"/>
              <w:bottom w:val="single" w:sz="8" w:space="0" w:color="auto"/>
              <w:right w:val="nil"/>
            </w:tcBorders>
            <w:shd w:val="clear" w:color="auto" w:fill="auto"/>
            <w:noWrap/>
            <w:vAlign w:val="center"/>
            <w:hideMark/>
          </w:tcPr>
          <w:p w14:paraId="0F1F6078"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451" w:type="dxa"/>
            <w:tcBorders>
              <w:top w:val="nil"/>
              <w:left w:val="nil"/>
              <w:bottom w:val="single" w:sz="8" w:space="0" w:color="auto"/>
              <w:right w:val="nil"/>
            </w:tcBorders>
            <w:shd w:val="clear" w:color="auto" w:fill="auto"/>
            <w:noWrap/>
            <w:vAlign w:val="center"/>
            <w:hideMark/>
          </w:tcPr>
          <w:p w14:paraId="41C481F5" w14:textId="77777777" w:rsidR="00996AE0" w:rsidRPr="00996AE0" w:rsidRDefault="00996AE0" w:rsidP="009156CF">
            <w:pPr>
              <w:jc w:val="right"/>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0</w:t>
            </w:r>
          </w:p>
        </w:tc>
        <w:tc>
          <w:tcPr>
            <w:tcW w:w="7470" w:type="dxa"/>
            <w:tcBorders>
              <w:top w:val="nil"/>
              <w:left w:val="nil"/>
              <w:bottom w:val="single" w:sz="8" w:space="0" w:color="auto"/>
              <w:right w:val="nil"/>
            </w:tcBorders>
            <w:shd w:val="clear" w:color="auto" w:fill="auto"/>
            <w:vAlign w:val="center"/>
            <w:hideMark/>
          </w:tcPr>
          <w:p w14:paraId="2ABA6DD8" w14:textId="77777777" w:rsidR="00996AE0" w:rsidRPr="00996AE0" w:rsidRDefault="00996AE0" w:rsidP="009156CF">
            <w:pPr>
              <w:rPr>
                <w:rFonts w:ascii="Times New Roman" w:eastAsia="Times New Roman" w:hAnsi="Times New Roman" w:cs="Times New Roman"/>
                <w:color w:val="000000"/>
                <w:sz w:val="15"/>
                <w:szCs w:val="15"/>
              </w:rPr>
            </w:pPr>
            <w:r w:rsidRPr="00996AE0">
              <w:rPr>
                <w:rFonts w:ascii="Times New Roman" w:eastAsia="Times New Roman" w:hAnsi="Times New Roman" w:cs="Times New Roman"/>
                <w:color w:val="000000" w:themeColor="text1"/>
                <w:sz w:val="15"/>
                <w:szCs w:val="15"/>
                <w:lang w:val="en-US"/>
              </w:rPr>
              <w:t>Actors trained by American-funded programs to empower citizens politically and build goodwill/connections with the middle-east public played significant roles in the Egyptian revolution.</w:t>
            </w:r>
          </w:p>
        </w:tc>
      </w:tr>
    </w:tbl>
    <w:p w14:paraId="2DF860D5" w14:textId="77777777" w:rsidR="00996AE0" w:rsidRPr="00996AE0" w:rsidRDefault="00996AE0">
      <w:pPr>
        <w:rPr>
          <w:rFonts w:ascii="Times New Roman" w:hAnsi="Times New Roman" w:cs="Times New Roman"/>
          <w:sz w:val="20"/>
          <w:szCs w:val="20"/>
        </w:rPr>
      </w:pPr>
    </w:p>
    <w:sectPr w:rsidR="00996AE0" w:rsidRPr="00996AE0" w:rsidSect="003D7B71">
      <w:pgSz w:w="27360" w:h="18720" w:orient="landscape" w:code="44"/>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58F257" w14:textId="77777777" w:rsidR="00121886" w:rsidRDefault="00121886" w:rsidP="00996AE0">
      <w:r>
        <w:separator/>
      </w:r>
    </w:p>
  </w:endnote>
  <w:endnote w:type="continuationSeparator" w:id="0">
    <w:p w14:paraId="3DD475D0" w14:textId="77777777" w:rsidR="00121886" w:rsidRDefault="00121886" w:rsidP="00996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981E39" w14:textId="77777777" w:rsidR="00121886" w:rsidRDefault="00121886" w:rsidP="00996AE0">
      <w:r>
        <w:separator/>
      </w:r>
    </w:p>
  </w:footnote>
  <w:footnote w:type="continuationSeparator" w:id="0">
    <w:p w14:paraId="6F6E0AE9" w14:textId="77777777" w:rsidR="00121886" w:rsidRDefault="00121886" w:rsidP="00996A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B71"/>
    <w:rsid w:val="00000379"/>
    <w:rsid w:val="00121886"/>
    <w:rsid w:val="001A2D26"/>
    <w:rsid w:val="002256F6"/>
    <w:rsid w:val="003B6663"/>
    <w:rsid w:val="003D7B71"/>
    <w:rsid w:val="0095326D"/>
    <w:rsid w:val="00996AE0"/>
    <w:rsid w:val="009D7F5B"/>
    <w:rsid w:val="009E60F8"/>
    <w:rsid w:val="00AF6A69"/>
    <w:rsid w:val="00B227FA"/>
    <w:rsid w:val="00B273BE"/>
    <w:rsid w:val="00EA15CF"/>
    <w:rsid w:val="00EC12C3"/>
    <w:rsid w:val="00FD0F5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22E27"/>
  <w15:chartTrackingRefBased/>
  <w15:docId w15:val="{FB757CE2-1160-154A-ADC1-39AF0A61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D7B71"/>
    <w:rPr>
      <w:color w:val="0563C1"/>
      <w:u w:val="single"/>
    </w:rPr>
  </w:style>
  <w:style w:type="character" w:styleId="FollowedHyperlink">
    <w:name w:val="FollowedHyperlink"/>
    <w:basedOn w:val="DefaultParagraphFont"/>
    <w:uiPriority w:val="99"/>
    <w:semiHidden/>
    <w:unhideWhenUsed/>
    <w:rsid w:val="003D7B71"/>
    <w:rPr>
      <w:color w:val="954F72"/>
      <w:u w:val="single"/>
    </w:rPr>
  </w:style>
  <w:style w:type="paragraph" w:customStyle="1" w:styleId="msonormal0">
    <w:name w:val="msonormal"/>
    <w:basedOn w:val="Normal"/>
    <w:rsid w:val="003D7B71"/>
    <w:pPr>
      <w:spacing w:before="100" w:beforeAutospacing="1" w:after="100" w:afterAutospacing="1"/>
    </w:pPr>
    <w:rPr>
      <w:rFonts w:ascii="Times New Roman" w:eastAsia="Times New Roman" w:hAnsi="Times New Roman" w:cs="Times New Roman"/>
    </w:rPr>
  </w:style>
  <w:style w:type="paragraph" w:customStyle="1" w:styleId="font5">
    <w:name w:val="font5"/>
    <w:basedOn w:val="Normal"/>
    <w:rsid w:val="003D7B71"/>
    <w:pPr>
      <w:spacing w:before="100" w:beforeAutospacing="1" w:after="100" w:afterAutospacing="1"/>
    </w:pPr>
    <w:rPr>
      <w:rFonts w:ascii="Times New Roman" w:eastAsia="Times New Roman" w:hAnsi="Times New Roman" w:cs="Times New Roman"/>
      <w:b/>
      <w:bCs/>
      <w:color w:val="000000"/>
      <w:sz w:val="15"/>
      <w:szCs w:val="15"/>
    </w:rPr>
  </w:style>
  <w:style w:type="paragraph" w:customStyle="1" w:styleId="font6">
    <w:name w:val="font6"/>
    <w:basedOn w:val="Normal"/>
    <w:rsid w:val="003D7B71"/>
    <w:pPr>
      <w:spacing w:before="100" w:beforeAutospacing="1" w:after="100" w:afterAutospacing="1"/>
    </w:pPr>
    <w:rPr>
      <w:rFonts w:ascii="Times New Roman" w:eastAsia="Times New Roman" w:hAnsi="Times New Roman" w:cs="Times New Roman"/>
      <w:color w:val="000000"/>
      <w:sz w:val="15"/>
      <w:szCs w:val="15"/>
    </w:rPr>
  </w:style>
  <w:style w:type="paragraph" w:customStyle="1" w:styleId="font7">
    <w:name w:val="font7"/>
    <w:basedOn w:val="Normal"/>
    <w:rsid w:val="003D7B71"/>
    <w:pPr>
      <w:spacing w:before="100" w:beforeAutospacing="1" w:after="100" w:afterAutospacing="1"/>
    </w:pPr>
    <w:rPr>
      <w:rFonts w:ascii="Times New Roman" w:eastAsia="Times New Roman" w:hAnsi="Times New Roman" w:cs="Times New Roman"/>
      <w:color w:val="000000"/>
    </w:rPr>
  </w:style>
  <w:style w:type="paragraph" w:customStyle="1" w:styleId="font8">
    <w:name w:val="font8"/>
    <w:basedOn w:val="Normal"/>
    <w:rsid w:val="003D7B71"/>
    <w:pPr>
      <w:spacing w:before="100" w:beforeAutospacing="1" w:after="100" w:afterAutospacing="1"/>
    </w:pPr>
    <w:rPr>
      <w:rFonts w:ascii="Times New Roman" w:eastAsia="Times New Roman" w:hAnsi="Times New Roman" w:cs="Times New Roman"/>
      <w:color w:val="000000"/>
      <w:sz w:val="16"/>
      <w:szCs w:val="16"/>
    </w:rPr>
  </w:style>
  <w:style w:type="paragraph" w:customStyle="1" w:styleId="font9">
    <w:name w:val="font9"/>
    <w:basedOn w:val="Normal"/>
    <w:rsid w:val="003D7B71"/>
    <w:pPr>
      <w:spacing w:before="100" w:beforeAutospacing="1" w:after="100" w:afterAutospacing="1"/>
    </w:pPr>
    <w:rPr>
      <w:rFonts w:ascii="Times New Roman" w:eastAsia="Times New Roman" w:hAnsi="Times New Roman" w:cs="Times New Roman"/>
      <w:color w:val="FF0000"/>
      <w:sz w:val="15"/>
      <w:szCs w:val="15"/>
    </w:rPr>
  </w:style>
  <w:style w:type="paragraph" w:customStyle="1" w:styleId="font10">
    <w:name w:val="font10"/>
    <w:basedOn w:val="Normal"/>
    <w:rsid w:val="003D7B71"/>
    <w:pPr>
      <w:spacing w:before="100" w:beforeAutospacing="1" w:after="100" w:afterAutospacing="1"/>
    </w:pPr>
    <w:rPr>
      <w:rFonts w:ascii="Times New Roman" w:eastAsia="Times New Roman" w:hAnsi="Times New Roman" w:cs="Times New Roman"/>
      <w:color w:val="008080"/>
      <w:sz w:val="15"/>
      <w:szCs w:val="15"/>
      <w:u w:val="single"/>
    </w:rPr>
  </w:style>
  <w:style w:type="paragraph" w:customStyle="1" w:styleId="xl65">
    <w:name w:val="xl65"/>
    <w:basedOn w:val="Normal"/>
    <w:rsid w:val="003D7B71"/>
    <w:pPr>
      <w:spacing w:before="100" w:beforeAutospacing="1" w:after="100" w:afterAutospacing="1"/>
      <w:textAlignment w:val="center"/>
    </w:pPr>
    <w:rPr>
      <w:rFonts w:ascii="Times New Roman" w:eastAsia="Times New Roman" w:hAnsi="Times New Roman" w:cs="Times New Roman"/>
      <w:b/>
      <w:bCs/>
      <w:color w:val="000000"/>
      <w:sz w:val="15"/>
      <w:szCs w:val="15"/>
    </w:rPr>
  </w:style>
  <w:style w:type="paragraph" w:customStyle="1" w:styleId="xl66">
    <w:name w:val="xl66"/>
    <w:basedOn w:val="Normal"/>
    <w:rsid w:val="003D7B71"/>
    <w:pPr>
      <w:pBdr>
        <w:bottom w:val="single" w:sz="8" w:space="0" w:color="auto"/>
      </w:pBdr>
      <w:spacing w:before="100" w:beforeAutospacing="1" w:after="100" w:afterAutospacing="1"/>
      <w:textAlignment w:val="center"/>
    </w:pPr>
    <w:rPr>
      <w:rFonts w:ascii="Times New Roman" w:eastAsia="Times New Roman" w:hAnsi="Times New Roman" w:cs="Times New Roman"/>
      <w:b/>
      <w:bCs/>
      <w:color w:val="000000"/>
      <w:sz w:val="15"/>
      <w:szCs w:val="15"/>
    </w:rPr>
  </w:style>
  <w:style w:type="paragraph" w:customStyle="1" w:styleId="xl67">
    <w:name w:val="xl67"/>
    <w:basedOn w:val="Normal"/>
    <w:rsid w:val="003D7B71"/>
    <w:pPr>
      <w:spacing w:before="100" w:beforeAutospacing="1" w:after="100" w:afterAutospacing="1"/>
      <w:textAlignment w:val="center"/>
    </w:pPr>
    <w:rPr>
      <w:rFonts w:ascii="Times New Roman" w:eastAsia="Times New Roman" w:hAnsi="Times New Roman" w:cs="Times New Roman"/>
      <w:color w:val="000000"/>
      <w:sz w:val="15"/>
      <w:szCs w:val="15"/>
    </w:rPr>
  </w:style>
  <w:style w:type="paragraph" w:customStyle="1" w:styleId="xl68">
    <w:name w:val="xl68"/>
    <w:basedOn w:val="Normal"/>
    <w:rsid w:val="003D7B71"/>
    <w:pPr>
      <w:spacing w:before="100" w:beforeAutospacing="1" w:after="100" w:afterAutospacing="1"/>
      <w:textAlignment w:val="center"/>
    </w:pPr>
    <w:rPr>
      <w:rFonts w:ascii="Times New Roman" w:eastAsia="Times New Roman" w:hAnsi="Times New Roman" w:cs="Times New Roman"/>
      <w:color w:val="000000"/>
      <w:sz w:val="15"/>
      <w:szCs w:val="15"/>
    </w:rPr>
  </w:style>
  <w:style w:type="paragraph" w:customStyle="1" w:styleId="xl69">
    <w:name w:val="xl69"/>
    <w:basedOn w:val="Normal"/>
    <w:rsid w:val="003D7B71"/>
    <w:pPr>
      <w:pBdr>
        <w:bottom w:val="single" w:sz="8" w:space="0" w:color="auto"/>
      </w:pBdr>
      <w:spacing w:before="100" w:beforeAutospacing="1" w:after="100" w:afterAutospacing="1"/>
      <w:textAlignment w:val="center"/>
    </w:pPr>
    <w:rPr>
      <w:rFonts w:ascii="Times New Roman" w:eastAsia="Times New Roman" w:hAnsi="Times New Roman" w:cs="Times New Roman"/>
      <w:color w:val="000000"/>
      <w:sz w:val="15"/>
      <w:szCs w:val="15"/>
    </w:rPr>
  </w:style>
  <w:style w:type="paragraph" w:customStyle="1" w:styleId="xl70">
    <w:name w:val="xl70"/>
    <w:basedOn w:val="Normal"/>
    <w:rsid w:val="003D7B71"/>
    <w:pPr>
      <w:pBdr>
        <w:bottom w:val="single" w:sz="8" w:space="0" w:color="auto"/>
      </w:pBdr>
      <w:spacing w:before="100" w:beforeAutospacing="1" w:after="100" w:afterAutospacing="1"/>
      <w:textAlignment w:val="center"/>
    </w:pPr>
    <w:rPr>
      <w:rFonts w:ascii="Times New Roman" w:eastAsia="Times New Roman" w:hAnsi="Times New Roman" w:cs="Times New Roman"/>
      <w:color w:val="000000"/>
      <w:sz w:val="15"/>
      <w:szCs w:val="15"/>
    </w:rPr>
  </w:style>
  <w:style w:type="paragraph" w:customStyle="1" w:styleId="xl71">
    <w:name w:val="xl71"/>
    <w:basedOn w:val="Normal"/>
    <w:rsid w:val="003D7B71"/>
    <w:pPr>
      <w:pBdr>
        <w:top w:val="single" w:sz="8" w:space="0" w:color="auto"/>
      </w:pBdr>
      <w:spacing w:before="100" w:beforeAutospacing="1" w:after="100" w:afterAutospacing="1"/>
      <w:textAlignment w:val="center"/>
    </w:pPr>
    <w:rPr>
      <w:rFonts w:ascii="Times New Roman" w:eastAsia="Times New Roman" w:hAnsi="Times New Roman" w:cs="Times New Roman"/>
      <w:b/>
      <w:bCs/>
      <w:color w:val="000000"/>
      <w:sz w:val="15"/>
      <w:szCs w:val="15"/>
    </w:rPr>
  </w:style>
  <w:style w:type="paragraph" w:customStyle="1" w:styleId="xl72">
    <w:name w:val="xl72"/>
    <w:basedOn w:val="Normal"/>
    <w:rsid w:val="003D7B71"/>
    <w:pPr>
      <w:pBdr>
        <w:top w:val="single" w:sz="8" w:space="0" w:color="auto"/>
      </w:pBdr>
      <w:spacing w:before="100" w:beforeAutospacing="1" w:after="100" w:afterAutospacing="1"/>
      <w:textAlignment w:val="center"/>
    </w:pPr>
    <w:rPr>
      <w:rFonts w:ascii="Times New Roman" w:eastAsia="Times New Roman" w:hAnsi="Times New Roman" w:cs="Times New Roman"/>
      <w:b/>
      <w:bCs/>
      <w:color w:val="000000"/>
      <w:sz w:val="15"/>
      <w:szCs w:val="15"/>
    </w:rPr>
  </w:style>
  <w:style w:type="paragraph" w:customStyle="1" w:styleId="xl73">
    <w:name w:val="xl73"/>
    <w:basedOn w:val="Normal"/>
    <w:rsid w:val="003D7B71"/>
    <w:pPr>
      <w:pBdr>
        <w:bottom w:val="single" w:sz="8" w:space="0" w:color="auto"/>
      </w:pBdr>
      <w:spacing w:before="100" w:beforeAutospacing="1" w:after="100" w:afterAutospacing="1"/>
      <w:textAlignment w:val="center"/>
    </w:pPr>
    <w:rPr>
      <w:rFonts w:ascii="Times New Roman" w:eastAsia="Times New Roman" w:hAnsi="Times New Roman" w:cs="Times New Roman"/>
      <w:b/>
      <w:bCs/>
      <w:color w:val="000000"/>
      <w:sz w:val="15"/>
      <w:szCs w:val="15"/>
    </w:rPr>
  </w:style>
  <w:style w:type="table" w:styleId="TableGrid">
    <w:name w:val="Table Grid"/>
    <w:basedOn w:val="TableNormal"/>
    <w:uiPriority w:val="39"/>
    <w:rsid w:val="00996A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96AE0"/>
    <w:pPr>
      <w:tabs>
        <w:tab w:val="center" w:pos="4680"/>
        <w:tab w:val="right" w:pos="9360"/>
      </w:tabs>
    </w:pPr>
  </w:style>
  <w:style w:type="character" w:customStyle="1" w:styleId="HeaderChar">
    <w:name w:val="Header Char"/>
    <w:basedOn w:val="DefaultParagraphFont"/>
    <w:link w:val="Header"/>
    <w:uiPriority w:val="99"/>
    <w:rsid w:val="00996AE0"/>
  </w:style>
  <w:style w:type="paragraph" w:styleId="Footer">
    <w:name w:val="footer"/>
    <w:basedOn w:val="Normal"/>
    <w:link w:val="FooterChar"/>
    <w:uiPriority w:val="99"/>
    <w:unhideWhenUsed/>
    <w:rsid w:val="00996AE0"/>
    <w:pPr>
      <w:tabs>
        <w:tab w:val="center" w:pos="4680"/>
        <w:tab w:val="right" w:pos="9360"/>
      </w:tabs>
    </w:pPr>
  </w:style>
  <w:style w:type="character" w:customStyle="1" w:styleId="FooterChar">
    <w:name w:val="Footer Char"/>
    <w:basedOn w:val="DefaultParagraphFont"/>
    <w:link w:val="Footer"/>
    <w:uiPriority w:val="99"/>
    <w:rsid w:val="00996A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07285">
      <w:bodyDiv w:val="1"/>
      <w:marLeft w:val="0"/>
      <w:marRight w:val="0"/>
      <w:marTop w:val="0"/>
      <w:marBottom w:val="0"/>
      <w:divBdr>
        <w:top w:val="none" w:sz="0" w:space="0" w:color="auto"/>
        <w:left w:val="none" w:sz="0" w:space="0" w:color="auto"/>
        <w:bottom w:val="none" w:sz="0" w:space="0" w:color="auto"/>
        <w:right w:val="none" w:sz="0" w:space="0" w:color="auto"/>
      </w:divBdr>
    </w:div>
    <w:div w:id="338630187">
      <w:bodyDiv w:val="1"/>
      <w:marLeft w:val="0"/>
      <w:marRight w:val="0"/>
      <w:marTop w:val="0"/>
      <w:marBottom w:val="0"/>
      <w:divBdr>
        <w:top w:val="none" w:sz="0" w:space="0" w:color="auto"/>
        <w:left w:val="none" w:sz="0" w:space="0" w:color="auto"/>
        <w:bottom w:val="none" w:sz="0" w:space="0" w:color="auto"/>
        <w:right w:val="none" w:sz="0" w:space="0" w:color="auto"/>
      </w:divBdr>
    </w:div>
    <w:div w:id="689526151">
      <w:bodyDiv w:val="1"/>
      <w:marLeft w:val="0"/>
      <w:marRight w:val="0"/>
      <w:marTop w:val="0"/>
      <w:marBottom w:val="0"/>
      <w:divBdr>
        <w:top w:val="none" w:sz="0" w:space="0" w:color="auto"/>
        <w:left w:val="none" w:sz="0" w:space="0" w:color="auto"/>
        <w:bottom w:val="none" w:sz="0" w:space="0" w:color="auto"/>
        <w:right w:val="none" w:sz="0" w:space="0" w:color="auto"/>
      </w:divBdr>
    </w:div>
    <w:div w:id="1285885848">
      <w:bodyDiv w:val="1"/>
      <w:marLeft w:val="0"/>
      <w:marRight w:val="0"/>
      <w:marTop w:val="0"/>
      <w:marBottom w:val="0"/>
      <w:divBdr>
        <w:top w:val="none" w:sz="0" w:space="0" w:color="auto"/>
        <w:left w:val="none" w:sz="0" w:space="0" w:color="auto"/>
        <w:bottom w:val="none" w:sz="0" w:space="0" w:color="auto"/>
        <w:right w:val="none" w:sz="0" w:space="0" w:color="auto"/>
      </w:divBdr>
    </w:div>
    <w:div w:id="1473982827">
      <w:bodyDiv w:val="1"/>
      <w:marLeft w:val="0"/>
      <w:marRight w:val="0"/>
      <w:marTop w:val="0"/>
      <w:marBottom w:val="0"/>
      <w:divBdr>
        <w:top w:val="none" w:sz="0" w:space="0" w:color="auto"/>
        <w:left w:val="none" w:sz="0" w:space="0" w:color="auto"/>
        <w:bottom w:val="none" w:sz="0" w:space="0" w:color="auto"/>
        <w:right w:val="none" w:sz="0" w:space="0" w:color="auto"/>
      </w:divBdr>
    </w:div>
    <w:div w:id="1532258580">
      <w:bodyDiv w:val="1"/>
      <w:marLeft w:val="0"/>
      <w:marRight w:val="0"/>
      <w:marTop w:val="0"/>
      <w:marBottom w:val="0"/>
      <w:divBdr>
        <w:top w:val="none" w:sz="0" w:space="0" w:color="auto"/>
        <w:left w:val="none" w:sz="0" w:space="0" w:color="auto"/>
        <w:bottom w:val="none" w:sz="0" w:space="0" w:color="auto"/>
        <w:right w:val="none" w:sz="0" w:space="0" w:color="auto"/>
      </w:divBdr>
    </w:div>
    <w:div w:id="1964916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5314</Words>
  <Characters>30292</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 abid</dc:creator>
  <cp:keywords/>
  <dc:description/>
  <cp:lastModifiedBy>Ramya M.</cp:lastModifiedBy>
  <cp:revision>5</cp:revision>
  <dcterms:created xsi:type="dcterms:W3CDTF">2022-05-02T01:43:00Z</dcterms:created>
  <dcterms:modified xsi:type="dcterms:W3CDTF">2022-11-08T15:07:00Z</dcterms:modified>
</cp:coreProperties>
</file>