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566" w:rsidRDefault="00C07566" w:rsidP="00C07566">
      <w:pPr>
        <w:rPr>
          <w:b/>
        </w:rPr>
      </w:pPr>
      <w:r w:rsidRPr="00C07566">
        <w:rPr>
          <w:b/>
        </w:rPr>
        <w:t>Supplemental Information</w:t>
      </w:r>
    </w:p>
    <w:p w:rsidR="00881820" w:rsidRPr="00C07566" w:rsidRDefault="00DB38F5" w:rsidP="00C07566">
      <w:pPr>
        <w:rPr>
          <w:b/>
        </w:rPr>
      </w:pPr>
      <w:r>
        <w:rPr>
          <w:b/>
        </w:rPr>
        <w:t>Barker M</w:t>
      </w:r>
      <w:r w:rsidR="00881820">
        <w:rPr>
          <w:b/>
        </w:rPr>
        <w:t>odel</w:t>
      </w:r>
    </w:p>
    <w:p w:rsidR="00C07566" w:rsidRPr="00C07566" w:rsidRDefault="00C07566" w:rsidP="00FB182A">
      <w:pPr>
        <w:rPr>
          <w:b/>
        </w:rPr>
      </w:pPr>
      <w:r>
        <w:t xml:space="preserve">Cormac-Jolly-Seber (CJS) models </w:t>
      </w:r>
      <w:r>
        <w:fldChar w:fldCharType="begin">
          <w:fldData xml:space="preserve">PEVuZE5vdGU+PENpdGU+PEF1dGhvcj5TZWJlcjwvQXV0aG9yPjxZZWFyPjE5NjU8L1llYXI+PFJl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==
</w:fldData>
        </w:fldChar>
      </w:r>
      <w:r w:rsidR="006C1354">
        <w:instrText xml:space="preserve"> ADDIN EN.CITE </w:instrText>
      </w:r>
      <w:r w:rsidR="006C1354">
        <w:fldChar w:fldCharType="begin">
          <w:fldData xml:space="preserve">PEVuZE5vdGU+PENpdGU+PEF1dGhvcj5TZWJlcjwvQXV0aG9yPjxZZWFyPjE5NjU8L1llYXI+PFJl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==
</w:fldData>
        </w:fldChar>
      </w:r>
      <w:r w:rsidR="006C1354">
        <w:instrText xml:space="preserve"> ADDIN EN.CITE.DATA </w:instrText>
      </w:r>
      <w:r w:rsidR="006C1354">
        <w:fldChar w:fldCharType="end"/>
      </w:r>
      <w:r>
        <w:fldChar w:fldCharType="separate"/>
      </w:r>
      <w:r w:rsidR="006C1354">
        <w:rPr>
          <w:noProof/>
        </w:rPr>
        <w:t>(</w:t>
      </w:r>
      <w:hyperlink w:anchor="_ENREF_6" w:tooltip="Cormack, 1964 #344" w:history="1">
        <w:r w:rsidR="00D67944">
          <w:rPr>
            <w:noProof/>
          </w:rPr>
          <w:t>Cormack 1964</w:t>
        </w:r>
      </w:hyperlink>
      <w:r w:rsidR="006C1354">
        <w:rPr>
          <w:noProof/>
        </w:rPr>
        <w:t xml:space="preserve">; </w:t>
      </w:r>
      <w:hyperlink w:anchor="_ENREF_7" w:tooltip="Jolly, 1965 #347" w:history="1">
        <w:r w:rsidR="00D67944">
          <w:rPr>
            <w:noProof/>
          </w:rPr>
          <w:t>Jolly 1965</w:t>
        </w:r>
      </w:hyperlink>
      <w:r w:rsidR="006C1354">
        <w:rPr>
          <w:noProof/>
        </w:rPr>
        <w:t xml:space="preserve">; </w:t>
      </w:r>
      <w:hyperlink w:anchor="_ENREF_11" w:tooltip="Seber, 1965 #355" w:history="1">
        <w:r w:rsidR="00D67944">
          <w:rPr>
            <w:noProof/>
          </w:rPr>
          <w:t>Seber 1965</w:t>
        </w:r>
      </w:hyperlink>
      <w:r w:rsidR="006C1354">
        <w:rPr>
          <w:noProof/>
        </w:rPr>
        <w:t>)</w:t>
      </w:r>
      <w:r>
        <w:fldChar w:fldCharType="end"/>
      </w:r>
      <w:r>
        <w:t xml:space="preserve">, which are a class of </w:t>
      </w:r>
      <w:r w:rsidR="00E8536D">
        <w:t>capture-mark-recapture (</w:t>
      </w:r>
      <w:r>
        <w:t>CMR</w:t>
      </w:r>
      <w:r w:rsidR="00E8536D">
        <w:t>)</w:t>
      </w:r>
      <w:r>
        <w:t xml:space="preserve"> models, have been well tested and used for survival estimation of marked fish in large </w:t>
      </w:r>
      <w:r>
        <w:fldChar w:fldCharType="begin"/>
      </w:r>
      <w:r w:rsidR="006C1354">
        <w:instrText xml:space="preserve"> ADDIN EN.CITE &lt;EndNote&gt;&lt;Cite&gt;&lt;Author&gt;Burnham&lt;/Author&gt;&lt;Year&gt;1987&lt;/Year&gt;&lt;RecNum&gt;14&lt;/RecNum&gt;&lt;DisplayText&gt;(Burnham et al. 1987)&lt;/DisplayText&gt;&lt;record&gt;&lt;rec-number&gt;14&lt;/rec-number&gt;&lt;ref-type name="Book"&gt;6&lt;/ref-type&gt;&lt;contributors&gt;&lt;authors&gt;&lt;author&gt;Burnham, K. P.&lt;/author&gt;&lt;author&gt;Anderson, D. R.&lt;/author&gt;&lt;author&gt;White, G. C.&lt;/author&gt;&lt;author&gt;Brownie, C.&lt;/author&gt;&lt;author&gt;Pollock, K. H.&lt;/author&gt;&lt;/authors&gt;&lt;/contributors&gt;&lt;titles&gt;&lt;title&gt;Design and analysis methods of fish survival experiments based on release-recapture.  Monograph 5&lt;/title&gt;&lt;/titles&gt;&lt;volume&gt;Monograph 5&lt;/volume&gt;&lt;number&gt;Monograph 5&lt;/number&gt;&lt;dates&gt;&lt;year&gt;1987&lt;/year&gt;&lt;/dates&gt;&lt;pub-location&gt;Bethesda, Maryland, USA&lt;/pub-location&gt;&lt;publisher&gt;American Fisheries Society&lt;/publisher&gt;&lt;urls&gt;&lt;/urls&gt;&lt;/record&gt;&lt;/Cite&gt;&lt;/EndNote&gt;</w:instrText>
      </w:r>
      <w:r>
        <w:fldChar w:fldCharType="separate"/>
      </w:r>
      <w:r w:rsidR="006C1354">
        <w:rPr>
          <w:noProof/>
        </w:rPr>
        <w:t>(</w:t>
      </w:r>
      <w:hyperlink w:anchor="_ENREF_4" w:tooltip="Burnham, 1987 #14" w:history="1">
        <w:r w:rsidR="00D67944">
          <w:rPr>
            <w:noProof/>
          </w:rPr>
          <w:t>Burnham et al. 1987</w:t>
        </w:r>
      </w:hyperlink>
      <w:r w:rsidR="006C1354">
        <w:rPr>
          <w:noProof/>
        </w:rPr>
        <w:t>)</w:t>
      </w:r>
      <w:r>
        <w:fldChar w:fldCharType="end"/>
      </w:r>
      <w:r>
        <w:t xml:space="preserve"> and small freshwater tributaries. However, CJS </w:t>
      </w:r>
      <w:r w:rsidRPr="00982A19">
        <w:t xml:space="preserve">models require </w:t>
      </w:r>
      <w:r>
        <w:t>captures and recaptures (active sampling period) to occur during discrete and short, relative to the period between active sampling occasions,</w:t>
      </w:r>
      <w:r w:rsidRPr="00982A19">
        <w:t xml:space="preserve"> sampling occasions</w:t>
      </w:r>
      <w:r>
        <w:t xml:space="preserve">.  </w:t>
      </w:r>
      <w:r w:rsidR="004D3618">
        <w:t>Data from passive instream antennas (</w:t>
      </w:r>
      <w:r w:rsidRPr="00982A19">
        <w:t>PIA</w:t>
      </w:r>
      <w:r w:rsidR="004D3618">
        <w:t>)</w:t>
      </w:r>
      <w:r>
        <w:t xml:space="preserve">, which </w:t>
      </w:r>
      <w:r w:rsidR="004D3618">
        <w:t>collect data</w:t>
      </w:r>
      <w:r>
        <w:t xml:space="preserve"> continuously on </w:t>
      </w:r>
      <w:r w:rsidR="004D3618">
        <w:t>passive integrated transponder (</w:t>
      </w:r>
      <w:proofErr w:type="gramStart"/>
      <w:r>
        <w:t>PIT</w:t>
      </w:r>
      <w:r w:rsidR="004D3618">
        <w:t>)</w:t>
      </w:r>
      <w:proofErr w:type="gramEnd"/>
      <w:r>
        <w:t xml:space="preserve"> marked individuals,</w:t>
      </w:r>
      <w:r w:rsidRPr="00982A19">
        <w:t xml:space="preserve"> </w:t>
      </w:r>
      <w:r>
        <w:t xml:space="preserve">does not naturally fit within the </w:t>
      </w:r>
      <w:r w:rsidRPr="00982A19">
        <w:t xml:space="preserve">CJS </w:t>
      </w:r>
      <w:r>
        <w:t>sampling framework</w:t>
      </w:r>
      <w:r w:rsidRPr="00982A19">
        <w:t xml:space="preserve">.  </w:t>
      </w:r>
      <w:r>
        <w:t>More recently, CMR models, such as the Barker model</w:t>
      </w:r>
      <w:r w:rsidR="006C1354">
        <w:t xml:space="preserve"> </w:t>
      </w:r>
      <w:r w:rsidR="006C1354">
        <w:fldChar w:fldCharType="begin"/>
      </w:r>
      <w:r w:rsidR="006C1354">
        <w:instrText xml:space="preserve"> ADDIN EN.CITE &lt;EndNote&gt;&lt;Cite&gt;&lt;Author&gt;Barker&lt;/Author&gt;&lt;Year&gt;1997&lt;/Year&gt;&lt;RecNum&gt;1055&lt;/RecNum&gt;&lt;DisplayText&gt;(Barker 1997)&lt;/DisplayText&gt;&lt;record&gt;&lt;rec-number&gt;1055&lt;/rec-number&gt;&lt;foreign-keys&gt;&lt;key app="EN" db-id="22zas0zfmprsswe2ed7p0xssf0ttazz5dswz"&gt;1055&lt;/key&gt;&lt;/foreign-keys&gt;&lt;ref-type name="Journal Article"&gt;17&lt;/ref-type&gt;&lt;contributors&gt;&lt;authors&gt;&lt;author&gt;Barker, Richard J.&lt;/author&gt;&lt;/authors&gt;&lt;/contributors&gt;&lt;titles&gt;&lt;title&gt;Joint modeling of live-recapture, tag-resight, and tag-recovery data&lt;/title&gt;&lt;secondary-title&gt;Biometrics&lt;/secondary-title&gt;&lt;/titles&gt;&lt;periodical&gt;&lt;full-title&gt;Biometrics&lt;/full-title&gt;&lt;/periodical&gt;&lt;pages&gt;666-677&lt;/pages&gt;&lt;volume&gt;53&lt;/volume&gt;&lt;number&gt;2&lt;/number&gt;&lt;dates&gt;&lt;year&gt;1997&lt;/year&gt;&lt;/dates&gt;&lt;urls&gt;&lt;/urls&gt;&lt;/record&gt;&lt;/Cite&gt;&lt;/EndNote&gt;</w:instrText>
      </w:r>
      <w:r w:rsidR="006C1354">
        <w:fldChar w:fldCharType="separate"/>
      </w:r>
      <w:r w:rsidR="006C1354">
        <w:rPr>
          <w:noProof/>
        </w:rPr>
        <w:t>(</w:t>
      </w:r>
      <w:hyperlink w:anchor="_ENREF_1" w:tooltip="Barker, 1997 #1055" w:history="1">
        <w:r w:rsidR="00D67944">
          <w:rPr>
            <w:noProof/>
          </w:rPr>
          <w:t>Barker 1997</w:t>
        </w:r>
      </w:hyperlink>
      <w:r w:rsidR="006C1354">
        <w:rPr>
          <w:noProof/>
        </w:rPr>
        <w:t>)</w:t>
      </w:r>
      <w:r w:rsidR="006C1354">
        <w:fldChar w:fldCharType="end"/>
      </w:r>
      <w:r>
        <w:t xml:space="preserve">, have been developed to accommodate continuously collected resight and recovery data between sampling occasions.  </w:t>
      </w:r>
      <w:proofErr w:type="spellStart"/>
      <w:r w:rsidRPr="00C07566">
        <w:t>Sandercock</w:t>
      </w:r>
      <w:proofErr w:type="spellEnd"/>
      <w:r w:rsidRPr="00C07566">
        <w:t xml:space="preserve"> </w:t>
      </w:r>
      <w:r w:rsidRPr="00C07566">
        <w:fldChar w:fldCharType="begin"/>
      </w:r>
      <w:r w:rsidR="006C1354">
        <w:instrText xml:space="preserve"> ADDIN EN.CITE &lt;EndNote&gt;&lt;Cite ExcludeAuth="1"&gt;&lt;Author&gt;Sandercock&lt;/Author&gt;&lt;Year&gt;2006&lt;/Year&gt;&lt;RecNum&gt;5&lt;/RecNum&gt;&lt;DisplayText&gt;(2006)&lt;/DisplayText&gt;&lt;record&gt;&lt;rec-number&gt;5&lt;/rec-number&gt;&lt;ref-type name="Journal Article"&gt;17&lt;/ref-type&gt;&lt;contributors&gt;&lt;authors&gt;&lt;author&gt;Sandercock, Brett K.&lt;/author&gt;&lt;/authors&gt;&lt;/contributors&gt;&lt;titles&gt;&lt;title&gt;Estimation of Demographic Parameters from Live-Encounter Data: a Summary Review&lt;/title&gt;&lt;secondary-title&gt;Journal of Widlife Management&lt;/secondary-title&gt;&lt;/titles&gt;&lt;periodical&gt;&lt;full-title&gt;Journal of Widlife Management&lt;/full-title&gt;&lt;/periodical&gt;&lt;pages&gt;1504-1520&lt;/pages&gt;&lt;volume&gt;70&lt;/volume&gt;&lt;number&gt;6&lt;/number&gt;&lt;dates&gt;&lt;year&gt;2006&lt;/year&gt;&lt;/dates&gt;&lt;urls&gt;&lt;related-urls&gt;&lt;url&gt;http://www.bioone.org/doi/abs/10.2193/0022-541X%282006%2970%5B1504%3AEODPFL%5D2.0.CO%3B2 &lt;/url&gt;&lt;/related-urls&gt;&lt;/urls&gt;&lt;electronic-resource-num&gt;doi:10.2193/0022-541X(2006)70[1504:EODPFL]2.0.CO;2&lt;/electronic-resource-num&gt;&lt;/record&gt;&lt;/Cite&gt;&lt;/EndNote&gt;</w:instrText>
      </w:r>
      <w:r w:rsidRPr="00C07566">
        <w:fldChar w:fldCharType="separate"/>
      </w:r>
      <w:r w:rsidR="006C1354">
        <w:rPr>
          <w:noProof/>
        </w:rPr>
        <w:t>(</w:t>
      </w:r>
      <w:hyperlink w:anchor="_ENREF_10" w:tooltip="Sandercock, 2006 #5" w:history="1">
        <w:r w:rsidR="00D67944">
          <w:rPr>
            <w:noProof/>
          </w:rPr>
          <w:t>2006</w:t>
        </w:r>
      </w:hyperlink>
      <w:r w:rsidR="006C1354">
        <w:rPr>
          <w:noProof/>
        </w:rPr>
        <w:t>)</w:t>
      </w:r>
      <w:r w:rsidRPr="00C07566">
        <w:fldChar w:fldCharType="end"/>
      </w:r>
      <w:r w:rsidRPr="00C07566">
        <w:t xml:space="preserve"> provides a good comparison of the CJS and Barker models in his review of CMR models.  </w:t>
      </w:r>
    </w:p>
    <w:p w:rsidR="00C07566" w:rsidRPr="00C07566" w:rsidRDefault="00C07566" w:rsidP="00881820">
      <w:r>
        <w:t xml:space="preserve">Because </w:t>
      </w:r>
      <w:r w:rsidR="004D3618">
        <w:t xml:space="preserve">the majority of survival </w:t>
      </w:r>
      <w:r>
        <w:t xml:space="preserve">data </w:t>
      </w:r>
      <w:r w:rsidR="004D3618">
        <w:t xml:space="preserve">was </w:t>
      </w:r>
      <w:r>
        <w:t>continuously collected</w:t>
      </w:r>
      <w:r w:rsidR="004D3618">
        <w:t xml:space="preserve"> by PIAs</w:t>
      </w:r>
      <w:r>
        <w:t>, we used the Barker model</w:t>
      </w:r>
      <w:r w:rsidR="006C1354">
        <w:t xml:space="preserve"> </w:t>
      </w:r>
      <w:r w:rsidR="006C1354">
        <w:fldChar w:fldCharType="begin"/>
      </w:r>
      <w:r w:rsidR="006C1354">
        <w:instrText xml:space="preserve"> ADDIN EN.CITE &lt;EndNote&gt;&lt;Cite&gt;&lt;Author&gt;Barker&lt;/Author&gt;&lt;Year&gt;1997&lt;/Year&gt;&lt;RecNum&gt;1055&lt;/RecNum&gt;&lt;DisplayText&gt;(Barker 1997)&lt;/DisplayText&gt;&lt;record&gt;&lt;rec-number&gt;1055&lt;/rec-number&gt;&lt;foreign-keys&gt;&lt;key app="EN" db-id="22zas0zfmprsswe2ed7p0xssf0ttazz5dswz"&gt;1055&lt;/key&gt;&lt;/foreign-keys&gt;&lt;ref-type name="Journal Article"&gt;17&lt;/ref-type&gt;&lt;contributors&gt;&lt;authors&gt;&lt;author&gt;Barker, Richard J.&lt;/author&gt;&lt;/authors&gt;&lt;/contributors&gt;&lt;titles&gt;&lt;title&gt;Joint modeling of live-recapture, tag-resight, and tag-recovery data&lt;/title&gt;&lt;secondary-title&gt;Biometrics&lt;/secondary-title&gt;&lt;/titles&gt;&lt;periodical&gt;&lt;full-title&gt;Biometrics&lt;/full-title&gt;&lt;/periodical&gt;&lt;pages&gt;666-677&lt;/pages&gt;&lt;volume&gt;53&lt;/volume&gt;&lt;number&gt;2&lt;/number&gt;&lt;dates&gt;&lt;year&gt;1997&lt;/year&gt;&lt;/dates&gt;&lt;urls&gt;&lt;/urls&gt;&lt;/record&gt;&lt;/Cite&gt;&lt;/EndNote&gt;</w:instrText>
      </w:r>
      <w:r w:rsidR="006C1354">
        <w:fldChar w:fldCharType="separate"/>
      </w:r>
      <w:r w:rsidR="006C1354">
        <w:rPr>
          <w:noProof/>
        </w:rPr>
        <w:t>(</w:t>
      </w:r>
      <w:hyperlink w:anchor="_ENREF_1" w:tooltip="Barker, 1997 #1055" w:history="1">
        <w:r w:rsidR="00D67944">
          <w:rPr>
            <w:noProof/>
          </w:rPr>
          <w:t>Barker 1997</w:t>
        </w:r>
      </w:hyperlink>
      <w:r w:rsidR="006C1354">
        <w:rPr>
          <w:noProof/>
        </w:rPr>
        <w:t>)</w:t>
      </w:r>
      <w:r w:rsidR="006C1354">
        <w:fldChar w:fldCharType="end"/>
      </w:r>
      <w:r w:rsidR="00881820">
        <w:t xml:space="preserve"> </w:t>
      </w:r>
      <w:r>
        <w:t>rather than a CJS model to estimate survi</w:t>
      </w:r>
      <w:r w:rsidR="00881820">
        <w:t>val. The Barker model is a re-</w:t>
      </w:r>
      <w:r>
        <w:t xml:space="preserve">parameterization of the CJS model </w:t>
      </w:r>
      <w:r w:rsidR="00881820">
        <w:t>includes</w:t>
      </w:r>
      <w:r>
        <w:t xml:space="preserve"> continuously collected resight and</w:t>
      </w:r>
      <w:r w:rsidR="00881820">
        <w:t xml:space="preserve"> </w:t>
      </w:r>
      <w:r>
        <w:t xml:space="preserve">recovery data between sampling occasions </w:t>
      </w:r>
      <w:r w:rsidR="00881820">
        <w:t>in the likelihood function</w:t>
      </w:r>
      <w:r w:rsidR="00D67944">
        <w:t xml:space="preserve"> </w:t>
      </w:r>
      <w:r w:rsidR="006C1354">
        <w:fldChar w:fldCharType="begin"/>
      </w:r>
      <w:r w:rsidR="006C1354">
        <w:instrText xml:space="preserve"> ADDIN EN.CITE &lt;EndNote&gt;&lt;Cite&gt;&lt;Author&gt;Barker&lt;/Author&gt;&lt;Year&gt;2004&lt;/Year&gt;&lt;RecNum&gt;1073&lt;/RecNum&gt;&lt;DisplayText&gt;(Barker et al. 2004)&lt;/DisplayText&gt;&lt;record&gt;&lt;rec-number&gt;1073&lt;/rec-number&gt;&lt;foreign-keys&gt;&lt;key app="EN" db-id="22zas0zfmprsswe2ed7p0xssf0ttazz5dswz"&gt;1073&lt;/key&gt;&lt;/foreign-keys&gt;&lt;ref-type name="Journal Article"&gt;17&lt;/ref-type&gt;&lt;contributors&gt;&lt;authors&gt;&lt;author&gt;Barker, Richard J.&lt;/author&gt;&lt;author&gt;Burnham, K. P.&lt;/author&gt;&lt;author&gt;White, G. C.&lt;/author&gt;&lt;/authors&gt;&lt;/contributors&gt;&lt;titles&gt;&lt;title&gt;Encounter history modeling of joing mark-recapture, tag-resighting and tag-recovery data under temporary emigration&lt;/title&gt;&lt;secondary-title&gt;Statistica Sinica&lt;/secondary-title&gt;&lt;/titles&gt;&lt;periodical&gt;&lt;full-title&gt;Statistica Sinica&lt;/full-title&gt;&lt;/periodical&gt;&lt;pages&gt;1037-1055&lt;/pages&gt;&lt;volume&gt;14&lt;/volume&gt;&lt;dates&gt;&lt;year&gt;2004&lt;/year&gt;&lt;/dates&gt;&lt;urls&gt;&lt;/urls&gt;&lt;/record&gt;&lt;/Cite&gt;&lt;/EndNote&gt;</w:instrText>
      </w:r>
      <w:r w:rsidR="006C1354">
        <w:fldChar w:fldCharType="separate"/>
      </w:r>
      <w:r w:rsidR="006C1354">
        <w:rPr>
          <w:noProof/>
        </w:rPr>
        <w:t>(</w:t>
      </w:r>
      <w:hyperlink w:anchor="_ENREF_2" w:tooltip="Barker, 2004 #1073" w:history="1">
        <w:r w:rsidR="00D67944">
          <w:rPr>
            <w:noProof/>
          </w:rPr>
          <w:t>Barker et al. 2004</w:t>
        </w:r>
      </w:hyperlink>
      <w:r w:rsidR="006C1354">
        <w:rPr>
          <w:noProof/>
        </w:rPr>
        <w:t>)</w:t>
      </w:r>
      <w:r w:rsidR="006C1354">
        <w:fldChar w:fldCharType="end"/>
      </w:r>
      <w:r>
        <w:t xml:space="preserve">. </w:t>
      </w:r>
      <w:r w:rsidR="00881820">
        <w:t xml:space="preserve"> </w:t>
      </w:r>
      <w:r>
        <w:t>There are 7 parameters in the</w:t>
      </w:r>
      <w:r w:rsidR="00881820">
        <w:t xml:space="preserve"> </w:t>
      </w:r>
      <w:r>
        <w:t xml:space="preserve">Barker </w:t>
      </w:r>
      <w:r w:rsidR="00881820">
        <w:t xml:space="preserve">model </w:t>
      </w:r>
      <w:r w:rsidR="006C1354">
        <w:fldChar w:fldCharType="begin"/>
      </w:r>
      <w:r w:rsidR="00121C5A">
        <w:instrText xml:space="preserve"> ADDIN EN.CITE &lt;EndNote&gt;&lt;Cite&gt;&lt;Author&gt;Cooch&lt;/Author&gt;&lt;Year&gt;2016&lt;/Year&gt;&lt;RecNum&gt;220&lt;/RecNum&gt;&lt;Prefix&gt;from &lt;/Prefix&gt;&lt;DisplayText&gt;(from Cooch and White 2016)&lt;/DisplayText&gt;&lt;record&gt;&lt;rec-number&gt;220&lt;/rec-number&gt;&lt;foreign-keys&gt;&lt;key app="EN" db-id="22zas0zfmprsswe2ed7p0xssf0ttazz5dswz"&gt;220&lt;/key&gt;&lt;/foreign-keys&gt;&lt;ref-type name="Electronic Book"&gt;44&lt;/ref-type&gt;&lt;contributors&gt;&lt;authors&gt;&lt;author&gt;Cooch, E. G.&lt;/author&gt;&lt;author&gt;White, G. C.&lt;/author&gt;&lt;/authors&gt;&lt;/contributors&gt;&lt;titles&gt;&lt;title&gt;Program MARK: &amp;quot;A gentle introduction&amp;quot;, 14th Edition&lt;/title&gt;&lt;/titles&gt;&lt;dates&gt;&lt;year&gt;2016&lt;/year&gt;&lt;/dates&gt;&lt;publisher&gt;Available at  http://www.phidot.org/software/mark/docs/book/&lt;/publisher&gt;&lt;urls&gt;&lt;/urls&gt;&lt;/record&gt;&lt;/Cite&gt;&lt;/EndNote&gt;</w:instrText>
      </w:r>
      <w:r w:rsidR="006C1354">
        <w:fldChar w:fldCharType="separate"/>
      </w:r>
      <w:r w:rsidR="00121C5A">
        <w:rPr>
          <w:noProof/>
        </w:rPr>
        <w:t>(</w:t>
      </w:r>
      <w:hyperlink w:anchor="_ENREF_5" w:tooltip="Cooch, 2016 #220" w:history="1">
        <w:r w:rsidR="00D67944">
          <w:rPr>
            <w:noProof/>
          </w:rPr>
          <w:t>from Cooch and White 2016</w:t>
        </w:r>
      </w:hyperlink>
      <w:r w:rsidR="00121C5A">
        <w:rPr>
          <w:noProof/>
        </w:rPr>
        <w:t>)</w:t>
      </w:r>
      <w:r w:rsidR="006C1354">
        <w:fldChar w:fldCharType="end"/>
      </w:r>
      <w:r>
        <w:t xml:space="preserve">: Si = the probability an animal alive at </w:t>
      </w:r>
      <w:proofErr w:type="spellStart"/>
      <w:r>
        <w:t>i</w:t>
      </w:r>
      <w:proofErr w:type="spellEnd"/>
      <w:r>
        <w:t xml:space="preserve"> is alive at </w:t>
      </w:r>
      <w:proofErr w:type="spellStart"/>
      <w:r w:rsidR="00881820">
        <w:t>i</w:t>
      </w:r>
      <w:proofErr w:type="spellEnd"/>
      <w:r w:rsidR="00881820">
        <w:t xml:space="preserve"> </w:t>
      </w:r>
      <w:r>
        <w:t xml:space="preserve">+1, pi = the probability an animal at risk of capture at </w:t>
      </w:r>
      <w:proofErr w:type="spellStart"/>
      <w:r>
        <w:t>i</w:t>
      </w:r>
      <w:proofErr w:type="spellEnd"/>
      <w:r>
        <w:t xml:space="preserve"> is captured at </w:t>
      </w:r>
      <w:proofErr w:type="spellStart"/>
      <w:r>
        <w:t>i</w:t>
      </w:r>
      <w:proofErr w:type="spellEnd"/>
      <w:r>
        <w:t xml:space="preserve">, </w:t>
      </w:r>
      <w:proofErr w:type="spellStart"/>
      <w:r>
        <w:t>ri</w:t>
      </w:r>
      <w:proofErr w:type="spellEnd"/>
      <w:r>
        <w:t xml:space="preserve"> = the probability an</w:t>
      </w:r>
      <w:r w:rsidR="00881820">
        <w:t xml:space="preserve"> </w:t>
      </w:r>
      <w:r>
        <w:t xml:space="preserve">animal that dies in interval </w:t>
      </w:r>
      <w:proofErr w:type="spellStart"/>
      <w:r>
        <w:t>i</w:t>
      </w:r>
      <w:proofErr w:type="spellEnd"/>
      <w:r>
        <w:t xml:space="preserve"> to </w:t>
      </w:r>
      <w:proofErr w:type="spellStart"/>
      <w:r>
        <w:t>i</w:t>
      </w:r>
      <w:proofErr w:type="spellEnd"/>
      <w:r>
        <w:t xml:space="preserve"> +1 is found dead, </w:t>
      </w:r>
      <w:proofErr w:type="spellStart"/>
      <w:r>
        <w:t>Ri</w:t>
      </w:r>
      <w:proofErr w:type="spellEnd"/>
      <w:r>
        <w:t xml:space="preserve"> = the probability an animal that survives</w:t>
      </w:r>
      <w:r w:rsidR="00881820">
        <w:t xml:space="preserve"> </w:t>
      </w:r>
      <w:r>
        <w:t xml:space="preserve">from </w:t>
      </w:r>
      <w:proofErr w:type="spellStart"/>
      <w:r>
        <w:t>i</w:t>
      </w:r>
      <w:proofErr w:type="spellEnd"/>
      <w:r>
        <w:t xml:space="preserve"> to </w:t>
      </w:r>
      <w:proofErr w:type="spellStart"/>
      <w:r>
        <w:t>i</w:t>
      </w:r>
      <w:proofErr w:type="spellEnd"/>
      <w:r>
        <w:t xml:space="preserve"> + 1 is resighted (alive) sometime between </w:t>
      </w:r>
      <w:proofErr w:type="spellStart"/>
      <w:r>
        <w:t>i</w:t>
      </w:r>
      <w:proofErr w:type="spellEnd"/>
      <w:r>
        <w:t xml:space="preserve"> and </w:t>
      </w:r>
      <w:proofErr w:type="spellStart"/>
      <w:r>
        <w:t>i</w:t>
      </w:r>
      <w:proofErr w:type="spellEnd"/>
      <w:r>
        <w:t xml:space="preserve"> +1, </w:t>
      </w:r>
      <w:proofErr w:type="spellStart"/>
      <w:r>
        <w:t>R′i</w:t>
      </w:r>
      <w:proofErr w:type="spellEnd"/>
      <w:r>
        <w:t xml:space="preserve"> = the probability an animal</w:t>
      </w:r>
      <w:r w:rsidR="00881820">
        <w:t xml:space="preserve"> </w:t>
      </w:r>
      <w:r>
        <w:t xml:space="preserve">that dies in </w:t>
      </w:r>
      <w:proofErr w:type="spellStart"/>
      <w:r>
        <w:t>i</w:t>
      </w:r>
      <w:proofErr w:type="spellEnd"/>
      <w:r>
        <w:t xml:space="preserve">, </w:t>
      </w:r>
      <w:proofErr w:type="spellStart"/>
      <w:r>
        <w:t>i</w:t>
      </w:r>
      <w:proofErr w:type="spellEnd"/>
      <w:r>
        <w:t xml:space="preserve"> +1 without being found dead is resighted alive in </w:t>
      </w:r>
      <w:proofErr w:type="spellStart"/>
      <w:r>
        <w:t>i</w:t>
      </w:r>
      <w:proofErr w:type="spellEnd"/>
      <w:r>
        <w:t xml:space="preserve">, </w:t>
      </w:r>
      <w:proofErr w:type="spellStart"/>
      <w:r>
        <w:t>i</w:t>
      </w:r>
      <w:proofErr w:type="spellEnd"/>
      <w:r>
        <w:t xml:space="preserve"> + 1 before it died, Fi = the</w:t>
      </w:r>
      <w:r w:rsidR="00881820">
        <w:t xml:space="preserve"> </w:t>
      </w:r>
      <w:r>
        <w:t xml:space="preserve">probability an animal at risk of capture (i.e., on study area) at </w:t>
      </w:r>
      <w:proofErr w:type="spellStart"/>
      <w:r>
        <w:t>i</w:t>
      </w:r>
      <w:proofErr w:type="spellEnd"/>
      <w:r>
        <w:t xml:space="preserve"> is at risk of capture at </w:t>
      </w:r>
      <w:proofErr w:type="spellStart"/>
      <w:r>
        <w:t>i</w:t>
      </w:r>
      <w:proofErr w:type="spellEnd"/>
      <w:r>
        <w:t xml:space="preserve"> +1, and </w:t>
      </w:r>
      <w:proofErr w:type="spellStart"/>
      <w:r>
        <w:t>F′</w:t>
      </w:r>
      <w:r w:rsidR="00E8536D">
        <w:t>i</w:t>
      </w:r>
      <w:proofErr w:type="spellEnd"/>
      <w:r w:rsidR="00881820">
        <w:t xml:space="preserve"> </w:t>
      </w:r>
      <w:r>
        <w:t xml:space="preserve">= the probability an animal not at risk of capture at </w:t>
      </w:r>
      <w:proofErr w:type="spellStart"/>
      <w:r>
        <w:t>i</w:t>
      </w:r>
      <w:proofErr w:type="spellEnd"/>
      <w:r>
        <w:t xml:space="preserve"> is at</w:t>
      </w:r>
      <w:r w:rsidR="00881820">
        <w:t xml:space="preserve"> risk of capture at </w:t>
      </w:r>
      <w:proofErr w:type="spellStart"/>
      <w:r w:rsidR="00881820">
        <w:t>i</w:t>
      </w:r>
      <w:proofErr w:type="spellEnd"/>
      <w:r w:rsidR="00881820">
        <w:t xml:space="preserve"> + 1 (this differs from the definition in Barker 1997).</w:t>
      </w:r>
    </w:p>
    <w:p w:rsidR="006E6731" w:rsidRPr="00342A91" w:rsidRDefault="00881820">
      <w:pPr>
        <w:rPr>
          <w:b/>
        </w:rPr>
      </w:pPr>
      <w:r w:rsidRPr="00342A91">
        <w:rPr>
          <w:b/>
        </w:rPr>
        <w:t>Model Construction</w:t>
      </w:r>
    </w:p>
    <w:p w:rsidR="00881820" w:rsidRPr="00F65448" w:rsidRDefault="004D3618" w:rsidP="004D3618">
      <w:pPr>
        <w:rPr>
          <w:sz w:val="24"/>
          <w:szCs w:val="24"/>
        </w:rPr>
      </w:pPr>
      <w:r>
        <w:t>We constructed different encounter histor</w:t>
      </w:r>
      <w:r w:rsidR="00E8536D">
        <w:t>y input files</w:t>
      </w:r>
      <w:r>
        <w:t xml:space="preserve"> for fish in the treatment (Bridge Creek) and control (Murderers Creek) watersheds.  </w:t>
      </w:r>
      <w:r w:rsidR="00881820">
        <w:t xml:space="preserve">We followed the same model </w:t>
      </w:r>
      <w:r>
        <w:t xml:space="preserve">construction and </w:t>
      </w:r>
      <w:r w:rsidR="00881820">
        <w:t>selection procedures for both data sets. To</w:t>
      </w:r>
      <w:r w:rsidR="00342A91">
        <w:t xml:space="preserve"> </w:t>
      </w:r>
      <w:r w:rsidR="00881820">
        <w:t>minimize the number of models assessed simultaneously and avoid false significance issues</w:t>
      </w:r>
      <w:r w:rsidR="00342A91">
        <w:t xml:space="preserve"> </w:t>
      </w:r>
      <w:r w:rsidR="00121C5A">
        <w:fldChar w:fldCharType="begin"/>
      </w:r>
      <w:r w:rsidR="00121C5A">
        <w:instrText xml:space="preserve"> ADDIN EN.CITE &lt;EndNote&gt;&lt;Cite&gt;&lt;Author&gt;Burnham&lt;/Author&gt;&lt;Year&gt;2002&lt;/Year&gt;&lt;RecNum&gt;760&lt;/RecNum&gt;&lt;DisplayText&gt;(Burnham and Anderson 2002)&lt;/DisplayText&gt;&lt;record&gt;&lt;rec-number&gt;760&lt;/rec-number&gt;&lt;foreign-keys&gt;&lt;key app="EN" db-id="22zas0zfmprsswe2ed7p0xssf0ttazz5dswz"&gt;760&lt;/key&gt;&lt;/foreign-keys&gt;&lt;ref-type name="Book"&gt;6&lt;/ref-type&gt;&lt;contributors&gt;&lt;authors&gt;&lt;author&gt;Burnham, K. P.&lt;/author&gt;&lt;author&gt;Anderson, D. R.&lt;/author&gt;&lt;/authors&gt;&lt;/contributors&gt;&lt;titles&gt;&lt;title&gt;Model selection and multimodel inference: Second Edition&lt;/title&gt;&lt;/titles&gt;&lt;dates&gt;&lt;year&gt;2002&lt;/year&gt;&lt;/dates&gt;&lt;pub-location&gt;New York, New York, USA&lt;/pub-location&gt;&lt;publisher&gt;Springer-Verlag&lt;/publisher&gt;&lt;urls&gt;&lt;/urls&gt;&lt;/record&gt;&lt;/Cite&gt;&lt;/EndNote&gt;</w:instrText>
      </w:r>
      <w:r w:rsidR="00121C5A">
        <w:fldChar w:fldCharType="separate"/>
      </w:r>
      <w:r w:rsidR="00121C5A">
        <w:rPr>
          <w:noProof/>
        </w:rPr>
        <w:t>(</w:t>
      </w:r>
      <w:hyperlink w:anchor="_ENREF_3" w:tooltip="Burnham, 2002 #760" w:history="1">
        <w:r w:rsidR="00D67944">
          <w:rPr>
            <w:noProof/>
          </w:rPr>
          <w:t>Burnham and Anderson 2002</w:t>
        </w:r>
      </w:hyperlink>
      <w:r w:rsidR="00121C5A">
        <w:rPr>
          <w:noProof/>
        </w:rPr>
        <w:t>)</w:t>
      </w:r>
      <w:r w:rsidR="00121C5A">
        <w:fldChar w:fldCharType="end"/>
      </w:r>
      <w:r w:rsidR="00881820">
        <w:t>, our model development procedure was a sequential process</w:t>
      </w:r>
      <w:r w:rsidR="00342A91">
        <w:t xml:space="preserve"> </w:t>
      </w:r>
      <w:r w:rsidR="00D67944">
        <w:fldChar w:fldCharType="begin"/>
      </w:r>
      <w:r w:rsidR="00D67944">
        <w:instrText xml:space="preserve"> ADDIN EN.CITE &lt;EndNote&gt;&lt;Cite&gt;&lt;Author&gt;Nichols&lt;/Author&gt;&lt;Year&gt;1997&lt;/Year&gt;&lt;RecNum&gt;939&lt;/RecNum&gt;&lt;DisplayText&gt;(Nichols et al. 1997)&lt;/DisplayText&gt;&lt;record&gt;&lt;rec-number&gt;939&lt;/rec-number&gt;&lt;foreign-keys&gt;&lt;key app="EN" db-id="22zas0zfmprsswe2ed7p0xssf0ttazz5dswz"&gt;939&lt;/key&gt;&lt;/foreign-keys&gt;&lt;ref-type name="Journal Article"&gt;17&lt;/ref-type&gt;&lt;contributors&gt;&lt;authors&gt;&lt;author&gt;Nichols, J. D.&lt;/author&gt;&lt;author&gt;J. E. Hines&lt;/author&gt;&lt;author&gt;P. Blums&lt;/author&gt;&lt;/authors&gt;&lt;/contributors&gt;&lt;titles&gt;&lt;title&gt;&lt;style face="normal" font="default" size="100%"&gt;Tests for senescent decline in annual survival probabilities of common pochards, &lt;/style&gt;&lt;style face="italic" font="default" size="100%"&gt;Aythya ferina&lt;/style&gt;&lt;/title&gt;&lt;secondary-title&gt;Ecology&lt;/secondary-title&gt;&lt;/titles&gt;&lt;periodical&gt;&lt;full-title&gt;Ecology&lt;/full-title&gt;&lt;/periodical&gt;&lt;pages&gt;1009-1018&lt;/pages&gt;&lt;volume&gt;78&lt;/volume&gt;&lt;dates&gt;&lt;year&gt;1997&lt;/year&gt;&lt;/dates&gt;&lt;urls&gt;&lt;/urls&gt;&lt;/record&gt;&lt;/Cite&gt;&lt;/EndNote&gt;</w:instrText>
      </w:r>
      <w:r w:rsidR="00D67944">
        <w:fldChar w:fldCharType="separate"/>
      </w:r>
      <w:r w:rsidR="00D67944">
        <w:rPr>
          <w:noProof/>
        </w:rPr>
        <w:t>(</w:t>
      </w:r>
      <w:hyperlink w:anchor="_ENREF_9" w:tooltip="Nichols, 1997 #939" w:history="1">
        <w:r w:rsidR="00D67944">
          <w:rPr>
            <w:noProof/>
          </w:rPr>
          <w:t>Nichols et al. 1997</w:t>
        </w:r>
      </w:hyperlink>
      <w:r w:rsidR="00D67944">
        <w:rPr>
          <w:noProof/>
        </w:rPr>
        <w:t>)</w:t>
      </w:r>
      <w:r w:rsidR="00D67944">
        <w:fldChar w:fldCharType="end"/>
      </w:r>
      <w:r w:rsidR="00881820">
        <w:t>. We began by</w:t>
      </w:r>
      <w:r w:rsidR="00342A91">
        <w:t xml:space="preserve"> </w:t>
      </w:r>
      <w:r w:rsidR="00881820">
        <w:t xml:space="preserve">constructing a global model </w:t>
      </w:r>
      <w:r>
        <w:t xml:space="preserve">each parameter estimated for each time period (t; </w:t>
      </w:r>
      <w:proofErr w:type="gramStart"/>
      <w:r>
        <w:t>S(</w:t>
      </w:r>
      <w:proofErr w:type="gramEnd"/>
      <w:r>
        <w:t xml:space="preserve">t) </w:t>
      </w:r>
      <w:r w:rsidR="00E8536D">
        <w:t xml:space="preserve">p(t) </w:t>
      </w:r>
      <w:r>
        <w:t>r(t) R(t) R’(t) F(t) F’(t)</w:t>
      </w:r>
      <w:r w:rsidR="00E8536D">
        <w:t>)</w:t>
      </w:r>
      <w:r w:rsidR="00881820">
        <w:t xml:space="preserve">. </w:t>
      </w:r>
      <w:r>
        <w:t xml:space="preserve"> </w:t>
      </w:r>
      <w:r w:rsidR="00881820">
        <w:t xml:space="preserve">Then, leaving survival with </w:t>
      </w:r>
      <w:r>
        <w:t>the</w:t>
      </w:r>
      <w:r w:rsidR="00881820">
        <w:t xml:space="preserve"> global structure</w:t>
      </w:r>
      <w:r>
        <w:t xml:space="preserve"> (i.e., </w:t>
      </w:r>
      <w:proofErr w:type="gramStart"/>
      <w:r>
        <w:t>S(</w:t>
      </w:r>
      <w:proofErr w:type="gramEnd"/>
      <w:r>
        <w:t>t))</w:t>
      </w:r>
      <w:r w:rsidR="00881820">
        <w:t>, we constructed models with</w:t>
      </w:r>
      <w:r w:rsidR="00342A91">
        <w:t xml:space="preserve">  </w:t>
      </w:r>
      <w:r w:rsidR="00881820">
        <w:t>more parsimonious structures for the remainder of the parameters</w:t>
      </w:r>
      <w:r w:rsidR="00E8536D">
        <w:t xml:space="preserve"> in which estimates were constant (‘.’ in model notation) across time periods</w:t>
      </w:r>
      <w:r w:rsidR="00881820">
        <w:t xml:space="preserve"> (e.g., p(</w:t>
      </w:r>
      <w:r>
        <w:t>.</w:t>
      </w:r>
      <w:r w:rsidR="00881820">
        <w:t xml:space="preserve">), </w:t>
      </w:r>
      <w:r>
        <w:t>R</w:t>
      </w:r>
      <w:r w:rsidR="00881820">
        <w:t>(</w:t>
      </w:r>
      <w:r>
        <w:t>.</w:t>
      </w:r>
      <w:r w:rsidR="00881820">
        <w:t>)</w:t>
      </w:r>
      <w:r w:rsidR="009C3E6F">
        <w:t>,</w:t>
      </w:r>
      <w:r w:rsidR="00881820">
        <w:t xml:space="preserve"> </w:t>
      </w:r>
      <w:r>
        <w:t>F</w:t>
      </w:r>
      <w:r w:rsidR="00881820">
        <w:t>(</w:t>
      </w:r>
      <w:r>
        <w:t>.</w:t>
      </w:r>
      <w:r w:rsidR="00881820">
        <w:t>)</w:t>
      </w:r>
      <w:r>
        <w:t>,</w:t>
      </w:r>
      <w:r w:rsidR="00881820">
        <w:t xml:space="preserve"> etc.).</w:t>
      </w:r>
      <w:r w:rsidR="00342A91">
        <w:t xml:space="preserve">  </w:t>
      </w:r>
      <w:r w:rsidR="00881820">
        <w:t xml:space="preserve">We also </w:t>
      </w:r>
      <w:r>
        <w:t>constructed models that fixed r = 0 (r(.=0)</w:t>
      </w:r>
      <w:r w:rsidR="00E8536D">
        <w:t xml:space="preserve"> in model notation</w:t>
      </w:r>
      <w:r>
        <w:t xml:space="preserve">) and F’ = 0 because there were no dead recoveries during the study period and </w:t>
      </w:r>
      <w:r w:rsidR="009C3E6F">
        <w:t xml:space="preserve">no juvenile </w:t>
      </w:r>
      <w:r>
        <w:t xml:space="preserve">steelhead </w:t>
      </w:r>
      <w:r w:rsidR="009C3E6F">
        <w:t xml:space="preserve">were encountered </w:t>
      </w:r>
      <w:r>
        <w:t>return</w:t>
      </w:r>
      <w:r w:rsidR="009C3E6F">
        <w:t>ing</w:t>
      </w:r>
      <w:r>
        <w:t xml:space="preserve"> to a watershed </w:t>
      </w:r>
      <w:r w:rsidR="009C3E6F">
        <w:t>after leaving the</w:t>
      </w:r>
      <w:r>
        <w:t xml:space="preserve"> downstream terminus </w:t>
      </w:r>
      <w:r w:rsidR="009C3E6F">
        <w:t xml:space="preserve">(as indicated </w:t>
      </w:r>
      <w:r>
        <w:t>by the PIA there</w:t>
      </w:r>
      <w:r w:rsidR="009C3E6F">
        <w:t>) because they were migrating to the ocean</w:t>
      </w:r>
      <w:r>
        <w:t xml:space="preserve">.  </w:t>
      </w:r>
      <w:r w:rsidR="00D6408C">
        <w:t>We also tried fixing R’= 0 in the top models because most of the estimates of R’ were extremely low (&lt;</w:t>
      </w:r>
      <w:r w:rsidR="006C1354">
        <w:t>0</w:t>
      </w:r>
      <w:r w:rsidR="00D6408C">
        <w:t>.0001),</w:t>
      </w:r>
    </w:p>
    <w:p w:rsidR="00881820" w:rsidRDefault="00342A91" w:rsidP="00881820">
      <w:r>
        <w:t>We</w:t>
      </w:r>
      <w:r w:rsidR="00881820" w:rsidRPr="006F72D6">
        <w:t xml:space="preserve"> evaluated model fit and estimated the overdispersion parameter (</w:t>
      </w:r>
      <m:oMath>
        <m:acc>
          <m:accPr>
            <m:ctrlPr>
              <w:rPr>
                <w:rFonts w:ascii="Cambria Math" w:hAnsi="Cambria Math"/>
                <w:i/>
              </w:rPr>
            </m:ctrlPr>
          </m:accPr>
          <m:e>
            <m:r>
              <w:rPr>
                <w:rFonts w:ascii="Cambria Math" w:hAnsi="Cambria Math"/>
              </w:rPr>
              <m:t>c</m:t>
            </m:r>
          </m:e>
        </m:acc>
      </m:oMath>
      <w:r w:rsidR="00881820" w:rsidRPr="006F72D6">
        <w:t xml:space="preserve">) using the </w:t>
      </w:r>
      <w:r w:rsidR="006C1354">
        <w:t xml:space="preserve">median </w:t>
      </w:r>
      <m:oMath>
        <m:acc>
          <m:accPr>
            <m:ctrlPr>
              <w:rPr>
                <w:rFonts w:ascii="Cambria Math" w:hAnsi="Cambria Math"/>
                <w:i/>
              </w:rPr>
            </m:ctrlPr>
          </m:accPr>
          <m:e>
            <m:r>
              <w:rPr>
                <w:rFonts w:ascii="Cambria Math" w:hAnsi="Cambria Math"/>
              </w:rPr>
              <m:t>c</m:t>
            </m:r>
          </m:e>
        </m:acc>
      </m:oMath>
      <w:r w:rsidR="006C1354">
        <w:t xml:space="preserve"> </w:t>
      </w:r>
      <w:r w:rsidR="00881820" w:rsidRPr="006F72D6">
        <w:t xml:space="preserve"> procedure in Program MARK under the most global model that converged well </w:t>
      </w:r>
      <w:r w:rsidR="00881820">
        <w:fldChar w:fldCharType="begin"/>
      </w:r>
      <w:r w:rsidR="006C1354">
        <w:instrText xml:space="preserve"> ADDIN EN.CITE &lt;EndNote&gt;&lt;Cite&gt;&lt;Author&gt;Cooch&lt;/Author&gt;&lt;Year&gt;2016&lt;/Year&gt;&lt;RecNum&gt;220&lt;/RecNum&gt;&lt;DisplayText&gt;(Cooch and White 2016)&lt;/DisplayText&gt;&lt;record&gt;&lt;rec-number&gt;220&lt;/rec-number&gt;&lt;foreign-keys&gt;&lt;key app="EN" db-id="22zas0zfmprsswe2ed7p0xssf0ttazz5dswz"&gt;220&lt;/key&gt;&lt;/foreign-keys&gt;&lt;ref-type name="Electronic Book"&gt;44&lt;/ref-type&gt;&lt;contributors&gt;&lt;authors&gt;&lt;author&gt;Cooch, E. G.&lt;/author&gt;&lt;author&gt;White, G. C.&lt;/author&gt;&lt;/authors&gt;&lt;/contributors&gt;&lt;titles&gt;&lt;title&gt;Program MARK: &amp;quot;A gentle introduction&amp;quot;, 14th Edition&lt;/title&gt;&lt;/titles&gt;&lt;dates&gt;&lt;year&gt;2016&lt;/year&gt;&lt;/dates&gt;&lt;publisher&gt;Available at  http://www.phidot.org/software/mark/docs/book/&lt;/publisher&gt;&lt;urls&gt;&lt;/urls&gt;&lt;/record&gt;&lt;/Cite&gt;&lt;/EndNote&gt;</w:instrText>
      </w:r>
      <w:r w:rsidR="00881820">
        <w:fldChar w:fldCharType="separate"/>
      </w:r>
      <w:r w:rsidR="006C1354">
        <w:rPr>
          <w:noProof/>
        </w:rPr>
        <w:t>(</w:t>
      </w:r>
      <w:hyperlink w:anchor="_ENREF_5" w:tooltip="Cooch, 2016 #220" w:history="1">
        <w:r w:rsidR="00D67944">
          <w:rPr>
            <w:noProof/>
          </w:rPr>
          <w:t>Cooch and White 2016</w:t>
        </w:r>
      </w:hyperlink>
      <w:r w:rsidR="006C1354">
        <w:rPr>
          <w:noProof/>
        </w:rPr>
        <w:t>)</w:t>
      </w:r>
      <w:r w:rsidR="00881820">
        <w:fldChar w:fldCharType="end"/>
      </w:r>
      <w:r w:rsidR="00881820" w:rsidRPr="006F72D6">
        <w:t xml:space="preserve">.  </w:t>
      </w:r>
      <w:r w:rsidR="00881820">
        <w:t xml:space="preserve">Deviations of </w:t>
      </w:r>
      <w:r w:rsidR="00881820">
        <w:rPr>
          <w:rFonts w:ascii="Arial-ItalicMT" w:eastAsia="Arial-ItalicMT" w:cs="Arial-ItalicMT" w:hint="eastAsia"/>
          <w:i/>
          <w:iCs/>
        </w:rPr>
        <w:t>ĉ</w:t>
      </w:r>
      <w:r w:rsidR="00881820">
        <w:rPr>
          <w:rFonts w:ascii="Arial-ItalicMT" w:eastAsia="Arial-ItalicMT" w:cs="Arial-ItalicMT"/>
          <w:i/>
          <w:iCs/>
        </w:rPr>
        <w:t xml:space="preserve"> </w:t>
      </w:r>
      <w:r w:rsidR="00881820">
        <w:t xml:space="preserve">above 1.0 indicate overdispersion and a </w:t>
      </w:r>
      <w:r w:rsidR="00881820">
        <w:rPr>
          <w:rFonts w:ascii="Arial-ItalicMT" w:eastAsia="Arial-ItalicMT" w:cs="Arial-ItalicMT" w:hint="eastAsia"/>
          <w:i/>
          <w:iCs/>
        </w:rPr>
        <w:t>ĉ</w:t>
      </w:r>
      <w:r w:rsidR="00881820">
        <w:rPr>
          <w:rFonts w:ascii="Arial-ItalicMT" w:eastAsia="Arial-ItalicMT" w:cs="Arial-ItalicMT"/>
          <w:i/>
          <w:iCs/>
        </w:rPr>
        <w:t xml:space="preserve"> </w:t>
      </w:r>
      <w:r w:rsidR="00881820">
        <w:t xml:space="preserve">&gt;2–3 often indicates a lack of fit for the model </w:t>
      </w:r>
      <w:r w:rsidR="00881820">
        <w:fldChar w:fldCharType="begin"/>
      </w:r>
      <w:r w:rsidR="006C1354">
        <w:instrText xml:space="preserve"> ADDIN EN.CITE &lt;EndNote&gt;&lt;Cite&gt;&lt;Author&gt;Lebreton&lt;/Author&gt;&lt;Year&gt;1992&lt;/Year&gt;&lt;RecNum&gt;349&lt;/RecNum&gt;&lt;DisplayText&gt;(Lebreton et al. 1992; Cooch and White 2016)&lt;/DisplayText&gt;&lt;record&gt;&lt;rec-number&gt;349&lt;/rec-number&gt;&lt;foreign-keys&gt;&lt;key app="EN" db-id="22zas0zfmprsswe2ed7p0xssf0ttazz5dswz"&gt;349&lt;/key&gt;&lt;/foreign-keys&gt;&lt;ref-type name="Journal Article"&gt;17&lt;/ref-type&gt;&lt;contributors&gt;&lt;authors&gt;&lt;author&gt;Lebreton, J.-D.&lt;/author&gt;&lt;author&gt;K. P. Burnham&lt;/author&gt;&lt;author&gt;J. Clobert&lt;/author&gt;&lt;author&gt;D. R. Anderson&lt;/author&gt;&lt;/authors&gt;&lt;/contributors&gt;&lt;titles&gt;&lt;title&gt;Modeling survival and testing biological hypotheses using marked animals: a unified approach with case studies&lt;/title&gt;&lt;secondary-title&gt;Ecological Monographs&lt;/secondary-title&gt;&lt;/titles&gt;&lt;periodical&gt;&lt;full-title&gt;Ecological Monographs&lt;/full-title&gt;&lt;/periodical&gt;&lt;pages&gt;67-118&lt;/pages&gt;&lt;volume&gt;62&lt;/volume&gt;&lt;number&gt;1&lt;/number&gt;&lt;dates&gt;&lt;year&gt;1992&lt;/year&gt;&lt;/dates&gt;&lt;urls&gt;&lt;/urls&gt;&lt;/record&gt;&lt;/Cite&gt;&lt;Cite&gt;&lt;Author&gt;Cooch&lt;/Author&gt;&lt;Year&gt;2016&lt;/Year&gt;&lt;RecNum&gt;220&lt;/RecNum&gt;&lt;record&gt;&lt;rec-number&gt;220&lt;/rec-number&gt;&lt;foreign-keys&gt;&lt;key app="EN" db-id="22zas0zfmprsswe2ed7p0xssf0ttazz5dswz"&gt;220&lt;/key&gt;&lt;/foreign-keys&gt;&lt;ref-type name="Electronic Book"&gt;44&lt;/ref-type&gt;&lt;contributors&gt;&lt;authors&gt;&lt;author&gt;Cooch, E. G.&lt;/author&gt;&lt;author&gt;White, G. C.&lt;/author&gt;&lt;/authors&gt;&lt;/contributors&gt;&lt;titles&gt;&lt;title&gt;Program MARK: &amp;quot;A gentle introduction&amp;quot;, 14th Edition&lt;/title&gt;&lt;/titles&gt;&lt;dates&gt;&lt;year&gt;2016&lt;/year&gt;&lt;/dates&gt;&lt;publisher&gt;Available at  http://www.phidot.org/software/mark/docs/book/&lt;/publisher&gt;&lt;urls&gt;&lt;/urls&gt;&lt;/record&gt;&lt;/Cite&gt;&lt;/EndNote&gt;</w:instrText>
      </w:r>
      <w:r w:rsidR="00881820">
        <w:fldChar w:fldCharType="separate"/>
      </w:r>
      <w:r w:rsidR="006C1354">
        <w:rPr>
          <w:noProof/>
        </w:rPr>
        <w:t>(</w:t>
      </w:r>
      <w:hyperlink w:anchor="_ENREF_8" w:tooltip="Lebreton, 1992 #349" w:history="1">
        <w:r w:rsidR="00D67944">
          <w:rPr>
            <w:noProof/>
          </w:rPr>
          <w:t xml:space="preserve">Lebreton </w:t>
        </w:r>
        <w:r w:rsidR="00D67944">
          <w:rPr>
            <w:noProof/>
          </w:rPr>
          <w:lastRenderedPageBreak/>
          <w:t>et al. 1992</w:t>
        </w:r>
      </w:hyperlink>
      <w:r w:rsidR="006C1354">
        <w:rPr>
          <w:noProof/>
        </w:rPr>
        <w:t xml:space="preserve">; </w:t>
      </w:r>
      <w:hyperlink w:anchor="_ENREF_5" w:tooltip="Cooch, 2016 #220" w:history="1">
        <w:r w:rsidR="00D67944">
          <w:rPr>
            <w:noProof/>
          </w:rPr>
          <w:t>Cooch and White 2016</w:t>
        </w:r>
      </w:hyperlink>
      <w:r w:rsidR="006C1354">
        <w:rPr>
          <w:noProof/>
        </w:rPr>
        <w:t>)</w:t>
      </w:r>
      <w:r w:rsidR="00881820">
        <w:fldChar w:fldCharType="end"/>
      </w:r>
      <w:r w:rsidR="00881820">
        <w:t xml:space="preserve">.  If </w:t>
      </w:r>
      <w:r w:rsidR="00881820">
        <w:rPr>
          <w:rFonts w:ascii="Arial-ItalicMT" w:eastAsia="Arial-ItalicMT" w:cs="Arial-ItalicMT" w:hint="eastAsia"/>
          <w:i/>
          <w:iCs/>
        </w:rPr>
        <w:t>ĉ</w:t>
      </w:r>
      <w:r w:rsidR="00881820">
        <w:rPr>
          <w:rFonts w:ascii="Arial-ItalicMT" w:eastAsia="Arial-ItalicMT" w:cs="Arial-ItalicMT"/>
          <w:i/>
          <w:iCs/>
        </w:rPr>
        <w:t xml:space="preserve"> </w:t>
      </w:r>
      <w:r w:rsidR="00881820">
        <w:t xml:space="preserve">was &gt;1 and &lt;2, </w:t>
      </w:r>
      <w:r w:rsidR="00E658B3">
        <w:t>we</w:t>
      </w:r>
      <w:r w:rsidR="00881820">
        <w:t xml:space="preserve"> adjusted AIC</w:t>
      </w:r>
      <w:r w:rsidR="006C1354" w:rsidRPr="00121C5A">
        <w:rPr>
          <w:i/>
          <w:vertAlign w:val="subscript"/>
        </w:rPr>
        <w:t>c</w:t>
      </w:r>
      <w:r w:rsidR="00881820">
        <w:t xml:space="preserve"> by </w:t>
      </w:r>
      <w:r w:rsidR="00881820">
        <w:rPr>
          <w:rFonts w:ascii="Arial-ItalicMT" w:eastAsia="Arial-ItalicMT" w:cs="Arial-ItalicMT" w:hint="eastAsia"/>
          <w:i/>
          <w:iCs/>
        </w:rPr>
        <w:t>ĉ</w:t>
      </w:r>
      <w:r w:rsidR="00881820">
        <w:rPr>
          <w:rFonts w:ascii="Arial-ItalicMT" w:eastAsia="Arial-ItalicMT" w:cs="Arial-ItalicMT"/>
          <w:i/>
          <w:iCs/>
        </w:rPr>
        <w:t xml:space="preserve"> </w:t>
      </w:r>
      <w:r w:rsidR="00881820">
        <w:t>(</w:t>
      </w:r>
      <w:r w:rsidR="00DB38F5">
        <w:t>AIC</w:t>
      </w:r>
      <w:r w:rsidR="00881820">
        <w:rPr>
          <w:i/>
          <w:iCs/>
          <w:sz w:val="14"/>
          <w:szCs w:val="14"/>
        </w:rPr>
        <w:t>c</w:t>
      </w:r>
      <w:r w:rsidR="00881820">
        <w:t xml:space="preserve">) for model selection and used </w:t>
      </w:r>
      <w:r w:rsidR="00881820">
        <w:rPr>
          <w:rFonts w:ascii="Arial-ItalicMT" w:eastAsia="Arial-ItalicMT" w:cs="Arial-ItalicMT" w:hint="eastAsia"/>
          <w:i/>
          <w:iCs/>
        </w:rPr>
        <w:t>ĉ</w:t>
      </w:r>
      <w:r w:rsidR="00881820">
        <w:rPr>
          <w:rFonts w:ascii="Arial-ItalicMT" w:eastAsia="Arial-ItalicMT" w:cs="Arial-ItalicMT"/>
          <w:i/>
          <w:iCs/>
        </w:rPr>
        <w:t xml:space="preserve"> </w:t>
      </w:r>
      <w:r w:rsidR="00881820">
        <w:t>to inflate variances of parameter estimates.</w:t>
      </w:r>
    </w:p>
    <w:p w:rsidR="00342A91" w:rsidRPr="00E8536D" w:rsidRDefault="00342A91" w:rsidP="00881820">
      <w:pPr>
        <w:rPr>
          <w:b/>
        </w:rPr>
      </w:pPr>
      <w:r w:rsidRPr="00E8536D">
        <w:rPr>
          <w:b/>
        </w:rPr>
        <w:t>Model Results</w:t>
      </w:r>
    </w:p>
    <w:p w:rsidR="00E658B3" w:rsidRDefault="00D67944" w:rsidP="00881820">
      <w:r>
        <w:t xml:space="preserve">We ran the </w:t>
      </w:r>
      <w:r>
        <w:rPr>
          <w:rFonts w:cs="Times New Roman"/>
          <w:sz w:val="24"/>
          <w:szCs w:val="24"/>
        </w:rPr>
        <w:t>m</w:t>
      </w:r>
      <w:r>
        <w:t xml:space="preserve">edian </w:t>
      </w:r>
      <m:oMath>
        <m:acc>
          <m:accPr>
            <m:ctrlPr>
              <w:rPr>
                <w:rFonts w:ascii="Cambria Math" w:hAnsi="Cambria Math"/>
                <w:i/>
              </w:rPr>
            </m:ctrlPr>
          </m:accPr>
          <m:e>
            <m:r>
              <w:rPr>
                <w:rFonts w:ascii="Cambria Math" w:hAnsi="Cambria Math"/>
              </w:rPr>
              <m:t>c</m:t>
            </m:r>
          </m:e>
        </m:acc>
      </m:oMath>
      <w:r>
        <w:rPr>
          <w:rFonts w:eastAsiaTheme="minorEastAsia"/>
        </w:rPr>
        <w:t xml:space="preserve"> </w:t>
      </w:r>
      <w:r>
        <w:t>procedure on the global model for Bridge Creek and the</w:t>
      </w:r>
      <w:r w:rsidRPr="00D67944">
        <w:rPr>
          <w:rFonts w:cs="Times New Roman"/>
          <w:sz w:val="24"/>
          <w:szCs w:val="24"/>
        </w:rPr>
        <w:t xml:space="preserve"> </w:t>
      </w:r>
      <w:proofErr w:type="gramStart"/>
      <w:r w:rsidRPr="00D67944">
        <w:rPr>
          <w:rFonts w:eastAsia="Times New Roman" w:cs="Times New Roman"/>
          <w:sz w:val="24"/>
          <w:szCs w:val="24"/>
        </w:rPr>
        <w:t>S(</w:t>
      </w:r>
      <w:proofErr w:type="gramEnd"/>
      <w:r w:rsidRPr="00D67944">
        <w:rPr>
          <w:rFonts w:eastAsia="Times New Roman" w:cs="Times New Roman"/>
          <w:sz w:val="24"/>
          <w:szCs w:val="24"/>
        </w:rPr>
        <w:t>t) p(t) r(.=0) R(t) R'(t) F(t) F'(.=0)</w:t>
      </w:r>
      <w:r w:rsidRPr="00D67944">
        <w:rPr>
          <w:rFonts w:eastAsia="Times New Roman" w:cs="Times New Roman"/>
          <w:sz w:val="24"/>
          <w:szCs w:val="24"/>
        </w:rPr>
        <w:t xml:space="preserve"> for Murderers Creek because the top model did not converge well.  </w:t>
      </w:r>
      <w:r w:rsidR="006C1354" w:rsidRPr="00D67944">
        <w:rPr>
          <w:rFonts w:cs="Times New Roman"/>
          <w:sz w:val="24"/>
          <w:szCs w:val="24"/>
        </w:rPr>
        <w:t>M</w:t>
      </w:r>
      <w:r w:rsidR="006C1354">
        <w:t xml:space="preserve">edian </w:t>
      </w:r>
      <m:oMath>
        <m:acc>
          <m:accPr>
            <m:ctrlPr>
              <w:rPr>
                <w:rFonts w:ascii="Cambria Math" w:hAnsi="Cambria Math"/>
                <w:i/>
              </w:rPr>
            </m:ctrlPr>
          </m:accPr>
          <m:e>
            <m:r>
              <w:rPr>
                <w:rFonts w:ascii="Cambria Math" w:hAnsi="Cambria Math"/>
              </w:rPr>
              <m:t>c</m:t>
            </m:r>
          </m:e>
        </m:acc>
      </m:oMath>
      <w:r w:rsidR="006C1354">
        <w:rPr>
          <w:rFonts w:eastAsiaTheme="minorEastAsia"/>
        </w:rPr>
        <w:t xml:space="preserve"> was &lt;1 for both data sets.  This indicated that there was no lack of model fit, so we proceeded without adjusting for AIC</w:t>
      </w:r>
      <w:r w:rsidR="006C1354" w:rsidRPr="00121C5A">
        <w:rPr>
          <w:rFonts w:eastAsiaTheme="minorEastAsia"/>
          <w:i/>
          <w:vertAlign w:val="subscript"/>
        </w:rPr>
        <w:t>c</w:t>
      </w:r>
      <w:r w:rsidR="006C1354">
        <w:rPr>
          <w:rFonts w:eastAsiaTheme="minorEastAsia"/>
        </w:rPr>
        <w:t xml:space="preserve"> was used for model selection.  </w:t>
      </w:r>
      <w:r w:rsidR="00317D1D">
        <w:t>The top model for the control watershed (Murders Creek) was less parameterized than the top model for the treatment watershed (Bridge Creek</w:t>
      </w:r>
      <w:r w:rsidR="00B745F5">
        <w:t>; Tables 1</w:t>
      </w:r>
      <w:r w:rsidR="00DB38F5">
        <w:t>a</w:t>
      </w:r>
      <w:r w:rsidR="00B745F5">
        <w:t xml:space="preserve"> and </w:t>
      </w:r>
      <w:r w:rsidR="00DB38F5">
        <w:t>1b</w:t>
      </w:r>
      <w:r w:rsidR="00317D1D">
        <w:t xml:space="preserve">).  This is likely because the sample size </w:t>
      </w:r>
      <w:r w:rsidR="00B745F5">
        <w:t>(number of marked fish) was 2.94</w:t>
      </w:r>
      <w:r w:rsidR="00B745F5">
        <w:rPr>
          <w:rFonts w:cs="Times New Roman"/>
        </w:rPr>
        <w:t>×</w:t>
      </w:r>
      <w:r w:rsidR="00317D1D">
        <w:t xml:space="preserve"> greater for the treatment site (</w:t>
      </w:r>
      <w:r w:rsidR="00B745F5">
        <w:t>n = 13,620</w:t>
      </w:r>
      <w:r w:rsidR="00317D1D">
        <w:t xml:space="preserve">) than for the control sites (n = </w:t>
      </w:r>
      <w:r w:rsidR="00B745F5">
        <w:t>4,637).  The structure of both top models had r and F fixed equal to zero, reflecting the lack of dead recoveries or any fish moving back on to the study watersheds after they were detected leaving at the downstream PIA at the mouth of the tributary.  The top model for Murders was identical to the second best model except F’ was fixed to 0; the estimates of survival were the same to the third decimal place.  Thus, both data sets had a clear top model, which was used in subsequent MCMC simulations.</w:t>
      </w:r>
    </w:p>
    <w:p w:rsidR="00B745F5" w:rsidRDefault="00320A3E" w:rsidP="00881820">
      <w:proofErr w:type="gramStart"/>
      <w:r>
        <w:t>Table 1</w:t>
      </w:r>
      <w:r w:rsidR="00DB38F5">
        <w:t>a</w:t>
      </w:r>
      <w:r>
        <w:t>.</w:t>
      </w:r>
      <w:proofErr w:type="gramEnd"/>
      <w:r>
        <w:t xml:space="preserve">  Barker s</w:t>
      </w:r>
      <w:r w:rsidRPr="00320A3E">
        <w:t xml:space="preserve">urvival models for juvenile </w:t>
      </w:r>
      <w:r>
        <w:t>steelhead</w:t>
      </w:r>
      <w:r w:rsidRPr="00320A3E">
        <w:t xml:space="preserve"> captured and marked in </w:t>
      </w:r>
      <w:r>
        <w:t>Bridge</w:t>
      </w:r>
      <w:r w:rsidRPr="00320A3E">
        <w:t xml:space="preserve"> Creek, Oregon, </w:t>
      </w:r>
      <w:r>
        <w:t xml:space="preserve">June </w:t>
      </w:r>
      <w:r w:rsidRPr="00320A3E">
        <w:t>2007</w:t>
      </w:r>
      <w:r>
        <w:t>– September 2</w:t>
      </w:r>
      <w:r w:rsidRPr="00320A3E">
        <w:t>0</w:t>
      </w:r>
      <w:r>
        <w:t>12</w:t>
      </w:r>
      <w:r w:rsidRPr="00320A3E">
        <w:t>.  Models shown are ordered by AIC</w:t>
      </w:r>
      <w:r w:rsidRPr="00320A3E">
        <w:rPr>
          <w:i/>
          <w:vertAlign w:val="subscript"/>
        </w:rPr>
        <w:t>c</w:t>
      </w:r>
      <w:r w:rsidRPr="00320A3E">
        <w:t>.</w:t>
      </w:r>
      <w:r>
        <w:t xml:space="preserve">  </w:t>
      </w:r>
    </w:p>
    <w:tbl>
      <w:tblPr>
        <w:tblW w:w="9592" w:type="dxa"/>
        <w:tblInd w:w="108" w:type="dxa"/>
        <w:tblCellMar>
          <w:left w:w="0" w:type="dxa"/>
          <w:right w:w="0" w:type="dxa"/>
        </w:tblCellMar>
        <w:tblLook w:val="04A0" w:firstRow="1" w:lastRow="0" w:firstColumn="1" w:lastColumn="0" w:noHBand="0" w:noVBand="1"/>
      </w:tblPr>
      <w:tblGrid>
        <w:gridCol w:w="3669"/>
        <w:gridCol w:w="1090"/>
        <w:gridCol w:w="990"/>
        <w:gridCol w:w="1030"/>
        <w:gridCol w:w="689"/>
        <w:gridCol w:w="1089"/>
        <w:gridCol w:w="1147"/>
      </w:tblGrid>
      <w:tr w:rsidR="00320A3E" w:rsidRPr="00317D1D" w:rsidTr="00320A3E">
        <w:trPr>
          <w:trHeight w:val="525"/>
        </w:trPr>
        <w:tc>
          <w:tcPr>
            <w:tcW w:w="3653" w:type="dxa"/>
            <w:tcBorders>
              <w:top w:val="single" w:sz="8" w:space="0" w:color="auto"/>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spellStart"/>
            <w:r w:rsidRPr="00317D1D">
              <w:rPr>
                <w:rFonts w:ascii="Arial" w:eastAsia="Times New Roman" w:hAnsi="Arial" w:cs="Arial"/>
                <w:sz w:val="20"/>
                <w:szCs w:val="20"/>
              </w:rPr>
              <w:t>Model</w:t>
            </w:r>
            <w:r w:rsidR="00320A3E" w:rsidRPr="00320A3E">
              <w:rPr>
                <w:rFonts w:ascii="Arial" w:eastAsia="Times New Roman" w:hAnsi="Arial" w:cs="Arial"/>
                <w:sz w:val="20"/>
                <w:szCs w:val="20"/>
                <w:vertAlign w:val="superscript"/>
              </w:rPr>
              <w:t>a</w:t>
            </w:r>
            <w:proofErr w:type="spellEnd"/>
          </w:p>
        </w:tc>
        <w:tc>
          <w:tcPr>
            <w:tcW w:w="1074" w:type="dxa"/>
            <w:tcBorders>
              <w:top w:val="single" w:sz="8" w:space="0" w:color="auto"/>
              <w:left w:val="nil"/>
              <w:bottom w:val="single" w:sz="8" w:space="0" w:color="auto"/>
              <w:right w:val="nil"/>
            </w:tcBorders>
            <w:shd w:val="clear" w:color="auto" w:fill="auto"/>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AICc </w:t>
            </w:r>
          </w:p>
        </w:tc>
        <w:tc>
          <w:tcPr>
            <w:tcW w:w="974" w:type="dxa"/>
            <w:tcBorders>
              <w:top w:val="single" w:sz="8" w:space="0" w:color="auto"/>
              <w:left w:val="nil"/>
              <w:bottom w:val="single" w:sz="8" w:space="0" w:color="auto"/>
              <w:right w:val="nil"/>
            </w:tcBorders>
            <w:shd w:val="clear" w:color="auto" w:fill="auto"/>
            <w:vAlign w:val="bottom"/>
            <w:hideMark/>
          </w:tcPr>
          <w:p w:rsidR="00317D1D" w:rsidRPr="00317D1D" w:rsidRDefault="00DB38F5" w:rsidP="00317D1D">
            <w:pPr>
              <w:spacing w:after="0" w:line="240" w:lineRule="auto"/>
              <w:jc w:val="center"/>
              <w:rPr>
                <w:rFonts w:ascii="Arial" w:eastAsia="Times New Roman" w:hAnsi="Arial" w:cs="Arial"/>
                <w:sz w:val="20"/>
                <w:szCs w:val="20"/>
              </w:rPr>
            </w:pPr>
            <w:proofErr w:type="spellStart"/>
            <w:r>
              <w:rPr>
                <w:rFonts w:cs="Times New Roman"/>
              </w:rPr>
              <w:t>Δ</w:t>
            </w:r>
            <w:r w:rsidRPr="00320A3E">
              <w:t>AICc</w:t>
            </w:r>
            <w:proofErr w:type="spellEnd"/>
          </w:p>
        </w:tc>
        <w:tc>
          <w:tcPr>
            <w:tcW w:w="1014" w:type="dxa"/>
            <w:tcBorders>
              <w:top w:val="single" w:sz="8" w:space="0" w:color="auto"/>
              <w:left w:val="nil"/>
              <w:bottom w:val="single" w:sz="8" w:space="0" w:color="auto"/>
              <w:right w:val="nil"/>
            </w:tcBorders>
            <w:shd w:val="clear" w:color="auto" w:fill="auto"/>
            <w:vAlign w:val="bottom"/>
            <w:hideMark/>
          </w:tcPr>
          <w:p w:rsidR="00317D1D" w:rsidRPr="00317D1D" w:rsidRDefault="00DB38F5" w:rsidP="00872BF8">
            <w:pPr>
              <w:spacing w:after="0" w:line="240" w:lineRule="auto"/>
              <w:jc w:val="center"/>
              <w:rPr>
                <w:rFonts w:ascii="Arial" w:eastAsia="Times New Roman" w:hAnsi="Arial" w:cs="Arial"/>
                <w:sz w:val="20"/>
                <w:szCs w:val="20"/>
              </w:rPr>
            </w:pPr>
            <w:proofErr w:type="spellStart"/>
            <w:r w:rsidRPr="00320A3E">
              <w:t>wi</w:t>
            </w:r>
            <w:proofErr w:type="spellEnd"/>
          </w:p>
        </w:tc>
        <w:tc>
          <w:tcPr>
            <w:tcW w:w="673" w:type="dxa"/>
            <w:tcBorders>
              <w:top w:val="single" w:sz="8" w:space="0" w:color="auto"/>
              <w:left w:val="nil"/>
              <w:bottom w:val="single" w:sz="8" w:space="0" w:color="auto"/>
              <w:right w:val="nil"/>
            </w:tcBorders>
            <w:shd w:val="clear" w:color="auto" w:fill="auto"/>
            <w:vAlign w:val="bottom"/>
            <w:hideMark/>
          </w:tcPr>
          <w:p w:rsidR="00317D1D" w:rsidRPr="00317D1D" w:rsidRDefault="00DB38F5" w:rsidP="00317D1D">
            <w:pPr>
              <w:spacing w:after="0" w:line="240" w:lineRule="auto"/>
              <w:jc w:val="center"/>
              <w:rPr>
                <w:rFonts w:ascii="Arial" w:eastAsia="Times New Roman" w:hAnsi="Arial" w:cs="Arial"/>
                <w:sz w:val="20"/>
                <w:szCs w:val="20"/>
              </w:rPr>
            </w:pPr>
            <w:r>
              <w:rPr>
                <w:rFonts w:ascii="Arial" w:eastAsia="Times New Roman" w:hAnsi="Arial" w:cs="Arial"/>
                <w:sz w:val="20"/>
                <w:szCs w:val="20"/>
              </w:rPr>
              <w:t>K</w:t>
            </w:r>
          </w:p>
        </w:tc>
        <w:tc>
          <w:tcPr>
            <w:tcW w:w="1073" w:type="dxa"/>
            <w:tcBorders>
              <w:top w:val="single" w:sz="8" w:space="0" w:color="auto"/>
              <w:left w:val="nil"/>
              <w:bottom w:val="single" w:sz="8" w:space="0" w:color="auto"/>
              <w:right w:val="nil"/>
            </w:tcBorders>
            <w:shd w:val="clear" w:color="auto" w:fill="auto"/>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Deviance</w:t>
            </w:r>
          </w:p>
        </w:tc>
        <w:tc>
          <w:tcPr>
            <w:tcW w:w="1131" w:type="dxa"/>
            <w:tcBorders>
              <w:top w:val="single" w:sz="8" w:space="0" w:color="auto"/>
              <w:left w:val="nil"/>
              <w:bottom w:val="single" w:sz="8" w:space="0" w:color="auto"/>
              <w:right w:val="nil"/>
            </w:tcBorders>
            <w:shd w:val="clear" w:color="auto" w:fill="auto"/>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Model </w:t>
            </w:r>
            <w:proofErr w:type="spellStart"/>
            <w:r w:rsidRPr="00317D1D">
              <w:rPr>
                <w:rFonts w:ascii="Arial" w:eastAsia="Times New Roman" w:hAnsi="Arial" w:cs="Arial"/>
                <w:sz w:val="20"/>
                <w:szCs w:val="20"/>
              </w:rPr>
              <w:t>Liklihood</w:t>
            </w:r>
            <w:proofErr w:type="spellEnd"/>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r(.=0) R(t) R'(t) F(t)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33,807.41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0.73</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76</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33,654.65</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p(t) r(.=0) R(t) R'(t) F(t) F'(.)</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33,809.43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2.02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0.27</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77</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33,654.65</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0.36</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r(t) R(t) R'(t) F(t) F'(t)</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34,111.19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303.78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104</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33,901.78</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r(.=0) R(t) R'(.=0) F(t)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34,148.25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340.84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62</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34,023.75</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p(t) r(.=0) R(t) R'(.) F(t)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34,150.27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342.86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63</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34,023.75</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t) p(t) r(.=0) R(t) R'(.=0) F(.) F'(.=0) </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34,191.35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383.95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48</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34,095.05</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 r(.=0) R(t) R'(.) F(t)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34,208.16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400.75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49</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34,109.84</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p(t) r(.=0) R(.) R'(.) F(t)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36,235.13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2,427.72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49</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36,136.82</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t) p(.) r(.=0) R(.) R'(.) </w:t>
            </w:r>
            <w:proofErr w:type="gramStart"/>
            <w:r w:rsidRPr="00317D1D">
              <w:rPr>
                <w:rFonts w:ascii="Arial" w:eastAsia="Times New Roman" w:hAnsi="Arial" w:cs="Arial"/>
                <w:sz w:val="20"/>
                <w:szCs w:val="20"/>
              </w:rPr>
              <w:t>F(</w:t>
            </w:r>
            <w:proofErr w:type="gramEnd"/>
            <w:r w:rsidRPr="00317D1D">
              <w:rPr>
                <w:rFonts w:ascii="Arial" w:eastAsia="Times New Roman" w:hAnsi="Arial" w:cs="Arial"/>
                <w:sz w:val="20"/>
                <w:szCs w:val="20"/>
              </w:rPr>
              <w:t>.) F'(.=0)</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36,605.40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2,797.99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20</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36,565.34</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55"/>
        </w:trPr>
        <w:tc>
          <w:tcPr>
            <w:tcW w:w="365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t) p(.) r(.) </w:t>
            </w:r>
            <w:proofErr w:type="gramStart"/>
            <w:r w:rsidRPr="00317D1D">
              <w:rPr>
                <w:rFonts w:ascii="Arial" w:eastAsia="Times New Roman" w:hAnsi="Arial" w:cs="Arial"/>
                <w:sz w:val="20"/>
                <w:szCs w:val="20"/>
              </w:rPr>
              <w:t>R(</w:t>
            </w:r>
            <w:proofErr w:type="gramEnd"/>
            <w:r w:rsidRPr="00317D1D">
              <w:rPr>
                <w:rFonts w:ascii="Arial" w:eastAsia="Times New Roman" w:hAnsi="Arial" w:cs="Arial"/>
                <w:sz w:val="20"/>
                <w:szCs w:val="20"/>
              </w:rPr>
              <w:t xml:space="preserve">.) R'(.) </w:t>
            </w:r>
            <w:proofErr w:type="gramStart"/>
            <w:r w:rsidRPr="00317D1D">
              <w:rPr>
                <w:rFonts w:ascii="Arial" w:eastAsia="Times New Roman" w:hAnsi="Arial" w:cs="Arial"/>
                <w:sz w:val="20"/>
                <w:szCs w:val="20"/>
              </w:rPr>
              <w:t>F(</w:t>
            </w:r>
            <w:proofErr w:type="gramEnd"/>
            <w:r w:rsidRPr="00317D1D">
              <w:rPr>
                <w:rFonts w:ascii="Arial" w:eastAsia="Times New Roman" w:hAnsi="Arial" w:cs="Arial"/>
                <w:sz w:val="20"/>
                <w:szCs w:val="20"/>
              </w:rPr>
              <w:t>.) F'(.)</w:t>
            </w:r>
          </w:p>
        </w:tc>
        <w:tc>
          <w:tcPr>
            <w:tcW w:w="10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36,609.41 </w:t>
            </w:r>
          </w:p>
        </w:tc>
        <w:tc>
          <w:tcPr>
            <w:tcW w:w="974"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2,802.00 </w:t>
            </w:r>
          </w:p>
        </w:tc>
        <w:tc>
          <w:tcPr>
            <w:tcW w:w="1014"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22</w:t>
            </w:r>
          </w:p>
        </w:tc>
        <w:tc>
          <w:tcPr>
            <w:tcW w:w="1073"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36,565.34</w:t>
            </w:r>
          </w:p>
        </w:tc>
        <w:tc>
          <w:tcPr>
            <w:tcW w:w="1131"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317D1D" w:rsidRPr="00317D1D" w:rsidTr="00320A3E">
        <w:trPr>
          <w:trHeight w:val="270"/>
        </w:trPr>
        <w:tc>
          <w:tcPr>
            <w:tcW w:w="3653"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 p(.) r(.) </w:t>
            </w:r>
            <w:proofErr w:type="gramStart"/>
            <w:r w:rsidRPr="00317D1D">
              <w:rPr>
                <w:rFonts w:ascii="Arial" w:eastAsia="Times New Roman" w:hAnsi="Arial" w:cs="Arial"/>
                <w:sz w:val="20"/>
                <w:szCs w:val="20"/>
              </w:rPr>
              <w:t>R(</w:t>
            </w:r>
            <w:proofErr w:type="gramEnd"/>
            <w:r w:rsidRPr="00317D1D">
              <w:rPr>
                <w:rFonts w:ascii="Arial" w:eastAsia="Times New Roman" w:hAnsi="Arial" w:cs="Arial"/>
                <w:sz w:val="20"/>
                <w:szCs w:val="20"/>
              </w:rPr>
              <w:t xml:space="preserve">.) R'(.) </w:t>
            </w:r>
            <w:proofErr w:type="gramStart"/>
            <w:r w:rsidRPr="00317D1D">
              <w:rPr>
                <w:rFonts w:ascii="Arial" w:eastAsia="Times New Roman" w:hAnsi="Arial" w:cs="Arial"/>
                <w:sz w:val="20"/>
                <w:szCs w:val="20"/>
              </w:rPr>
              <w:t>F(</w:t>
            </w:r>
            <w:proofErr w:type="gramEnd"/>
            <w:r w:rsidRPr="00317D1D">
              <w:rPr>
                <w:rFonts w:ascii="Arial" w:eastAsia="Times New Roman" w:hAnsi="Arial" w:cs="Arial"/>
                <w:sz w:val="20"/>
                <w:szCs w:val="20"/>
              </w:rPr>
              <w:t>.) F'(.)</w:t>
            </w:r>
          </w:p>
        </w:tc>
        <w:tc>
          <w:tcPr>
            <w:tcW w:w="1074"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38,155.89 </w:t>
            </w:r>
          </w:p>
        </w:tc>
        <w:tc>
          <w:tcPr>
            <w:tcW w:w="974"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4,348.48 </w:t>
            </w:r>
          </w:p>
        </w:tc>
        <w:tc>
          <w:tcPr>
            <w:tcW w:w="1014" w:type="dxa"/>
            <w:tcBorders>
              <w:top w:val="nil"/>
              <w:left w:val="nil"/>
              <w:bottom w:val="single" w:sz="8" w:space="0" w:color="auto"/>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73"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w:t>
            </w:r>
          </w:p>
        </w:tc>
        <w:tc>
          <w:tcPr>
            <w:tcW w:w="1073"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38,141.88</w:t>
            </w:r>
          </w:p>
        </w:tc>
        <w:tc>
          <w:tcPr>
            <w:tcW w:w="1131"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bl>
    <w:p w:rsidR="00DB38F5" w:rsidRDefault="00DB38F5" w:rsidP="00881820"/>
    <w:p w:rsidR="00DB38F5" w:rsidRDefault="00DB38F5" w:rsidP="00DB38F5">
      <w:proofErr w:type="gramStart"/>
      <w:r>
        <w:t>Table 1b.</w:t>
      </w:r>
      <w:proofErr w:type="gramEnd"/>
      <w:r>
        <w:t xml:space="preserve">  Barker s</w:t>
      </w:r>
      <w:r w:rsidRPr="00320A3E">
        <w:t xml:space="preserve">urvival models for juvenile </w:t>
      </w:r>
      <w:r>
        <w:t>steelhead</w:t>
      </w:r>
      <w:r w:rsidRPr="00320A3E">
        <w:t xml:space="preserve"> captured and marked in </w:t>
      </w:r>
      <w:r>
        <w:t>Murderers</w:t>
      </w:r>
      <w:r w:rsidRPr="00320A3E">
        <w:t xml:space="preserve"> Creek, Oregon, </w:t>
      </w:r>
      <w:r>
        <w:t xml:space="preserve">June </w:t>
      </w:r>
      <w:r w:rsidRPr="00320A3E">
        <w:t>2007</w:t>
      </w:r>
      <w:r>
        <w:t>– September 2</w:t>
      </w:r>
      <w:r w:rsidRPr="00320A3E">
        <w:t>0</w:t>
      </w:r>
      <w:r>
        <w:t>12</w:t>
      </w:r>
      <w:r w:rsidRPr="00320A3E">
        <w:t>.  Models shown are ordered by AIC</w:t>
      </w:r>
      <w:r w:rsidRPr="00320A3E">
        <w:rPr>
          <w:i/>
          <w:vertAlign w:val="subscript"/>
        </w:rPr>
        <w:t>c</w:t>
      </w:r>
      <w:r w:rsidRPr="00320A3E">
        <w:t>.</w:t>
      </w:r>
      <w:r>
        <w:t xml:space="preserve">  </w:t>
      </w:r>
    </w:p>
    <w:tbl>
      <w:tblPr>
        <w:tblW w:w="9524" w:type="dxa"/>
        <w:tblInd w:w="108" w:type="dxa"/>
        <w:tblCellMar>
          <w:left w:w="0" w:type="dxa"/>
          <w:right w:w="0" w:type="dxa"/>
        </w:tblCellMar>
        <w:tblLook w:val="04A0" w:firstRow="1" w:lastRow="0" w:firstColumn="1" w:lastColumn="0" w:noHBand="0" w:noVBand="1"/>
      </w:tblPr>
      <w:tblGrid>
        <w:gridCol w:w="3668"/>
        <w:gridCol w:w="1108"/>
        <w:gridCol w:w="828"/>
        <w:gridCol w:w="1048"/>
        <w:gridCol w:w="708"/>
        <w:gridCol w:w="1108"/>
        <w:gridCol w:w="1168"/>
      </w:tblGrid>
      <w:tr w:rsidR="00B9653D" w:rsidRPr="00317D1D" w:rsidTr="00B9653D">
        <w:trPr>
          <w:trHeight w:val="525"/>
        </w:trPr>
        <w:tc>
          <w:tcPr>
            <w:tcW w:w="365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17D1D">
            <w:pPr>
              <w:spacing w:after="0" w:line="240" w:lineRule="auto"/>
              <w:rPr>
                <w:rFonts w:ascii="Arial" w:eastAsia="Times New Roman" w:hAnsi="Arial" w:cs="Arial"/>
                <w:sz w:val="20"/>
                <w:szCs w:val="20"/>
              </w:rPr>
            </w:pPr>
            <w:proofErr w:type="spellStart"/>
            <w:r w:rsidRPr="00317D1D">
              <w:rPr>
                <w:rFonts w:ascii="Arial" w:eastAsia="Times New Roman" w:hAnsi="Arial" w:cs="Arial"/>
                <w:sz w:val="20"/>
                <w:szCs w:val="20"/>
              </w:rPr>
              <w:t>Model</w:t>
            </w:r>
            <w:r w:rsidRPr="00DB38F5">
              <w:rPr>
                <w:rFonts w:ascii="Arial" w:eastAsia="Times New Roman" w:hAnsi="Arial" w:cs="Arial"/>
                <w:sz w:val="20"/>
                <w:szCs w:val="20"/>
                <w:vertAlign w:val="superscript"/>
              </w:rPr>
              <w:t>a</w:t>
            </w:r>
            <w:proofErr w:type="spellEnd"/>
          </w:p>
        </w:tc>
        <w:tc>
          <w:tcPr>
            <w:tcW w:w="109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941AA">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AICc </w:t>
            </w:r>
          </w:p>
        </w:tc>
        <w:tc>
          <w:tcPr>
            <w:tcW w:w="81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941AA">
            <w:pPr>
              <w:spacing w:after="0" w:line="240" w:lineRule="auto"/>
              <w:jc w:val="center"/>
              <w:rPr>
                <w:rFonts w:ascii="Arial" w:eastAsia="Times New Roman" w:hAnsi="Arial" w:cs="Arial"/>
                <w:sz w:val="20"/>
                <w:szCs w:val="20"/>
              </w:rPr>
            </w:pPr>
            <w:proofErr w:type="spellStart"/>
            <w:r>
              <w:rPr>
                <w:rFonts w:cs="Times New Roman"/>
              </w:rPr>
              <w:t>Δ</w:t>
            </w:r>
            <w:r w:rsidRPr="00320A3E">
              <w:t>AICc</w:t>
            </w:r>
            <w:proofErr w:type="spellEnd"/>
          </w:p>
        </w:tc>
        <w:tc>
          <w:tcPr>
            <w:tcW w:w="103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941AA">
            <w:pPr>
              <w:spacing w:after="0" w:line="240" w:lineRule="auto"/>
              <w:jc w:val="center"/>
              <w:rPr>
                <w:rFonts w:ascii="Arial" w:eastAsia="Times New Roman" w:hAnsi="Arial" w:cs="Arial"/>
                <w:sz w:val="20"/>
                <w:szCs w:val="20"/>
              </w:rPr>
            </w:pPr>
            <w:proofErr w:type="spellStart"/>
            <w:r w:rsidRPr="00320A3E">
              <w:t>wi</w:t>
            </w:r>
            <w:proofErr w:type="spellEnd"/>
          </w:p>
        </w:tc>
        <w:tc>
          <w:tcPr>
            <w:tcW w:w="69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941AA">
            <w:pPr>
              <w:spacing w:after="0" w:line="240" w:lineRule="auto"/>
              <w:jc w:val="center"/>
              <w:rPr>
                <w:rFonts w:ascii="Arial" w:eastAsia="Times New Roman" w:hAnsi="Arial" w:cs="Arial"/>
                <w:sz w:val="20"/>
                <w:szCs w:val="20"/>
              </w:rPr>
            </w:pPr>
            <w:r>
              <w:rPr>
                <w:rFonts w:ascii="Arial" w:eastAsia="Times New Roman" w:hAnsi="Arial" w:cs="Arial"/>
                <w:sz w:val="20"/>
                <w:szCs w:val="20"/>
              </w:rPr>
              <w:t>K</w:t>
            </w:r>
          </w:p>
        </w:tc>
        <w:tc>
          <w:tcPr>
            <w:tcW w:w="109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Deviance</w:t>
            </w:r>
          </w:p>
        </w:tc>
        <w:tc>
          <w:tcPr>
            <w:tcW w:w="1152" w:type="dxa"/>
            <w:tcBorders>
              <w:top w:val="single" w:sz="8" w:space="0" w:color="auto"/>
              <w:left w:val="nil"/>
              <w:bottom w:val="single" w:sz="8" w:space="0" w:color="auto"/>
              <w:right w:val="nil"/>
            </w:tcBorders>
            <w:shd w:val="clear" w:color="auto" w:fill="auto"/>
            <w:vAlign w:val="bottom"/>
            <w:hideMark/>
          </w:tcPr>
          <w:p w:rsidR="00B9653D" w:rsidRPr="00317D1D" w:rsidRDefault="00B9653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Model </w:t>
            </w:r>
            <w:proofErr w:type="spellStart"/>
            <w:r w:rsidRPr="00317D1D">
              <w:rPr>
                <w:rFonts w:ascii="Arial" w:eastAsia="Times New Roman" w:hAnsi="Arial" w:cs="Arial"/>
                <w:sz w:val="20"/>
                <w:szCs w:val="20"/>
              </w:rPr>
              <w:t>Liklihood</w:t>
            </w:r>
            <w:proofErr w:type="spellEnd"/>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t) p(t) r(.=0) R(t) R'(.=0) F(.) F'(.=0) </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9,910.13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0.98</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47</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9,815.21</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r(.=0) R(t) R'(.=0)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9,918.84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8.71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0.01</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60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9,797.34</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0.01</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p(t) r(.=0) R(t) R'(.)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9,920.89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10.76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61</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9,797.34</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 r(.=0) R(t) R'(.)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9,924.82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14.69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47</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9,829.90</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r(.=0) R(t) R'(t)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9,950.84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40.71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76</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9,796.43</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p(t) r(.=0) R(t) R'(t) F(t) F'(.)</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9,959.71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49.57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77</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9,803.23</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r w:rsidRPr="00317D1D">
              <w:rPr>
                <w:rFonts w:ascii="Arial" w:eastAsia="Times New Roman" w:hAnsi="Arial" w:cs="Arial"/>
                <w:sz w:val="20"/>
                <w:szCs w:val="20"/>
              </w:rPr>
              <w:t>S(t) p(t) r(t) R(t) R'(t) F(t) F'(t)</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10,049.70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139.57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104</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9,837.17</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lastRenderedPageBreak/>
              <w:t>S(</w:t>
            </w:r>
            <w:proofErr w:type="gramEnd"/>
            <w:r w:rsidRPr="00317D1D">
              <w:rPr>
                <w:rFonts w:ascii="Arial" w:eastAsia="Times New Roman" w:hAnsi="Arial" w:cs="Arial"/>
                <w:sz w:val="20"/>
                <w:szCs w:val="20"/>
              </w:rPr>
              <w:t>t) p(t) r(.=0) R(.) R'(.)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10,561.99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651.86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47</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10,467.07</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t) p(.) r(.=0) R(.) R'(.) F(t)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10,618.57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708.44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36</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10,546.03</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55"/>
        </w:trPr>
        <w:tc>
          <w:tcPr>
            <w:tcW w:w="36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t) p(.) r(.=0) R(.) R'(.) </w:t>
            </w:r>
            <w:proofErr w:type="gramStart"/>
            <w:r w:rsidRPr="00317D1D">
              <w:rPr>
                <w:rFonts w:ascii="Arial" w:eastAsia="Times New Roman" w:hAnsi="Arial" w:cs="Arial"/>
                <w:sz w:val="20"/>
                <w:szCs w:val="20"/>
              </w:rPr>
              <w:t>F(</w:t>
            </w:r>
            <w:proofErr w:type="gramEnd"/>
            <w:r w:rsidRPr="00317D1D">
              <w:rPr>
                <w:rFonts w:ascii="Arial" w:eastAsia="Times New Roman" w:hAnsi="Arial" w:cs="Arial"/>
                <w:sz w:val="20"/>
                <w:szCs w:val="20"/>
              </w:rPr>
              <w:t>.) F'(.=0)</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10,773.65 </w:t>
            </w:r>
          </w:p>
        </w:tc>
        <w:tc>
          <w:tcPr>
            <w:tcW w:w="81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863.52 </w:t>
            </w:r>
          </w:p>
        </w:tc>
        <w:tc>
          <w:tcPr>
            <w:tcW w:w="1032" w:type="dxa"/>
            <w:tcBorders>
              <w:top w:val="nil"/>
              <w:left w:val="nil"/>
              <w:bottom w:val="nil"/>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22</w:t>
            </w:r>
          </w:p>
        </w:tc>
        <w:tc>
          <w:tcPr>
            <w:tcW w:w="109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10,729.44</w:t>
            </w:r>
          </w:p>
        </w:tc>
        <w:tc>
          <w:tcPr>
            <w:tcW w:w="1152" w:type="dxa"/>
            <w:tcBorders>
              <w:top w:val="nil"/>
              <w:left w:val="nil"/>
              <w:bottom w:val="nil"/>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r w:rsidR="00B9653D" w:rsidRPr="00317D1D" w:rsidTr="00B9653D">
        <w:trPr>
          <w:trHeight w:val="270"/>
        </w:trPr>
        <w:tc>
          <w:tcPr>
            <w:tcW w:w="365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rPr>
                <w:rFonts w:ascii="Arial" w:eastAsia="Times New Roman" w:hAnsi="Arial" w:cs="Arial"/>
                <w:sz w:val="20"/>
                <w:szCs w:val="20"/>
              </w:rPr>
            </w:pPr>
            <w:proofErr w:type="gramStart"/>
            <w:r w:rsidRPr="00317D1D">
              <w:rPr>
                <w:rFonts w:ascii="Arial" w:eastAsia="Times New Roman" w:hAnsi="Arial" w:cs="Arial"/>
                <w:sz w:val="20"/>
                <w:szCs w:val="20"/>
              </w:rPr>
              <w:t>S(</w:t>
            </w:r>
            <w:proofErr w:type="gramEnd"/>
            <w:r w:rsidRPr="00317D1D">
              <w:rPr>
                <w:rFonts w:ascii="Arial" w:eastAsia="Times New Roman" w:hAnsi="Arial" w:cs="Arial"/>
                <w:sz w:val="20"/>
                <w:szCs w:val="20"/>
              </w:rPr>
              <w:t xml:space="preserve">.) p(.) r(.) </w:t>
            </w:r>
            <w:proofErr w:type="gramStart"/>
            <w:r w:rsidRPr="00317D1D">
              <w:rPr>
                <w:rFonts w:ascii="Arial" w:eastAsia="Times New Roman" w:hAnsi="Arial" w:cs="Arial"/>
                <w:sz w:val="20"/>
                <w:szCs w:val="20"/>
              </w:rPr>
              <w:t>R(</w:t>
            </w:r>
            <w:proofErr w:type="gramEnd"/>
            <w:r w:rsidRPr="00317D1D">
              <w:rPr>
                <w:rFonts w:ascii="Arial" w:eastAsia="Times New Roman" w:hAnsi="Arial" w:cs="Arial"/>
                <w:sz w:val="20"/>
                <w:szCs w:val="20"/>
              </w:rPr>
              <w:t xml:space="preserve">.) R'(.) </w:t>
            </w:r>
            <w:proofErr w:type="gramStart"/>
            <w:r w:rsidRPr="00317D1D">
              <w:rPr>
                <w:rFonts w:ascii="Arial" w:eastAsia="Times New Roman" w:hAnsi="Arial" w:cs="Arial"/>
                <w:sz w:val="20"/>
                <w:szCs w:val="20"/>
              </w:rPr>
              <w:t>F(</w:t>
            </w:r>
            <w:proofErr w:type="gramEnd"/>
            <w:r w:rsidRPr="00317D1D">
              <w:rPr>
                <w:rFonts w:ascii="Arial" w:eastAsia="Times New Roman" w:hAnsi="Arial" w:cs="Arial"/>
                <w:sz w:val="20"/>
                <w:szCs w:val="20"/>
              </w:rPr>
              <w:t>.) F'(.)</w:t>
            </w:r>
          </w:p>
        </w:tc>
        <w:tc>
          <w:tcPr>
            <w:tcW w:w="109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 xml:space="preserve"> 11,114.48 </w:t>
            </w:r>
          </w:p>
        </w:tc>
        <w:tc>
          <w:tcPr>
            <w:tcW w:w="81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1032" w:type="dxa"/>
            <w:tcBorders>
              <w:top w:val="nil"/>
              <w:left w:val="nil"/>
              <w:bottom w:val="single" w:sz="8" w:space="0" w:color="auto"/>
              <w:right w:val="nil"/>
            </w:tcBorders>
            <w:shd w:val="clear" w:color="auto" w:fill="auto"/>
            <w:noWrap/>
            <w:vAlign w:val="bottom"/>
            <w:hideMark/>
          </w:tcPr>
          <w:p w:rsidR="00317D1D" w:rsidRPr="00317D1D" w:rsidRDefault="00317D1D" w:rsidP="00872BF8">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w:t>
            </w:r>
          </w:p>
        </w:tc>
        <w:tc>
          <w:tcPr>
            <w:tcW w:w="69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7</w:t>
            </w:r>
          </w:p>
        </w:tc>
        <w:tc>
          <w:tcPr>
            <w:tcW w:w="109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11,100.45</w:t>
            </w:r>
          </w:p>
        </w:tc>
        <w:tc>
          <w:tcPr>
            <w:tcW w:w="1152" w:type="dxa"/>
            <w:tcBorders>
              <w:top w:val="nil"/>
              <w:left w:val="nil"/>
              <w:bottom w:val="single" w:sz="8" w:space="0" w:color="auto"/>
              <w:right w:val="nil"/>
            </w:tcBorders>
            <w:shd w:val="clear" w:color="auto" w:fill="auto"/>
            <w:noWrap/>
            <w:vAlign w:val="bottom"/>
            <w:hideMark/>
          </w:tcPr>
          <w:p w:rsidR="00317D1D" w:rsidRPr="00317D1D" w:rsidRDefault="00317D1D" w:rsidP="00317D1D">
            <w:pPr>
              <w:spacing w:after="0" w:line="240" w:lineRule="auto"/>
              <w:jc w:val="center"/>
              <w:rPr>
                <w:rFonts w:ascii="Arial" w:eastAsia="Times New Roman" w:hAnsi="Arial" w:cs="Arial"/>
                <w:sz w:val="20"/>
                <w:szCs w:val="20"/>
              </w:rPr>
            </w:pPr>
            <w:r w:rsidRPr="00317D1D">
              <w:rPr>
                <w:rFonts w:ascii="Arial" w:eastAsia="Times New Roman" w:hAnsi="Arial" w:cs="Arial"/>
                <w:sz w:val="20"/>
                <w:szCs w:val="20"/>
              </w:rPr>
              <w:t>0.00</w:t>
            </w:r>
          </w:p>
        </w:tc>
      </w:tr>
    </w:tbl>
    <w:p w:rsidR="00DB38F5" w:rsidRDefault="00DB38F5" w:rsidP="00DB38F5">
      <w:proofErr w:type="gramStart"/>
      <w:r w:rsidRPr="00320A3E">
        <w:rPr>
          <w:vertAlign w:val="superscript"/>
        </w:rPr>
        <w:t>a</w:t>
      </w:r>
      <w:proofErr w:type="gramEnd"/>
      <w:r>
        <w:t xml:space="preserve"> </w:t>
      </w:r>
      <w:r w:rsidRPr="00320A3E">
        <w:t>Key to model notation: K = no. of param</w:t>
      </w:r>
      <w:r w:rsidR="00D67944">
        <w:t>eters</w:t>
      </w:r>
      <w:r w:rsidR="0076258C">
        <w:t xml:space="preserve"> </w:t>
      </w:r>
      <w:bookmarkStart w:id="0" w:name="_GoBack"/>
      <w:bookmarkEnd w:id="0"/>
      <w:r w:rsidRPr="00320A3E">
        <w:t xml:space="preserve">; AICc   = Akaike Information Criteria corrected for small sample size; </w:t>
      </w:r>
      <w:proofErr w:type="spellStart"/>
      <w:r>
        <w:rPr>
          <w:rFonts w:cs="Times New Roman"/>
        </w:rPr>
        <w:t>Δ</w:t>
      </w:r>
      <w:r w:rsidRPr="00320A3E">
        <w:t>AICc</w:t>
      </w:r>
      <w:proofErr w:type="spellEnd"/>
      <w:r w:rsidRPr="00320A3E">
        <w:t xml:space="preserve"> = difference between the model listed and the </w:t>
      </w:r>
      <w:r>
        <w:t>AIC</w:t>
      </w:r>
      <w:r w:rsidRPr="00320A3E">
        <w:t xml:space="preserve">c of the best model; </w:t>
      </w:r>
      <w:proofErr w:type="spellStart"/>
      <w:r w:rsidRPr="00320A3E">
        <w:t>wi</w:t>
      </w:r>
      <w:proofErr w:type="spellEnd"/>
      <w:r w:rsidRPr="00320A3E">
        <w:t xml:space="preserve"> = model weight based on model AICc compared to all other model </w:t>
      </w:r>
      <w:r>
        <w:t>AIC</w:t>
      </w:r>
      <w:r w:rsidRPr="00320A3E">
        <w:t>c values</w:t>
      </w:r>
      <w:r>
        <w:t>.  Lower case t indicates estimates are categorical by season (15 seasons), the p</w:t>
      </w:r>
      <w:r w:rsidRPr="00320A3E">
        <w:t>eriod symbol indicates no difference across time</w:t>
      </w:r>
      <w:proofErr w:type="gramStart"/>
      <w:r w:rsidRPr="00320A3E">
        <w:t xml:space="preserve">, </w:t>
      </w:r>
      <w:r>
        <w:t xml:space="preserve"> and</w:t>
      </w:r>
      <w:proofErr w:type="gramEnd"/>
      <w:r>
        <w:t xml:space="preserve"> .</w:t>
      </w:r>
      <w:r w:rsidRPr="00320A3E">
        <w:t>= 0 indicates a parameter set to 0</w:t>
      </w:r>
      <w:r>
        <w:t xml:space="preserve">.  See </w:t>
      </w:r>
      <w:r w:rsidRPr="00DB38F5">
        <w:rPr>
          <w:b/>
        </w:rPr>
        <w:t>Barker Model</w:t>
      </w:r>
      <w:r>
        <w:t xml:space="preserve"> section above for a description of model parameters.</w:t>
      </w:r>
    </w:p>
    <w:p w:rsidR="00317D1D" w:rsidRDefault="00317D1D" w:rsidP="00881820"/>
    <w:p w:rsidR="00E658B3" w:rsidRPr="006C1354" w:rsidRDefault="00E658B3" w:rsidP="00881820">
      <w:pPr>
        <w:rPr>
          <w:b/>
        </w:rPr>
      </w:pPr>
      <w:r w:rsidRPr="006C1354">
        <w:rPr>
          <w:b/>
        </w:rPr>
        <w:t>References</w:t>
      </w:r>
    </w:p>
    <w:p w:rsidR="00D67944" w:rsidRPr="00D67944" w:rsidRDefault="006C1354" w:rsidP="00D67944">
      <w:pPr>
        <w:spacing w:after="0" w:line="240" w:lineRule="auto"/>
        <w:ind w:left="720" w:hanging="720"/>
        <w:rPr>
          <w:rFonts w:cs="Times New Roman"/>
          <w:noProof/>
        </w:rPr>
      </w:pPr>
      <w:r>
        <w:fldChar w:fldCharType="begin"/>
      </w:r>
      <w:r>
        <w:instrText xml:space="preserve"> ADDIN EN.REFLIST </w:instrText>
      </w:r>
      <w:r>
        <w:fldChar w:fldCharType="separate"/>
      </w:r>
      <w:bookmarkStart w:id="1" w:name="_ENREF_1"/>
      <w:r w:rsidR="00D67944" w:rsidRPr="00D67944">
        <w:rPr>
          <w:rFonts w:cs="Times New Roman"/>
          <w:noProof/>
        </w:rPr>
        <w:t xml:space="preserve">Barker, R. J. (1997). Joint modeling of live-recapture, tag-resight, and tag-recovery data. </w:t>
      </w:r>
      <w:r w:rsidR="00D67944" w:rsidRPr="00D67944">
        <w:rPr>
          <w:rFonts w:cs="Times New Roman"/>
          <w:i/>
          <w:noProof/>
        </w:rPr>
        <w:t>Biometrics, 53</w:t>
      </w:r>
      <w:r w:rsidR="00D67944" w:rsidRPr="00D67944">
        <w:rPr>
          <w:rFonts w:cs="Times New Roman"/>
          <w:noProof/>
        </w:rPr>
        <w:t>(2), 666-677.</w:t>
      </w:r>
      <w:bookmarkEnd w:id="1"/>
    </w:p>
    <w:p w:rsidR="00D67944" w:rsidRPr="00D67944" w:rsidRDefault="00D67944" w:rsidP="00D67944">
      <w:pPr>
        <w:spacing w:after="0" w:line="240" w:lineRule="auto"/>
        <w:ind w:left="720" w:hanging="720"/>
        <w:rPr>
          <w:rFonts w:cs="Times New Roman"/>
          <w:noProof/>
        </w:rPr>
      </w:pPr>
      <w:bookmarkStart w:id="2" w:name="_ENREF_2"/>
      <w:r w:rsidRPr="00D67944">
        <w:rPr>
          <w:rFonts w:cs="Times New Roman"/>
          <w:noProof/>
        </w:rPr>
        <w:t xml:space="preserve">Barker, R. J., Burnham, K. P., &amp; White, G. C. (2004). Encounter history modeling of joing mark-recapture, tag-resighting and tag-recovery data under temporary emigration. </w:t>
      </w:r>
      <w:r w:rsidRPr="00D67944">
        <w:rPr>
          <w:rFonts w:cs="Times New Roman"/>
          <w:i/>
          <w:noProof/>
        </w:rPr>
        <w:t>Statistica Sinica, 14</w:t>
      </w:r>
      <w:r w:rsidRPr="00D67944">
        <w:rPr>
          <w:rFonts w:cs="Times New Roman"/>
          <w:noProof/>
        </w:rPr>
        <w:t>, 1037-1055.</w:t>
      </w:r>
      <w:bookmarkEnd w:id="2"/>
    </w:p>
    <w:p w:rsidR="00D67944" w:rsidRPr="00D67944" w:rsidRDefault="00D67944" w:rsidP="00D67944">
      <w:pPr>
        <w:spacing w:after="0" w:line="240" w:lineRule="auto"/>
        <w:ind w:left="720" w:hanging="720"/>
        <w:rPr>
          <w:rFonts w:cs="Times New Roman"/>
          <w:noProof/>
        </w:rPr>
      </w:pPr>
      <w:bookmarkStart w:id="3" w:name="_ENREF_3"/>
      <w:r w:rsidRPr="00D67944">
        <w:rPr>
          <w:rFonts w:cs="Times New Roman"/>
          <w:noProof/>
        </w:rPr>
        <w:t xml:space="preserve">Burnham, K. P., &amp; Anderson, D. R. (2002). </w:t>
      </w:r>
      <w:r w:rsidRPr="00D67944">
        <w:rPr>
          <w:rFonts w:cs="Times New Roman"/>
          <w:i/>
          <w:noProof/>
        </w:rPr>
        <w:t>Model selection and multimodel inference: Second Edition</w:t>
      </w:r>
      <w:r w:rsidRPr="00D67944">
        <w:rPr>
          <w:rFonts w:cs="Times New Roman"/>
          <w:noProof/>
        </w:rPr>
        <w:t>. New York, New York, USA: Springer-Verlag.</w:t>
      </w:r>
      <w:bookmarkEnd w:id="3"/>
    </w:p>
    <w:p w:rsidR="00D67944" w:rsidRPr="00D67944" w:rsidRDefault="00D67944" w:rsidP="00D67944">
      <w:pPr>
        <w:spacing w:after="0" w:line="240" w:lineRule="auto"/>
        <w:ind w:left="720" w:hanging="720"/>
        <w:rPr>
          <w:rFonts w:cs="Times New Roman"/>
          <w:noProof/>
        </w:rPr>
      </w:pPr>
      <w:bookmarkStart w:id="4" w:name="_ENREF_4"/>
      <w:r w:rsidRPr="00D67944">
        <w:rPr>
          <w:rFonts w:cs="Times New Roman"/>
          <w:noProof/>
        </w:rPr>
        <w:t xml:space="preserve">Burnham, K. P., Anderson, D. R., White, G. C., Brownie, C., &amp; Pollock, K. H. (1987). </w:t>
      </w:r>
      <w:r w:rsidRPr="00D67944">
        <w:rPr>
          <w:rFonts w:cs="Times New Roman"/>
          <w:i/>
          <w:noProof/>
        </w:rPr>
        <w:t>Design and analysis methods of fish survival experiments based on release-recapture.  Monograph 5</w:t>
      </w:r>
      <w:r w:rsidRPr="00D67944">
        <w:rPr>
          <w:rFonts w:cs="Times New Roman"/>
          <w:noProof/>
        </w:rPr>
        <w:t xml:space="preserve"> (Vol. Monograph 5, Vol. Monograph 5). Bethesda, Maryland, USA: American Fisheries Society.</w:t>
      </w:r>
      <w:bookmarkEnd w:id="4"/>
    </w:p>
    <w:p w:rsidR="00D67944" w:rsidRPr="00D67944" w:rsidRDefault="00D67944" w:rsidP="00D67944">
      <w:pPr>
        <w:spacing w:after="0" w:line="240" w:lineRule="auto"/>
        <w:ind w:left="720" w:hanging="720"/>
        <w:rPr>
          <w:rFonts w:cs="Times New Roman"/>
          <w:noProof/>
        </w:rPr>
      </w:pPr>
      <w:bookmarkStart w:id="5" w:name="_ENREF_5"/>
      <w:r w:rsidRPr="00D67944">
        <w:rPr>
          <w:rFonts w:cs="Times New Roman"/>
          <w:noProof/>
        </w:rPr>
        <w:t xml:space="preserve">Cooch, E. G., &amp; White, G. C. (2016). Program MARK: "A gentle introduction", 14th Edition. Available at  </w:t>
      </w:r>
      <w:hyperlink r:id="rId5" w:history="1">
        <w:r w:rsidRPr="00D67944">
          <w:rPr>
            <w:rStyle w:val="Hyperlink"/>
            <w:rFonts w:cs="Times New Roman"/>
            <w:noProof/>
          </w:rPr>
          <w:t>http://www.phidot.org/software/mark/docs/book/</w:t>
        </w:r>
      </w:hyperlink>
      <w:r w:rsidRPr="00D67944">
        <w:rPr>
          <w:rFonts w:cs="Times New Roman"/>
          <w:noProof/>
        </w:rPr>
        <w:t>.</w:t>
      </w:r>
      <w:bookmarkEnd w:id="5"/>
    </w:p>
    <w:p w:rsidR="00D67944" w:rsidRPr="00D67944" w:rsidRDefault="00D67944" w:rsidP="00D67944">
      <w:pPr>
        <w:spacing w:after="0" w:line="240" w:lineRule="auto"/>
        <w:ind w:left="720" w:hanging="720"/>
        <w:rPr>
          <w:rFonts w:cs="Times New Roman"/>
          <w:noProof/>
        </w:rPr>
      </w:pPr>
      <w:bookmarkStart w:id="6" w:name="_ENREF_6"/>
      <w:r w:rsidRPr="00D67944">
        <w:rPr>
          <w:rFonts w:cs="Times New Roman"/>
          <w:noProof/>
        </w:rPr>
        <w:t xml:space="preserve">Cormack, R. M. (1964). Estimates of survival from the sighting of marked animals. </w:t>
      </w:r>
      <w:r w:rsidRPr="00D67944">
        <w:rPr>
          <w:rFonts w:cs="Times New Roman"/>
          <w:i/>
          <w:noProof/>
        </w:rPr>
        <w:t>Biometrika, 51</w:t>
      </w:r>
      <w:r w:rsidRPr="00D67944">
        <w:rPr>
          <w:rFonts w:cs="Times New Roman"/>
          <w:noProof/>
        </w:rPr>
        <w:t>, 429-438.</w:t>
      </w:r>
      <w:bookmarkEnd w:id="6"/>
    </w:p>
    <w:p w:rsidR="00D67944" w:rsidRPr="00D67944" w:rsidRDefault="00D67944" w:rsidP="00D67944">
      <w:pPr>
        <w:spacing w:after="0" w:line="240" w:lineRule="auto"/>
        <w:ind w:left="720" w:hanging="720"/>
        <w:rPr>
          <w:rFonts w:cs="Times New Roman"/>
          <w:noProof/>
        </w:rPr>
      </w:pPr>
      <w:bookmarkStart w:id="7" w:name="_ENREF_7"/>
      <w:r w:rsidRPr="00D67944">
        <w:rPr>
          <w:rFonts w:cs="Times New Roman"/>
          <w:noProof/>
        </w:rPr>
        <w:t xml:space="preserve">Jolly, G. M. (1965). Explicit estimates from capture-recapture data with both death and immigration-stochastic model. </w:t>
      </w:r>
      <w:r w:rsidRPr="00D67944">
        <w:rPr>
          <w:rFonts w:cs="Times New Roman"/>
          <w:i/>
          <w:noProof/>
        </w:rPr>
        <w:t>Biometrika, 52</w:t>
      </w:r>
      <w:r w:rsidRPr="00D67944">
        <w:rPr>
          <w:rFonts w:cs="Times New Roman"/>
          <w:noProof/>
        </w:rPr>
        <w:t>, 225-247.</w:t>
      </w:r>
      <w:bookmarkEnd w:id="7"/>
    </w:p>
    <w:p w:rsidR="00D67944" w:rsidRPr="00D67944" w:rsidRDefault="00D67944" w:rsidP="00D67944">
      <w:pPr>
        <w:spacing w:after="0" w:line="240" w:lineRule="auto"/>
        <w:ind w:left="720" w:hanging="720"/>
        <w:rPr>
          <w:rFonts w:cs="Times New Roman"/>
          <w:noProof/>
        </w:rPr>
      </w:pPr>
      <w:bookmarkStart w:id="8" w:name="_ENREF_8"/>
      <w:r w:rsidRPr="00D67944">
        <w:rPr>
          <w:rFonts w:cs="Times New Roman"/>
          <w:noProof/>
        </w:rPr>
        <w:t xml:space="preserve">Lebreton, J.-D., Burnham, K. P., Clobert, J., &amp; Anderson, D. R. (1992). Modeling survival and testing biological hypotheses using marked animals: a unified approach with case studies. </w:t>
      </w:r>
      <w:r w:rsidRPr="00D67944">
        <w:rPr>
          <w:rFonts w:cs="Times New Roman"/>
          <w:i/>
          <w:noProof/>
        </w:rPr>
        <w:t>Ecological Monographs, 62</w:t>
      </w:r>
      <w:r w:rsidRPr="00D67944">
        <w:rPr>
          <w:rFonts w:cs="Times New Roman"/>
          <w:noProof/>
        </w:rPr>
        <w:t>(1), 67-118.</w:t>
      </w:r>
      <w:bookmarkEnd w:id="8"/>
    </w:p>
    <w:p w:rsidR="00D67944" w:rsidRPr="00D67944" w:rsidRDefault="00D67944" w:rsidP="00D67944">
      <w:pPr>
        <w:spacing w:after="0" w:line="240" w:lineRule="auto"/>
        <w:ind w:left="720" w:hanging="720"/>
        <w:rPr>
          <w:rFonts w:cs="Times New Roman"/>
          <w:noProof/>
        </w:rPr>
      </w:pPr>
      <w:bookmarkStart w:id="9" w:name="_ENREF_9"/>
      <w:r w:rsidRPr="00D67944">
        <w:rPr>
          <w:rFonts w:cs="Times New Roman"/>
          <w:noProof/>
        </w:rPr>
        <w:t xml:space="preserve">Nichols, J. D., Hines, J. E., &amp; Blums, P. (1997). Tests for senescent decline in annual survival probabilities of common pochards, </w:t>
      </w:r>
      <w:r w:rsidRPr="00D67944">
        <w:rPr>
          <w:rFonts w:cs="Times New Roman"/>
          <w:i/>
          <w:noProof/>
        </w:rPr>
        <w:t>Aythya ferina</w:t>
      </w:r>
      <w:r w:rsidRPr="00D67944">
        <w:rPr>
          <w:rFonts w:cs="Times New Roman"/>
          <w:noProof/>
        </w:rPr>
        <w:t xml:space="preserve">. </w:t>
      </w:r>
      <w:r w:rsidRPr="00D67944">
        <w:rPr>
          <w:rFonts w:cs="Times New Roman"/>
          <w:i/>
          <w:noProof/>
        </w:rPr>
        <w:t>Ecology, 78</w:t>
      </w:r>
      <w:r w:rsidRPr="00D67944">
        <w:rPr>
          <w:rFonts w:cs="Times New Roman"/>
          <w:noProof/>
        </w:rPr>
        <w:t>, 1009-1018.</w:t>
      </w:r>
      <w:bookmarkEnd w:id="9"/>
    </w:p>
    <w:p w:rsidR="00D67944" w:rsidRPr="00D67944" w:rsidRDefault="00D67944" w:rsidP="00D67944">
      <w:pPr>
        <w:spacing w:after="0" w:line="240" w:lineRule="auto"/>
        <w:ind w:left="720" w:hanging="720"/>
        <w:rPr>
          <w:rFonts w:cs="Times New Roman"/>
          <w:noProof/>
        </w:rPr>
      </w:pPr>
      <w:bookmarkStart w:id="10" w:name="_ENREF_10"/>
      <w:r w:rsidRPr="00D67944">
        <w:rPr>
          <w:rFonts w:cs="Times New Roman"/>
          <w:noProof/>
        </w:rPr>
        <w:t xml:space="preserve">Sandercock, B. K. (2006). Estimation of Demographic Parameters from Live-Encounter Data: a Summary Review. </w:t>
      </w:r>
      <w:r w:rsidRPr="00D67944">
        <w:rPr>
          <w:rFonts w:cs="Times New Roman"/>
          <w:i/>
          <w:noProof/>
        </w:rPr>
        <w:t>Journal of Widlife Management, 70</w:t>
      </w:r>
      <w:r w:rsidRPr="00D67944">
        <w:rPr>
          <w:rFonts w:cs="Times New Roman"/>
          <w:noProof/>
        </w:rPr>
        <w:t>(6), 1504-1520, doi:doi:10.2193/0022-541X(2006)70[1504:EODPFL]2.0.CO;2.</w:t>
      </w:r>
      <w:bookmarkEnd w:id="10"/>
    </w:p>
    <w:p w:rsidR="00D67944" w:rsidRPr="00D67944" w:rsidRDefault="00D67944" w:rsidP="00D67944">
      <w:pPr>
        <w:spacing w:line="240" w:lineRule="auto"/>
        <w:ind w:left="720" w:hanging="720"/>
        <w:rPr>
          <w:rFonts w:cs="Times New Roman"/>
          <w:noProof/>
        </w:rPr>
      </w:pPr>
      <w:bookmarkStart w:id="11" w:name="_ENREF_11"/>
      <w:r w:rsidRPr="00D67944">
        <w:rPr>
          <w:rFonts w:cs="Times New Roman"/>
          <w:noProof/>
        </w:rPr>
        <w:t xml:space="preserve">Seber, G. A. F. (1965). A note on the multiple recapture census. </w:t>
      </w:r>
      <w:r w:rsidRPr="00D67944">
        <w:rPr>
          <w:rFonts w:cs="Times New Roman"/>
          <w:i/>
          <w:noProof/>
        </w:rPr>
        <w:t>Biometrika, 52</w:t>
      </w:r>
      <w:r w:rsidRPr="00D67944">
        <w:rPr>
          <w:rFonts w:cs="Times New Roman"/>
          <w:noProof/>
        </w:rPr>
        <w:t>, 249-259.</w:t>
      </w:r>
      <w:bookmarkEnd w:id="11"/>
    </w:p>
    <w:p w:rsidR="00D67944" w:rsidRDefault="00D67944" w:rsidP="00D67944">
      <w:pPr>
        <w:spacing w:line="240" w:lineRule="auto"/>
        <w:rPr>
          <w:rFonts w:cs="Times New Roman"/>
          <w:noProof/>
        </w:rPr>
      </w:pPr>
    </w:p>
    <w:p w:rsidR="00881820" w:rsidRDefault="006C1354" w:rsidP="00881820">
      <w:r>
        <w:fldChar w:fldCharType="end"/>
      </w:r>
    </w:p>
    <w:sectPr w:rsidR="00881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SocPsychAuthorDat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2zas0zfmprsswe2ed7p0xssf0ttazz5dswz&quot;&gt;General&lt;record-ids&gt;&lt;item&gt;220&lt;/item&gt;&lt;item&gt;344&lt;/item&gt;&lt;item&gt;347&lt;/item&gt;&lt;item&gt;349&lt;/item&gt;&lt;item&gt;355&lt;/item&gt;&lt;item&gt;760&lt;/item&gt;&lt;item&gt;939&lt;/item&gt;&lt;item&gt;1055&lt;/item&gt;&lt;item&gt;1073&lt;/item&gt;&lt;/record-ids&gt;&lt;/item&gt;&lt;/Libraries&gt;"/>
  </w:docVars>
  <w:rsids>
    <w:rsidRoot w:val="00C07566"/>
    <w:rsid w:val="00072A6D"/>
    <w:rsid w:val="00121C5A"/>
    <w:rsid w:val="001B7F84"/>
    <w:rsid w:val="002F16C3"/>
    <w:rsid w:val="00317D1D"/>
    <w:rsid w:val="00320A3E"/>
    <w:rsid w:val="00342A91"/>
    <w:rsid w:val="004A433C"/>
    <w:rsid w:val="004D3618"/>
    <w:rsid w:val="006C1354"/>
    <w:rsid w:val="006F288A"/>
    <w:rsid w:val="007341FC"/>
    <w:rsid w:val="0076258C"/>
    <w:rsid w:val="007E1C34"/>
    <w:rsid w:val="007E74C9"/>
    <w:rsid w:val="00872BF8"/>
    <w:rsid w:val="00881820"/>
    <w:rsid w:val="00932A1D"/>
    <w:rsid w:val="0095507F"/>
    <w:rsid w:val="0099705A"/>
    <w:rsid w:val="009C3E6F"/>
    <w:rsid w:val="00A01090"/>
    <w:rsid w:val="00A67D62"/>
    <w:rsid w:val="00A945E0"/>
    <w:rsid w:val="00AE68A5"/>
    <w:rsid w:val="00AF220E"/>
    <w:rsid w:val="00AF2285"/>
    <w:rsid w:val="00B626F1"/>
    <w:rsid w:val="00B745F5"/>
    <w:rsid w:val="00B9653D"/>
    <w:rsid w:val="00C07566"/>
    <w:rsid w:val="00D04F31"/>
    <w:rsid w:val="00D6408C"/>
    <w:rsid w:val="00D67944"/>
    <w:rsid w:val="00DB38F5"/>
    <w:rsid w:val="00E658B3"/>
    <w:rsid w:val="00E84DBB"/>
    <w:rsid w:val="00E8536D"/>
    <w:rsid w:val="00E95276"/>
    <w:rsid w:val="00FB1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b/>
        <w:bCs/>
        <w:kern w:val="32"/>
        <w:sz w:val="24"/>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E0"/>
    <w:rPr>
      <w:rFonts w:ascii="Times New Roman" w:hAnsi="Times New Roman" w:cstheme="minorBidi"/>
      <w:b w:val="0"/>
      <w:bCs w:val="0"/>
      <w:kern w:val="0"/>
      <w:sz w:val="22"/>
      <w:szCs w:val="22"/>
    </w:rPr>
  </w:style>
  <w:style w:type="paragraph" w:styleId="Heading1">
    <w:name w:val="heading 1"/>
    <w:basedOn w:val="Normal"/>
    <w:next w:val="Normal"/>
    <w:link w:val="Heading1Char"/>
    <w:autoRedefine/>
    <w:uiPriority w:val="9"/>
    <w:qFormat/>
    <w:rsid w:val="007E1C34"/>
    <w:pPr>
      <w:keepNext/>
      <w:spacing w:before="240" w:after="60"/>
      <w:outlineLvl w:val="0"/>
    </w:pPr>
    <w:rPr>
      <w:rFonts w:eastAsiaTheme="majorEastAsia" w:cstheme="majorBidi"/>
      <w:b/>
      <w:bCs/>
      <w:smallCaps/>
      <w:sz w:val="24"/>
      <w:szCs w:val="32"/>
    </w:rPr>
  </w:style>
  <w:style w:type="paragraph" w:styleId="Heading3">
    <w:name w:val="heading 3"/>
    <w:aliases w:val="JWM Head3,JWM Head2"/>
    <w:basedOn w:val="Normal"/>
    <w:next w:val="Normal"/>
    <w:link w:val="Heading3Char"/>
    <w:autoRedefine/>
    <w:qFormat/>
    <w:rsid w:val="00D04F31"/>
    <w:pPr>
      <w:keepNext/>
      <w:spacing w:after="0" w:line="480" w:lineRule="auto"/>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mnoindent">
    <w:name w:val="jwm no indent"/>
    <w:basedOn w:val="Normal"/>
    <w:link w:val="jwmnoindentChar"/>
    <w:autoRedefine/>
    <w:qFormat/>
    <w:rsid w:val="00D04F31"/>
    <w:pPr>
      <w:spacing w:after="0" w:line="360" w:lineRule="auto"/>
    </w:pPr>
    <w:rPr>
      <w:szCs w:val="24"/>
    </w:rPr>
  </w:style>
  <w:style w:type="character" w:customStyle="1" w:styleId="jwmnoindentChar">
    <w:name w:val="jwm no indent Char"/>
    <w:basedOn w:val="DefaultParagraphFont"/>
    <w:link w:val="jwmnoindent"/>
    <w:rsid w:val="00D04F31"/>
    <w:rPr>
      <w:rFonts w:ascii="Times New Roman" w:hAnsi="Times New Roman"/>
      <w:sz w:val="24"/>
      <w:szCs w:val="24"/>
    </w:rPr>
  </w:style>
  <w:style w:type="character" w:customStyle="1" w:styleId="Heading3Char">
    <w:name w:val="Heading 3 Char"/>
    <w:aliases w:val="JWM Head3 Char,JWM Head2 Char"/>
    <w:link w:val="Heading3"/>
    <w:rsid w:val="00D04F31"/>
    <w:rPr>
      <w:rFonts w:ascii="Times New Roman" w:hAnsi="Times New Roman" w:cs="Arial"/>
      <w:b w:val="0"/>
      <w:bCs w:val="0"/>
      <w:sz w:val="24"/>
      <w:szCs w:val="26"/>
    </w:rPr>
  </w:style>
  <w:style w:type="paragraph" w:customStyle="1" w:styleId="Response">
    <w:name w:val="Response"/>
    <w:basedOn w:val="Normal"/>
    <w:autoRedefine/>
    <w:rsid w:val="00D04F31"/>
    <w:pPr>
      <w:spacing w:before="240" w:after="240"/>
      <w:ind w:left="288"/>
    </w:pPr>
    <w:rPr>
      <w:rFonts w:ascii="Courier New" w:hAnsi="Courier New" w:cs="Courier New"/>
      <w:color w:val="0000FF"/>
      <w:szCs w:val="24"/>
    </w:rPr>
  </w:style>
  <w:style w:type="paragraph" w:customStyle="1" w:styleId="litcited">
    <w:name w:val="lit cited"/>
    <w:basedOn w:val="Normal"/>
    <w:link w:val="litcitedChar"/>
    <w:autoRedefine/>
    <w:qFormat/>
    <w:rsid w:val="00D04F31"/>
    <w:pPr>
      <w:spacing w:after="0" w:line="360" w:lineRule="auto"/>
      <w:ind w:left="432" w:hanging="432"/>
    </w:pPr>
    <w:rPr>
      <w:szCs w:val="24"/>
    </w:rPr>
  </w:style>
  <w:style w:type="character" w:customStyle="1" w:styleId="litcitedChar">
    <w:name w:val="lit cited Char"/>
    <w:basedOn w:val="DefaultParagraphFont"/>
    <w:link w:val="litcited"/>
    <w:rsid w:val="00D04F31"/>
    <w:rPr>
      <w:rFonts w:ascii="Times New Roman" w:hAnsi="Times New Roman"/>
      <w:sz w:val="24"/>
      <w:szCs w:val="24"/>
    </w:rPr>
  </w:style>
  <w:style w:type="character" w:styleId="Hyperlink">
    <w:name w:val="Hyperlink"/>
    <w:basedOn w:val="DefaultParagraphFont"/>
    <w:uiPriority w:val="99"/>
    <w:unhideWhenUsed/>
    <w:rsid w:val="00D04F31"/>
    <w:rPr>
      <w:color w:val="0000FF" w:themeColor="hyperlink"/>
      <w:u w:val="single"/>
    </w:rPr>
  </w:style>
  <w:style w:type="character" w:customStyle="1" w:styleId="Heading1Char">
    <w:name w:val="Heading 1 Char"/>
    <w:basedOn w:val="DefaultParagraphFont"/>
    <w:link w:val="Heading1"/>
    <w:uiPriority w:val="9"/>
    <w:rsid w:val="007E1C34"/>
    <w:rPr>
      <w:rFonts w:ascii="Times New Roman" w:eastAsiaTheme="majorEastAsia" w:hAnsi="Times New Roman" w:cstheme="majorBidi"/>
      <w:smallCaps/>
      <w:kern w:val="0"/>
    </w:rPr>
  </w:style>
  <w:style w:type="paragraph" w:customStyle="1" w:styleId="response0">
    <w:name w:val="response"/>
    <w:basedOn w:val="Normal"/>
    <w:link w:val="responseChar"/>
    <w:autoRedefine/>
    <w:qFormat/>
    <w:rsid w:val="00E95276"/>
    <w:pPr>
      <w:spacing w:before="120" w:after="120" w:line="240" w:lineRule="auto"/>
      <w:ind w:left="432"/>
    </w:pPr>
    <w:rPr>
      <w:rFonts w:ascii="Arial" w:hAnsi="Arial" w:cs="Arial"/>
      <w:b/>
      <w:bCs/>
      <w:i/>
      <w:color w:val="4F81BD" w:themeColor="accent1"/>
      <w:kern w:val="32"/>
      <w:sz w:val="24"/>
      <w:szCs w:val="24"/>
    </w:rPr>
  </w:style>
  <w:style w:type="character" w:customStyle="1" w:styleId="responseChar">
    <w:name w:val="response Char"/>
    <w:basedOn w:val="DefaultParagraphFont"/>
    <w:link w:val="response0"/>
    <w:rsid w:val="00E95276"/>
    <w:rPr>
      <w:i/>
      <w:color w:val="4F81BD" w:themeColor="accent1"/>
      <w:szCs w:val="24"/>
    </w:rPr>
  </w:style>
  <w:style w:type="paragraph" w:styleId="BodyTextIndent3">
    <w:name w:val="Body Text Indent 3"/>
    <w:basedOn w:val="Normal"/>
    <w:link w:val="BodyTextIndent3Char"/>
    <w:autoRedefine/>
    <w:rsid w:val="00C07566"/>
    <w:pPr>
      <w:spacing w:after="0" w:line="480" w:lineRule="auto"/>
      <w:ind w:firstLine="720"/>
    </w:pPr>
    <w:rPr>
      <w:rFonts w:eastAsia="Times New Roman" w:cs="Times New Roman"/>
      <w:sz w:val="24"/>
      <w:szCs w:val="24"/>
    </w:rPr>
  </w:style>
  <w:style w:type="character" w:customStyle="1" w:styleId="BodyTextIndent3Char">
    <w:name w:val="Body Text Indent 3 Char"/>
    <w:basedOn w:val="DefaultParagraphFont"/>
    <w:link w:val="BodyTextIndent3"/>
    <w:rsid w:val="00C07566"/>
    <w:rPr>
      <w:rFonts w:ascii="Times New Roman" w:eastAsia="Times New Roman" w:hAnsi="Times New Roman" w:cs="Times New Roman"/>
      <w:b w:val="0"/>
      <w:bCs w:val="0"/>
      <w:kern w:val="0"/>
      <w:szCs w:val="24"/>
    </w:rPr>
  </w:style>
  <w:style w:type="paragraph" w:styleId="BodyText">
    <w:name w:val="Body Text"/>
    <w:basedOn w:val="Normal"/>
    <w:link w:val="BodyTextChar"/>
    <w:uiPriority w:val="99"/>
    <w:semiHidden/>
    <w:unhideWhenUsed/>
    <w:rsid w:val="00881820"/>
    <w:pPr>
      <w:spacing w:after="120"/>
    </w:pPr>
  </w:style>
  <w:style w:type="character" w:customStyle="1" w:styleId="BodyTextChar">
    <w:name w:val="Body Text Char"/>
    <w:basedOn w:val="DefaultParagraphFont"/>
    <w:link w:val="BodyText"/>
    <w:uiPriority w:val="99"/>
    <w:semiHidden/>
    <w:rsid w:val="00881820"/>
    <w:rPr>
      <w:rFonts w:ascii="Times New Roman" w:hAnsi="Times New Roman" w:cstheme="minorBidi"/>
      <w:b w:val="0"/>
      <w:bCs w:val="0"/>
      <w:kern w:val="0"/>
      <w:sz w:val="22"/>
      <w:szCs w:val="22"/>
    </w:rPr>
  </w:style>
  <w:style w:type="paragraph" w:styleId="BalloonText">
    <w:name w:val="Balloon Text"/>
    <w:basedOn w:val="Normal"/>
    <w:link w:val="BalloonTextChar"/>
    <w:uiPriority w:val="99"/>
    <w:semiHidden/>
    <w:unhideWhenUsed/>
    <w:rsid w:val="0088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820"/>
    <w:rPr>
      <w:rFonts w:ascii="Tahoma" w:hAnsi="Tahoma" w:cs="Tahoma"/>
      <w:b w:val="0"/>
      <w:bCs w:val="0"/>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
        <w:bCs/>
        <w:kern w:val="32"/>
        <w:sz w:val="24"/>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E0"/>
    <w:rPr>
      <w:rFonts w:ascii="Times New Roman" w:hAnsi="Times New Roman" w:cstheme="minorBidi"/>
      <w:b w:val="0"/>
      <w:bCs w:val="0"/>
      <w:kern w:val="0"/>
      <w:sz w:val="22"/>
      <w:szCs w:val="22"/>
    </w:rPr>
  </w:style>
  <w:style w:type="paragraph" w:styleId="Heading1">
    <w:name w:val="heading 1"/>
    <w:basedOn w:val="Normal"/>
    <w:next w:val="Normal"/>
    <w:link w:val="Heading1Char"/>
    <w:autoRedefine/>
    <w:uiPriority w:val="9"/>
    <w:qFormat/>
    <w:rsid w:val="007E1C34"/>
    <w:pPr>
      <w:keepNext/>
      <w:spacing w:before="240" w:after="60"/>
      <w:outlineLvl w:val="0"/>
    </w:pPr>
    <w:rPr>
      <w:rFonts w:eastAsiaTheme="majorEastAsia" w:cstheme="majorBidi"/>
      <w:b/>
      <w:bCs/>
      <w:smallCaps/>
      <w:sz w:val="24"/>
      <w:szCs w:val="32"/>
    </w:rPr>
  </w:style>
  <w:style w:type="paragraph" w:styleId="Heading3">
    <w:name w:val="heading 3"/>
    <w:aliases w:val="JWM Head3,JWM Head2"/>
    <w:basedOn w:val="Normal"/>
    <w:next w:val="Normal"/>
    <w:link w:val="Heading3Char"/>
    <w:autoRedefine/>
    <w:qFormat/>
    <w:rsid w:val="00D04F31"/>
    <w:pPr>
      <w:keepNext/>
      <w:spacing w:after="0" w:line="480" w:lineRule="auto"/>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mnoindent">
    <w:name w:val="jwm no indent"/>
    <w:basedOn w:val="Normal"/>
    <w:link w:val="jwmnoindentChar"/>
    <w:autoRedefine/>
    <w:qFormat/>
    <w:rsid w:val="00D04F31"/>
    <w:pPr>
      <w:spacing w:after="0" w:line="360" w:lineRule="auto"/>
    </w:pPr>
    <w:rPr>
      <w:szCs w:val="24"/>
    </w:rPr>
  </w:style>
  <w:style w:type="character" w:customStyle="1" w:styleId="jwmnoindentChar">
    <w:name w:val="jwm no indent Char"/>
    <w:basedOn w:val="DefaultParagraphFont"/>
    <w:link w:val="jwmnoindent"/>
    <w:rsid w:val="00D04F31"/>
    <w:rPr>
      <w:rFonts w:ascii="Times New Roman" w:hAnsi="Times New Roman"/>
      <w:sz w:val="24"/>
      <w:szCs w:val="24"/>
    </w:rPr>
  </w:style>
  <w:style w:type="character" w:customStyle="1" w:styleId="Heading3Char">
    <w:name w:val="Heading 3 Char"/>
    <w:aliases w:val="JWM Head3 Char,JWM Head2 Char"/>
    <w:link w:val="Heading3"/>
    <w:rsid w:val="00D04F31"/>
    <w:rPr>
      <w:rFonts w:ascii="Times New Roman" w:hAnsi="Times New Roman" w:cs="Arial"/>
      <w:b w:val="0"/>
      <w:bCs w:val="0"/>
      <w:sz w:val="24"/>
      <w:szCs w:val="26"/>
    </w:rPr>
  </w:style>
  <w:style w:type="paragraph" w:customStyle="1" w:styleId="Response">
    <w:name w:val="Response"/>
    <w:basedOn w:val="Normal"/>
    <w:autoRedefine/>
    <w:rsid w:val="00D04F31"/>
    <w:pPr>
      <w:spacing w:before="240" w:after="240"/>
      <w:ind w:left="288"/>
    </w:pPr>
    <w:rPr>
      <w:rFonts w:ascii="Courier New" w:hAnsi="Courier New" w:cs="Courier New"/>
      <w:color w:val="0000FF"/>
      <w:szCs w:val="24"/>
    </w:rPr>
  </w:style>
  <w:style w:type="paragraph" w:customStyle="1" w:styleId="litcited">
    <w:name w:val="lit cited"/>
    <w:basedOn w:val="Normal"/>
    <w:link w:val="litcitedChar"/>
    <w:autoRedefine/>
    <w:qFormat/>
    <w:rsid w:val="00D04F31"/>
    <w:pPr>
      <w:spacing w:after="0" w:line="360" w:lineRule="auto"/>
      <w:ind w:left="432" w:hanging="432"/>
    </w:pPr>
    <w:rPr>
      <w:szCs w:val="24"/>
    </w:rPr>
  </w:style>
  <w:style w:type="character" w:customStyle="1" w:styleId="litcitedChar">
    <w:name w:val="lit cited Char"/>
    <w:basedOn w:val="DefaultParagraphFont"/>
    <w:link w:val="litcited"/>
    <w:rsid w:val="00D04F31"/>
    <w:rPr>
      <w:rFonts w:ascii="Times New Roman" w:hAnsi="Times New Roman"/>
      <w:sz w:val="24"/>
      <w:szCs w:val="24"/>
    </w:rPr>
  </w:style>
  <w:style w:type="character" w:styleId="Hyperlink">
    <w:name w:val="Hyperlink"/>
    <w:basedOn w:val="DefaultParagraphFont"/>
    <w:uiPriority w:val="99"/>
    <w:unhideWhenUsed/>
    <w:rsid w:val="00D04F31"/>
    <w:rPr>
      <w:color w:val="0000FF" w:themeColor="hyperlink"/>
      <w:u w:val="single"/>
    </w:rPr>
  </w:style>
  <w:style w:type="character" w:customStyle="1" w:styleId="Heading1Char">
    <w:name w:val="Heading 1 Char"/>
    <w:basedOn w:val="DefaultParagraphFont"/>
    <w:link w:val="Heading1"/>
    <w:uiPriority w:val="9"/>
    <w:rsid w:val="007E1C34"/>
    <w:rPr>
      <w:rFonts w:ascii="Times New Roman" w:eastAsiaTheme="majorEastAsia" w:hAnsi="Times New Roman" w:cstheme="majorBidi"/>
      <w:smallCaps/>
      <w:kern w:val="0"/>
    </w:rPr>
  </w:style>
  <w:style w:type="paragraph" w:customStyle="1" w:styleId="response0">
    <w:name w:val="response"/>
    <w:basedOn w:val="Normal"/>
    <w:link w:val="responseChar"/>
    <w:autoRedefine/>
    <w:qFormat/>
    <w:rsid w:val="00E95276"/>
    <w:pPr>
      <w:spacing w:before="120" w:after="120" w:line="240" w:lineRule="auto"/>
      <w:ind w:left="432"/>
    </w:pPr>
    <w:rPr>
      <w:rFonts w:ascii="Arial" w:hAnsi="Arial" w:cs="Arial"/>
      <w:b/>
      <w:bCs/>
      <w:i/>
      <w:color w:val="4F81BD" w:themeColor="accent1"/>
      <w:kern w:val="32"/>
      <w:sz w:val="24"/>
      <w:szCs w:val="24"/>
    </w:rPr>
  </w:style>
  <w:style w:type="character" w:customStyle="1" w:styleId="responseChar">
    <w:name w:val="response Char"/>
    <w:basedOn w:val="DefaultParagraphFont"/>
    <w:link w:val="response0"/>
    <w:rsid w:val="00E95276"/>
    <w:rPr>
      <w:i/>
      <w:color w:val="4F81BD" w:themeColor="accent1"/>
      <w:szCs w:val="24"/>
    </w:rPr>
  </w:style>
  <w:style w:type="paragraph" w:styleId="BodyTextIndent3">
    <w:name w:val="Body Text Indent 3"/>
    <w:basedOn w:val="Normal"/>
    <w:link w:val="BodyTextIndent3Char"/>
    <w:autoRedefine/>
    <w:rsid w:val="00C07566"/>
    <w:pPr>
      <w:spacing w:after="0" w:line="480" w:lineRule="auto"/>
      <w:ind w:firstLine="720"/>
    </w:pPr>
    <w:rPr>
      <w:rFonts w:eastAsia="Times New Roman" w:cs="Times New Roman"/>
      <w:sz w:val="24"/>
      <w:szCs w:val="24"/>
    </w:rPr>
  </w:style>
  <w:style w:type="character" w:customStyle="1" w:styleId="BodyTextIndent3Char">
    <w:name w:val="Body Text Indent 3 Char"/>
    <w:basedOn w:val="DefaultParagraphFont"/>
    <w:link w:val="BodyTextIndent3"/>
    <w:rsid w:val="00C07566"/>
    <w:rPr>
      <w:rFonts w:ascii="Times New Roman" w:eastAsia="Times New Roman" w:hAnsi="Times New Roman" w:cs="Times New Roman"/>
      <w:b w:val="0"/>
      <w:bCs w:val="0"/>
      <w:kern w:val="0"/>
      <w:szCs w:val="24"/>
    </w:rPr>
  </w:style>
  <w:style w:type="paragraph" w:styleId="BodyText">
    <w:name w:val="Body Text"/>
    <w:basedOn w:val="Normal"/>
    <w:link w:val="BodyTextChar"/>
    <w:uiPriority w:val="99"/>
    <w:semiHidden/>
    <w:unhideWhenUsed/>
    <w:rsid w:val="00881820"/>
    <w:pPr>
      <w:spacing w:after="120"/>
    </w:pPr>
  </w:style>
  <w:style w:type="character" w:customStyle="1" w:styleId="BodyTextChar">
    <w:name w:val="Body Text Char"/>
    <w:basedOn w:val="DefaultParagraphFont"/>
    <w:link w:val="BodyText"/>
    <w:uiPriority w:val="99"/>
    <w:semiHidden/>
    <w:rsid w:val="00881820"/>
    <w:rPr>
      <w:rFonts w:ascii="Times New Roman" w:hAnsi="Times New Roman" w:cstheme="minorBidi"/>
      <w:b w:val="0"/>
      <w:bCs w:val="0"/>
      <w:kern w:val="0"/>
      <w:sz w:val="22"/>
      <w:szCs w:val="22"/>
    </w:rPr>
  </w:style>
  <w:style w:type="paragraph" w:styleId="BalloonText">
    <w:name w:val="Balloon Text"/>
    <w:basedOn w:val="Normal"/>
    <w:link w:val="BalloonTextChar"/>
    <w:uiPriority w:val="99"/>
    <w:semiHidden/>
    <w:unhideWhenUsed/>
    <w:rsid w:val="0088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820"/>
    <w:rPr>
      <w:rFonts w:ascii="Tahoma" w:hAnsi="Tahoma" w:cs="Tahoma"/>
      <w:b w:val="0"/>
      <w:bCs w:val="0"/>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090213">
      <w:bodyDiv w:val="1"/>
      <w:marLeft w:val="0"/>
      <w:marRight w:val="0"/>
      <w:marTop w:val="0"/>
      <w:marBottom w:val="0"/>
      <w:divBdr>
        <w:top w:val="none" w:sz="0" w:space="0" w:color="auto"/>
        <w:left w:val="none" w:sz="0" w:space="0" w:color="auto"/>
        <w:bottom w:val="none" w:sz="0" w:space="0" w:color="auto"/>
        <w:right w:val="none" w:sz="0" w:space="0" w:color="auto"/>
      </w:divBdr>
    </w:div>
    <w:div w:id="1639728318">
      <w:bodyDiv w:val="1"/>
      <w:marLeft w:val="0"/>
      <w:marRight w:val="0"/>
      <w:marTop w:val="0"/>
      <w:marBottom w:val="0"/>
      <w:divBdr>
        <w:top w:val="none" w:sz="0" w:space="0" w:color="auto"/>
        <w:left w:val="none" w:sz="0" w:space="0" w:color="auto"/>
        <w:bottom w:val="none" w:sz="0" w:space="0" w:color="auto"/>
        <w:right w:val="none" w:sz="0" w:space="0" w:color="auto"/>
      </w:divBdr>
    </w:div>
    <w:div w:id="2048873146">
      <w:bodyDiv w:val="1"/>
      <w:marLeft w:val="0"/>
      <w:marRight w:val="0"/>
      <w:marTop w:val="0"/>
      <w:marBottom w:val="0"/>
      <w:divBdr>
        <w:top w:val="none" w:sz="0" w:space="0" w:color="auto"/>
        <w:left w:val="none" w:sz="0" w:space="0" w:color="auto"/>
        <w:bottom w:val="none" w:sz="0" w:space="0" w:color="auto"/>
        <w:right w:val="none" w:sz="0" w:space="0" w:color="auto"/>
      </w:divBdr>
    </w:div>
    <w:div w:id="213208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hidot.org/software/mark/docs/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Conner</dc:creator>
  <cp:lastModifiedBy>Mary Conner</cp:lastModifiedBy>
  <cp:revision>15</cp:revision>
  <cp:lastPrinted>2016-04-07T17:45:00Z</cp:lastPrinted>
  <dcterms:created xsi:type="dcterms:W3CDTF">2016-04-06T15:53:00Z</dcterms:created>
  <dcterms:modified xsi:type="dcterms:W3CDTF">2016-04-07T18:56:00Z</dcterms:modified>
</cp:coreProperties>
</file>