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224" w:rsidRDefault="006A5689">
      <w:pPr>
        <w:rPr>
          <w:rFonts w:ascii="Arial" w:hAnsi="Arial" w:cs="Arial"/>
          <w:b/>
          <w:sz w:val="24"/>
          <w:szCs w:val="24"/>
          <w:lang w:val="en-US"/>
        </w:rPr>
      </w:pPr>
      <w:r>
        <w:rPr>
          <w:rFonts w:ascii="Arial" w:hAnsi="Arial" w:cs="Arial"/>
          <w:b/>
          <w:sz w:val="24"/>
          <w:szCs w:val="24"/>
          <w:lang w:val="en-US"/>
        </w:rPr>
        <w:t>Supplementary information</w:t>
      </w:r>
    </w:p>
    <w:p w:rsidR="006F0224" w:rsidRDefault="006A5689">
      <w:pPr>
        <w:spacing w:line="360" w:lineRule="auto"/>
        <w:jc w:val="both"/>
        <w:rPr>
          <w:rFonts w:ascii="Arial" w:eastAsia="Times New Roman" w:hAnsi="Arial" w:cs="Arial"/>
          <w:b/>
          <w:bCs/>
          <w:iCs/>
          <w:sz w:val="24"/>
          <w:szCs w:val="24"/>
          <w:lang w:val="en-US" w:eastAsia="es-ES"/>
        </w:rPr>
      </w:pPr>
      <w:r>
        <w:rPr>
          <w:rFonts w:ascii="Arial" w:eastAsia="Times New Roman" w:hAnsi="Arial" w:cs="Arial"/>
          <w:b/>
          <w:bCs/>
          <w:iCs/>
          <w:sz w:val="24"/>
          <w:szCs w:val="24"/>
          <w:lang w:val="en-US" w:eastAsia="es-ES"/>
        </w:rPr>
        <w:t>Material and methods</w:t>
      </w:r>
    </w:p>
    <w:p w:rsidR="006F0224" w:rsidRDefault="006A5689">
      <w:pPr>
        <w:spacing w:line="360" w:lineRule="auto"/>
        <w:jc w:val="both"/>
        <w:rPr>
          <w:rFonts w:ascii="Arial" w:eastAsia="Times New Roman" w:hAnsi="Arial" w:cs="Arial"/>
          <w:iCs/>
          <w:sz w:val="24"/>
          <w:szCs w:val="24"/>
          <w:lang w:val="en-US" w:eastAsia="es-ES"/>
        </w:rPr>
      </w:pPr>
      <w:r>
        <w:rPr>
          <w:rFonts w:ascii="Arial" w:eastAsia="Times New Roman" w:hAnsi="Arial" w:cs="Arial"/>
          <w:iCs/>
          <w:sz w:val="24"/>
          <w:szCs w:val="24"/>
          <w:lang w:val="en-US" w:eastAsia="es-ES"/>
        </w:rPr>
        <w:t>Sampling</w:t>
      </w:r>
    </w:p>
    <w:p w:rsidR="006F0224" w:rsidRDefault="006A5689">
      <w:pPr>
        <w:rPr>
          <w:rFonts w:ascii="Arial" w:hAnsi="Arial" w:cs="Arial"/>
          <w:sz w:val="24"/>
          <w:szCs w:val="24"/>
          <w:lang w:val="en-US"/>
        </w:rPr>
      </w:pPr>
      <w:r>
        <w:rPr>
          <w:rFonts w:ascii="Arial" w:hAnsi="Arial" w:cs="Arial"/>
          <w:b/>
          <w:sz w:val="24"/>
          <w:szCs w:val="24"/>
          <w:lang w:val="en-US"/>
        </w:rPr>
        <w:t>Supplementary Table1.</w:t>
      </w:r>
      <w:r>
        <w:rPr>
          <w:rFonts w:ascii="Arial" w:hAnsi="Arial" w:cs="Arial"/>
          <w:sz w:val="24"/>
          <w:szCs w:val="24"/>
          <w:lang w:val="en-US"/>
        </w:rPr>
        <w:t xml:space="preserve"> River samples characteristics and their potential environmental impacts</w:t>
      </w:r>
    </w:p>
    <w:tbl>
      <w:tblPr>
        <w:tblStyle w:val="TableGrid"/>
        <w:tblW w:w="8647" w:type="dxa"/>
        <w:tblInd w:w="-14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
        <w:gridCol w:w="1340"/>
        <w:gridCol w:w="997"/>
        <w:gridCol w:w="1913"/>
        <w:gridCol w:w="780"/>
        <w:gridCol w:w="750"/>
        <w:gridCol w:w="1927"/>
      </w:tblGrid>
      <w:tr w:rsidR="006F0224">
        <w:tc>
          <w:tcPr>
            <w:tcW w:w="940" w:type="dxa"/>
            <w:tcBorders>
              <w:top w:val="single" w:sz="4" w:space="0" w:color="auto"/>
              <w:bottom w:val="single" w:sz="4" w:space="0" w:color="auto"/>
            </w:tcBorders>
          </w:tcPr>
          <w:p w:rsidR="006F0224" w:rsidRDefault="006A5689">
            <w:pPr>
              <w:jc w:val="center"/>
              <w:rPr>
                <w:rFonts w:ascii="Arial" w:hAnsi="Arial" w:cs="Arial"/>
                <w:lang w:val="en-US"/>
              </w:rPr>
            </w:pPr>
            <w:r>
              <w:rPr>
                <w:rFonts w:ascii="Arial" w:hAnsi="Arial" w:cs="Arial"/>
                <w:lang w:val="en-US"/>
              </w:rPr>
              <w:t>Code</w:t>
            </w:r>
          </w:p>
        </w:tc>
        <w:tc>
          <w:tcPr>
            <w:tcW w:w="1340" w:type="dxa"/>
            <w:tcBorders>
              <w:top w:val="single" w:sz="4" w:space="0" w:color="auto"/>
              <w:bottom w:val="single" w:sz="4" w:space="0" w:color="auto"/>
            </w:tcBorders>
          </w:tcPr>
          <w:p w:rsidR="006F0224" w:rsidRDefault="006A5689">
            <w:pPr>
              <w:jc w:val="center"/>
              <w:rPr>
                <w:rFonts w:ascii="Arial" w:hAnsi="Arial" w:cs="Arial"/>
                <w:lang w:val="en-US"/>
              </w:rPr>
            </w:pPr>
            <w:r>
              <w:rPr>
                <w:rFonts w:ascii="Arial" w:hAnsi="Arial" w:cs="Arial"/>
                <w:lang w:val="en-US"/>
              </w:rPr>
              <w:t>Rivers and</w:t>
            </w:r>
          </w:p>
          <w:p w:rsidR="006F0224" w:rsidRDefault="006A5689">
            <w:pPr>
              <w:jc w:val="center"/>
              <w:rPr>
                <w:rFonts w:ascii="Arial" w:hAnsi="Arial" w:cs="Arial"/>
                <w:lang w:val="en-US"/>
              </w:rPr>
            </w:pPr>
            <w:r>
              <w:rPr>
                <w:rFonts w:ascii="Arial" w:hAnsi="Arial" w:cs="Arial"/>
                <w:lang w:val="en-US"/>
              </w:rPr>
              <w:t>sample locations</w:t>
            </w:r>
          </w:p>
        </w:tc>
        <w:tc>
          <w:tcPr>
            <w:tcW w:w="997" w:type="dxa"/>
            <w:tcBorders>
              <w:top w:val="single" w:sz="4" w:space="0" w:color="auto"/>
              <w:bottom w:val="single" w:sz="4" w:space="0" w:color="auto"/>
            </w:tcBorders>
          </w:tcPr>
          <w:p w:rsidR="006F0224" w:rsidRDefault="006A5689">
            <w:pPr>
              <w:jc w:val="center"/>
              <w:rPr>
                <w:rFonts w:ascii="Arial" w:hAnsi="Arial" w:cs="Arial"/>
                <w:lang w:val="en-US"/>
              </w:rPr>
            </w:pPr>
            <w:r>
              <w:rPr>
                <w:rFonts w:ascii="Arial" w:hAnsi="Arial" w:cs="Arial"/>
                <w:lang w:val="en-US"/>
              </w:rPr>
              <w:t>Altitude</w:t>
            </w:r>
          </w:p>
        </w:tc>
        <w:tc>
          <w:tcPr>
            <w:tcW w:w="1913" w:type="dxa"/>
            <w:tcBorders>
              <w:top w:val="single" w:sz="4" w:space="0" w:color="auto"/>
              <w:bottom w:val="single" w:sz="4" w:space="0" w:color="auto"/>
            </w:tcBorders>
          </w:tcPr>
          <w:p w:rsidR="006F0224" w:rsidRDefault="006A5689">
            <w:pPr>
              <w:jc w:val="center"/>
              <w:rPr>
                <w:rFonts w:ascii="Arial" w:hAnsi="Arial" w:cs="Arial"/>
                <w:lang w:val="en-US"/>
              </w:rPr>
            </w:pPr>
            <w:r>
              <w:rPr>
                <w:rFonts w:ascii="Arial" w:hAnsi="Arial" w:cs="Arial"/>
                <w:lang w:val="en-US"/>
              </w:rPr>
              <w:t>Environmental impact</w:t>
            </w:r>
          </w:p>
        </w:tc>
        <w:tc>
          <w:tcPr>
            <w:tcW w:w="780" w:type="dxa"/>
            <w:tcBorders>
              <w:top w:val="single" w:sz="4" w:space="0" w:color="auto"/>
              <w:bottom w:val="single" w:sz="4" w:space="0" w:color="auto"/>
            </w:tcBorders>
          </w:tcPr>
          <w:p w:rsidR="006F0224" w:rsidRDefault="006A5689">
            <w:pPr>
              <w:jc w:val="center"/>
              <w:rPr>
                <w:rFonts w:ascii="Arial" w:hAnsi="Arial" w:cs="Arial"/>
                <w:lang w:val="en-US"/>
              </w:rPr>
            </w:pPr>
            <w:r>
              <w:rPr>
                <w:rFonts w:ascii="Arial" w:hAnsi="Arial" w:cs="Arial"/>
                <w:lang w:val="en-US"/>
              </w:rPr>
              <w:t>T °C</w:t>
            </w:r>
          </w:p>
        </w:tc>
        <w:tc>
          <w:tcPr>
            <w:tcW w:w="750" w:type="dxa"/>
            <w:tcBorders>
              <w:top w:val="single" w:sz="4" w:space="0" w:color="auto"/>
              <w:bottom w:val="single" w:sz="4" w:space="0" w:color="auto"/>
            </w:tcBorders>
          </w:tcPr>
          <w:p w:rsidR="006F0224" w:rsidRDefault="006A5689">
            <w:pPr>
              <w:jc w:val="center"/>
              <w:rPr>
                <w:rFonts w:ascii="Arial" w:hAnsi="Arial" w:cs="Arial"/>
                <w:lang w:val="en-US"/>
              </w:rPr>
            </w:pPr>
            <w:r>
              <w:rPr>
                <w:rFonts w:ascii="Arial" w:hAnsi="Arial" w:cs="Arial"/>
                <w:lang w:val="en-US"/>
              </w:rPr>
              <w:t>pH</w:t>
            </w:r>
          </w:p>
        </w:tc>
        <w:tc>
          <w:tcPr>
            <w:tcW w:w="1927" w:type="dxa"/>
            <w:tcBorders>
              <w:top w:val="single" w:sz="4" w:space="0" w:color="auto"/>
              <w:bottom w:val="single" w:sz="4" w:space="0" w:color="auto"/>
            </w:tcBorders>
          </w:tcPr>
          <w:p w:rsidR="006F0224" w:rsidRDefault="006A5689">
            <w:pPr>
              <w:jc w:val="center"/>
              <w:rPr>
                <w:rFonts w:ascii="Arial" w:hAnsi="Arial" w:cs="Arial"/>
                <w:lang w:val="en-US"/>
              </w:rPr>
            </w:pPr>
            <w:r>
              <w:rPr>
                <w:rFonts w:ascii="Arial" w:hAnsi="Arial" w:cs="Arial"/>
                <w:lang w:val="en-US"/>
              </w:rPr>
              <w:t>Conductivity µS</w:t>
            </w:r>
          </w:p>
        </w:tc>
      </w:tr>
      <w:tr w:rsidR="006F0224">
        <w:tc>
          <w:tcPr>
            <w:tcW w:w="940" w:type="dxa"/>
            <w:tcBorders>
              <w:top w:val="single" w:sz="4" w:space="0" w:color="auto"/>
            </w:tcBorders>
          </w:tcPr>
          <w:p w:rsidR="006F0224" w:rsidRDefault="006F0224">
            <w:pPr>
              <w:jc w:val="center"/>
              <w:rPr>
                <w:rFonts w:ascii="Arial" w:hAnsi="Arial" w:cs="Arial"/>
                <w:lang w:val="en-US"/>
              </w:rPr>
            </w:pPr>
          </w:p>
          <w:p w:rsidR="006F0224" w:rsidRDefault="006A5689">
            <w:pPr>
              <w:jc w:val="center"/>
              <w:rPr>
                <w:rFonts w:ascii="Arial" w:hAnsi="Arial" w:cs="Arial"/>
                <w:lang w:val="en-US"/>
              </w:rPr>
            </w:pPr>
            <w:r>
              <w:rPr>
                <w:rFonts w:ascii="Arial" w:hAnsi="Arial" w:cs="Arial"/>
                <w:lang w:val="en-US"/>
              </w:rPr>
              <w:t>R1</w:t>
            </w:r>
          </w:p>
        </w:tc>
        <w:tc>
          <w:tcPr>
            <w:tcW w:w="1340" w:type="dxa"/>
            <w:tcBorders>
              <w:top w:val="single" w:sz="4" w:space="0" w:color="auto"/>
            </w:tcBorders>
          </w:tcPr>
          <w:p w:rsidR="006F0224" w:rsidRDefault="006A5689">
            <w:pPr>
              <w:jc w:val="center"/>
              <w:rPr>
                <w:rFonts w:ascii="Arial" w:hAnsi="Arial" w:cs="Arial"/>
              </w:rPr>
            </w:pPr>
            <w:r>
              <w:rPr>
                <w:rFonts w:ascii="Arial" w:hAnsi="Arial" w:cs="Arial"/>
              </w:rPr>
              <w:t>Angostrina</w:t>
            </w:r>
          </w:p>
          <w:p w:rsidR="006F0224" w:rsidRDefault="006A5689">
            <w:pPr>
              <w:pStyle w:val="Heading1"/>
              <w:shd w:val="clear" w:color="auto" w:fill="FFFFFF"/>
              <w:spacing w:before="0"/>
              <w:jc w:val="center"/>
              <w:textAlignment w:val="baseline"/>
              <w:outlineLvl w:val="0"/>
              <w:rPr>
                <w:rFonts w:ascii="Arial" w:hAnsi="Arial" w:cs="Arial"/>
                <w:b w:val="0"/>
                <w:bCs w:val="0"/>
                <w:color w:val="auto"/>
                <w:sz w:val="16"/>
              </w:rPr>
            </w:pPr>
            <w:r>
              <w:rPr>
                <w:rFonts w:ascii="Arial" w:hAnsi="Arial" w:cs="Arial"/>
                <w:b w:val="0"/>
                <w:bCs w:val="0"/>
                <w:color w:val="auto"/>
                <w:sz w:val="16"/>
              </w:rPr>
              <w:t>42°29'23.1"N  1°57'45.3"E</w:t>
            </w:r>
          </w:p>
        </w:tc>
        <w:tc>
          <w:tcPr>
            <w:tcW w:w="997" w:type="dxa"/>
            <w:tcBorders>
              <w:top w:val="single" w:sz="4" w:space="0" w:color="auto"/>
            </w:tcBorders>
          </w:tcPr>
          <w:p w:rsidR="006F0224" w:rsidRDefault="006A5689">
            <w:pPr>
              <w:jc w:val="center"/>
              <w:rPr>
                <w:rFonts w:ascii="Arial" w:hAnsi="Arial" w:cs="Arial"/>
                <w:lang w:val="en-US"/>
              </w:rPr>
            </w:pPr>
            <w:r>
              <w:rPr>
                <w:rFonts w:ascii="Arial" w:hAnsi="Arial" w:cs="Arial"/>
                <w:lang w:val="en-US"/>
              </w:rPr>
              <w:t>High</w:t>
            </w:r>
          </w:p>
          <w:p w:rsidR="006F0224" w:rsidRDefault="006A5689">
            <w:pPr>
              <w:jc w:val="center"/>
              <w:rPr>
                <w:rFonts w:ascii="Arial" w:hAnsi="Arial" w:cs="Arial"/>
                <w:sz w:val="16"/>
                <w:szCs w:val="16"/>
                <w:lang w:val="en-US"/>
              </w:rPr>
            </w:pPr>
            <w:r>
              <w:rPr>
                <w:rFonts w:ascii="Arial" w:hAnsi="Arial" w:cs="Arial"/>
                <w:sz w:val="16"/>
                <w:szCs w:val="16"/>
                <w:lang w:val="en-US"/>
              </w:rPr>
              <w:t>1260m asl</w:t>
            </w:r>
          </w:p>
        </w:tc>
        <w:tc>
          <w:tcPr>
            <w:tcW w:w="1913" w:type="dxa"/>
            <w:tcBorders>
              <w:top w:val="single" w:sz="4" w:space="0" w:color="auto"/>
            </w:tcBorders>
          </w:tcPr>
          <w:p w:rsidR="006F0224" w:rsidRDefault="006A5689">
            <w:pPr>
              <w:jc w:val="center"/>
              <w:rPr>
                <w:rFonts w:ascii="Arial" w:hAnsi="Arial" w:cs="Arial"/>
                <w:lang w:val="en-US"/>
              </w:rPr>
            </w:pPr>
            <w:r>
              <w:rPr>
                <w:rFonts w:ascii="Arial" w:hAnsi="Arial" w:cs="Arial"/>
                <w:lang w:val="en-US"/>
              </w:rPr>
              <w:t>Mixed natural and agricultural influences, active tourism</w:t>
            </w:r>
          </w:p>
        </w:tc>
        <w:tc>
          <w:tcPr>
            <w:tcW w:w="780" w:type="dxa"/>
            <w:tcBorders>
              <w:top w:val="single" w:sz="4" w:space="0" w:color="auto"/>
            </w:tcBorders>
          </w:tcPr>
          <w:p w:rsidR="006F0224" w:rsidRDefault="006A5689">
            <w:pPr>
              <w:jc w:val="center"/>
              <w:rPr>
                <w:rFonts w:ascii="Arial" w:hAnsi="Arial" w:cs="Arial"/>
                <w:lang w:val="en-US"/>
              </w:rPr>
            </w:pPr>
            <w:r>
              <w:rPr>
                <w:rFonts w:ascii="Arial" w:hAnsi="Arial" w:cs="Arial"/>
              </w:rPr>
              <w:t>9.8</w:t>
            </w:r>
          </w:p>
        </w:tc>
        <w:tc>
          <w:tcPr>
            <w:tcW w:w="750" w:type="dxa"/>
            <w:tcBorders>
              <w:top w:val="single" w:sz="4" w:space="0" w:color="auto"/>
            </w:tcBorders>
          </w:tcPr>
          <w:p w:rsidR="006F0224" w:rsidRDefault="006A5689">
            <w:pPr>
              <w:jc w:val="center"/>
              <w:rPr>
                <w:rFonts w:ascii="Arial" w:hAnsi="Arial" w:cs="Arial"/>
                <w:lang w:val="en-US"/>
              </w:rPr>
            </w:pPr>
            <w:r>
              <w:rPr>
                <w:rFonts w:ascii="Arial" w:hAnsi="Arial" w:cs="Arial"/>
                <w:lang w:val="en-US"/>
              </w:rPr>
              <w:t>6.7</w:t>
            </w:r>
          </w:p>
        </w:tc>
        <w:tc>
          <w:tcPr>
            <w:tcW w:w="1927" w:type="dxa"/>
            <w:tcBorders>
              <w:top w:val="single" w:sz="4" w:space="0" w:color="auto"/>
            </w:tcBorders>
          </w:tcPr>
          <w:p w:rsidR="006F0224" w:rsidRDefault="006A5689">
            <w:pPr>
              <w:jc w:val="center"/>
              <w:rPr>
                <w:rFonts w:ascii="Arial" w:hAnsi="Arial" w:cs="Arial"/>
                <w:lang w:val="en-US"/>
              </w:rPr>
            </w:pPr>
            <w:r>
              <w:rPr>
                <w:rFonts w:ascii="Arial" w:hAnsi="Arial" w:cs="Arial"/>
                <w:lang w:val="en-US"/>
              </w:rPr>
              <w:t>29.7</w:t>
            </w:r>
          </w:p>
        </w:tc>
      </w:tr>
      <w:tr w:rsidR="006F0224">
        <w:tc>
          <w:tcPr>
            <w:tcW w:w="940" w:type="dxa"/>
          </w:tcPr>
          <w:p w:rsidR="006F0224" w:rsidRDefault="006F0224">
            <w:pPr>
              <w:jc w:val="center"/>
              <w:rPr>
                <w:rFonts w:ascii="Arial" w:hAnsi="Arial" w:cs="Arial"/>
                <w:lang w:val="en-US"/>
              </w:rPr>
            </w:pPr>
          </w:p>
          <w:p w:rsidR="006F0224" w:rsidRDefault="006A5689">
            <w:pPr>
              <w:jc w:val="center"/>
              <w:rPr>
                <w:rFonts w:ascii="Arial" w:hAnsi="Arial" w:cs="Arial"/>
                <w:lang w:val="en-US"/>
              </w:rPr>
            </w:pPr>
            <w:r>
              <w:rPr>
                <w:rFonts w:ascii="Arial" w:hAnsi="Arial" w:cs="Arial"/>
                <w:lang w:val="en-US"/>
              </w:rPr>
              <w:t>R2</w:t>
            </w:r>
          </w:p>
        </w:tc>
        <w:tc>
          <w:tcPr>
            <w:tcW w:w="1340" w:type="dxa"/>
          </w:tcPr>
          <w:p w:rsidR="006F0224" w:rsidRDefault="006A5689">
            <w:pPr>
              <w:jc w:val="center"/>
              <w:rPr>
                <w:rFonts w:ascii="Arial" w:hAnsi="Arial" w:cs="Arial"/>
              </w:rPr>
            </w:pPr>
            <w:r>
              <w:rPr>
                <w:rFonts w:ascii="Arial" w:hAnsi="Arial" w:cs="Arial"/>
              </w:rPr>
              <w:t>Font Freda</w:t>
            </w:r>
          </w:p>
          <w:p w:rsidR="006F0224" w:rsidRDefault="006A5689">
            <w:pPr>
              <w:pStyle w:val="Heading1"/>
              <w:shd w:val="clear" w:color="auto" w:fill="FFFFFF"/>
              <w:spacing w:before="0"/>
              <w:jc w:val="center"/>
              <w:textAlignment w:val="baseline"/>
              <w:outlineLvl w:val="0"/>
              <w:rPr>
                <w:rFonts w:ascii="Arial" w:hAnsi="Arial" w:cs="Arial"/>
                <w:b w:val="0"/>
                <w:bCs w:val="0"/>
                <w:color w:val="auto"/>
                <w:sz w:val="16"/>
                <w:szCs w:val="16"/>
              </w:rPr>
            </w:pPr>
            <w:r>
              <w:rPr>
                <w:rFonts w:ascii="Arial" w:hAnsi="Arial" w:cs="Arial"/>
                <w:b w:val="0"/>
                <w:bCs w:val="0"/>
                <w:color w:val="auto"/>
                <w:sz w:val="16"/>
                <w:szCs w:val="16"/>
              </w:rPr>
              <w:t>42°20'53.7"N 1°51'11.0"E</w:t>
            </w:r>
          </w:p>
          <w:p w:rsidR="006F0224" w:rsidRDefault="006F0224">
            <w:pPr>
              <w:jc w:val="center"/>
              <w:rPr>
                <w:rFonts w:ascii="Arial" w:hAnsi="Arial" w:cs="Arial"/>
              </w:rPr>
            </w:pPr>
          </w:p>
        </w:tc>
        <w:tc>
          <w:tcPr>
            <w:tcW w:w="997" w:type="dxa"/>
          </w:tcPr>
          <w:p w:rsidR="006F0224" w:rsidRDefault="006A5689">
            <w:pPr>
              <w:jc w:val="center"/>
              <w:rPr>
                <w:rFonts w:ascii="Arial" w:hAnsi="Arial" w:cs="Arial"/>
                <w:lang w:val="en-US"/>
              </w:rPr>
            </w:pPr>
            <w:r>
              <w:rPr>
                <w:rFonts w:ascii="Arial" w:hAnsi="Arial" w:cs="Arial"/>
                <w:lang w:val="en-US"/>
              </w:rPr>
              <w:t>High</w:t>
            </w:r>
          </w:p>
          <w:p w:rsidR="006F0224" w:rsidRDefault="006A5689">
            <w:pPr>
              <w:jc w:val="center"/>
              <w:rPr>
                <w:rFonts w:ascii="Arial" w:hAnsi="Arial" w:cs="Arial"/>
                <w:sz w:val="16"/>
                <w:szCs w:val="16"/>
                <w:lang w:val="en-US"/>
              </w:rPr>
            </w:pPr>
            <w:r>
              <w:rPr>
                <w:rFonts w:ascii="Arial" w:hAnsi="Arial" w:cs="Arial"/>
                <w:sz w:val="16"/>
                <w:szCs w:val="16"/>
                <w:lang w:val="en-US"/>
              </w:rPr>
              <w:t>1280m asl</w:t>
            </w:r>
          </w:p>
        </w:tc>
        <w:tc>
          <w:tcPr>
            <w:tcW w:w="1913" w:type="dxa"/>
          </w:tcPr>
          <w:p w:rsidR="006F0224" w:rsidRDefault="006A5689">
            <w:pPr>
              <w:jc w:val="center"/>
              <w:rPr>
                <w:rFonts w:ascii="Arial" w:hAnsi="Arial" w:cs="Arial"/>
                <w:lang w:val="en-US"/>
              </w:rPr>
            </w:pPr>
            <w:r>
              <w:rPr>
                <w:rFonts w:ascii="Arial" w:hAnsi="Arial" w:cs="Arial"/>
                <w:lang w:val="en-US"/>
              </w:rPr>
              <w:t>Minimal human impact, pristine environment</w:t>
            </w:r>
          </w:p>
        </w:tc>
        <w:tc>
          <w:tcPr>
            <w:tcW w:w="780" w:type="dxa"/>
          </w:tcPr>
          <w:p w:rsidR="006F0224" w:rsidRDefault="006A5689">
            <w:pPr>
              <w:jc w:val="center"/>
              <w:rPr>
                <w:rFonts w:ascii="Arial" w:hAnsi="Arial" w:cs="Arial"/>
                <w:lang w:val="en-US"/>
              </w:rPr>
            </w:pPr>
            <w:r>
              <w:rPr>
                <w:rFonts w:ascii="Arial" w:hAnsi="Arial" w:cs="Arial"/>
              </w:rPr>
              <w:t>10.1</w:t>
            </w:r>
          </w:p>
        </w:tc>
        <w:tc>
          <w:tcPr>
            <w:tcW w:w="750" w:type="dxa"/>
          </w:tcPr>
          <w:p w:rsidR="006F0224" w:rsidRDefault="006A5689">
            <w:pPr>
              <w:jc w:val="center"/>
              <w:rPr>
                <w:rFonts w:ascii="Arial" w:hAnsi="Arial" w:cs="Arial"/>
                <w:lang w:val="en-US"/>
              </w:rPr>
            </w:pPr>
            <w:r>
              <w:rPr>
                <w:rFonts w:ascii="Arial" w:hAnsi="Arial" w:cs="Arial"/>
                <w:lang w:val="en-US"/>
              </w:rPr>
              <w:t>7.0</w:t>
            </w:r>
          </w:p>
        </w:tc>
        <w:tc>
          <w:tcPr>
            <w:tcW w:w="1927" w:type="dxa"/>
          </w:tcPr>
          <w:p w:rsidR="006F0224" w:rsidRDefault="006A5689">
            <w:pPr>
              <w:jc w:val="center"/>
              <w:rPr>
                <w:rFonts w:ascii="Arial" w:hAnsi="Arial" w:cs="Arial"/>
                <w:lang w:val="en-US"/>
              </w:rPr>
            </w:pPr>
            <w:r>
              <w:rPr>
                <w:rFonts w:ascii="Arial" w:hAnsi="Arial" w:cs="Arial"/>
                <w:lang w:val="en-US"/>
              </w:rPr>
              <w:t>423</w:t>
            </w:r>
          </w:p>
        </w:tc>
      </w:tr>
      <w:tr w:rsidR="006F0224">
        <w:tc>
          <w:tcPr>
            <w:tcW w:w="940" w:type="dxa"/>
          </w:tcPr>
          <w:p w:rsidR="006F0224" w:rsidRDefault="006F0224">
            <w:pPr>
              <w:jc w:val="center"/>
              <w:rPr>
                <w:rFonts w:ascii="Arial" w:hAnsi="Arial" w:cs="Arial"/>
                <w:lang w:val="en-US"/>
              </w:rPr>
            </w:pPr>
          </w:p>
          <w:p w:rsidR="006F0224" w:rsidRDefault="006A5689">
            <w:pPr>
              <w:jc w:val="center"/>
              <w:rPr>
                <w:rFonts w:ascii="Arial" w:hAnsi="Arial" w:cs="Arial"/>
                <w:lang w:val="en-US"/>
              </w:rPr>
            </w:pPr>
            <w:r>
              <w:rPr>
                <w:rFonts w:ascii="Arial" w:hAnsi="Arial" w:cs="Arial"/>
                <w:lang w:val="en-US"/>
              </w:rPr>
              <w:t>R3</w:t>
            </w:r>
          </w:p>
        </w:tc>
        <w:tc>
          <w:tcPr>
            <w:tcW w:w="1340" w:type="dxa"/>
          </w:tcPr>
          <w:p w:rsidR="006F0224" w:rsidRDefault="006A5689">
            <w:pPr>
              <w:jc w:val="center"/>
              <w:rPr>
                <w:rFonts w:ascii="Arial" w:hAnsi="Arial" w:cs="Arial"/>
                <w:lang w:val="en-US"/>
              </w:rPr>
            </w:pPr>
            <w:r>
              <w:rPr>
                <w:rFonts w:ascii="Arial" w:hAnsi="Arial" w:cs="Arial"/>
                <w:lang w:val="en-US"/>
              </w:rPr>
              <w:t>Segre</w:t>
            </w:r>
          </w:p>
          <w:p w:rsidR="006F0224" w:rsidRDefault="006A5689">
            <w:pPr>
              <w:pStyle w:val="Heading1"/>
              <w:shd w:val="clear" w:color="auto" w:fill="FFFFFF"/>
              <w:spacing w:before="0"/>
              <w:jc w:val="center"/>
              <w:textAlignment w:val="baseline"/>
              <w:outlineLvl w:val="0"/>
              <w:rPr>
                <w:rFonts w:ascii="Arial" w:hAnsi="Arial" w:cs="Arial"/>
                <w:b w:val="0"/>
                <w:bCs w:val="0"/>
                <w:color w:val="auto"/>
                <w:sz w:val="16"/>
                <w:szCs w:val="16"/>
              </w:rPr>
            </w:pPr>
            <w:r>
              <w:rPr>
                <w:rFonts w:ascii="Arial" w:hAnsi="Arial" w:cs="Arial"/>
                <w:b w:val="0"/>
                <w:bCs w:val="0"/>
                <w:color w:val="auto"/>
                <w:sz w:val="16"/>
                <w:szCs w:val="16"/>
              </w:rPr>
              <w:t xml:space="preserve">42°23'20.1"N </w:t>
            </w:r>
            <w:r>
              <w:rPr>
                <w:rFonts w:ascii="Arial" w:hAnsi="Arial" w:cs="Arial"/>
                <w:b w:val="0"/>
                <w:bCs w:val="0"/>
                <w:color w:val="auto"/>
                <w:sz w:val="16"/>
                <w:szCs w:val="16"/>
              </w:rPr>
              <w:t>1°50'50.4"E</w:t>
            </w:r>
          </w:p>
        </w:tc>
        <w:tc>
          <w:tcPr>
            <w:tcW w:w="997" w:type="dxa"/>
          </w:tcPr>
          <w:p w:rsidR="006F0224" w:rsidRDefault="006A5689">
            <w:pPr>
              <w:jc w:val="center"/>
              <w:rPr>
                <w:rFonts w:ascii="Arial" w:hAnsi="Arial" w:cs="Arial"/>
                <w:lang w:val="en-US"/>
              </w:rPr>
            </w:pPr>
            <w:r>
              <w:rPr>
                <w:rFonts w:ascii="Arial" w:hAnsi="Arial" w:cs="Arial"/>
                <w:lang w:val="en-US"/>
              </w:rPr>
              <w:t>Middle</w:t>
            </w:r>
          </w:p>
          <w:p w:rsidR="006F0224" w:rsidRDefault="006A5689">
            <w:pPr>
              <w:jc w:val="center"/>
              <w:rPr>
                <w:rFonts w:ascii="Arial" w:hAnsi="Arial" w:cs="Arial"/>
                <w:sz w:val="16"/>
                <w:szCs w:val="16"/>
                <w:lang w:val="en-US"/>
              </w:rPr>
            </w:pPr>
            <w:r>
              <w:rPr>
                <w:rFonts w:ascii="Arial" w:hAnsi="Arial" w:cs="Arial"/>
                <w:sz w:val="16"/>
                <w:szCs w:val="16"/>
                <w:lang w:val="en-US"/>
              </w:rPr>
              <w:t>1000m asl</w:t>
            </w:r>
          </w:p>
        </w:tc>
        <w:tc>
          <w:tcPr>
            <w:tcW w:w="1913" w:type="dxa"/>
          </w:tcPr>
          <w:p w:rsidR="006F0224" w:rsidRDefault="006A5689">
            <w:pPr>
              <w:jc w:val="center"/>
              <w:rPr>
                <w:rFonts w:ascii="Arial" w:hAnsi="Arial" w:cs="Arial"/>
                <w:lang w:val="en-US"/>
              </w:rPr>
            </w:pPr>
            <w:r>
              <w:rPr>
                <w:rFonts w:ascii="Arial" w:hAnsi="Arial" w:cs="Arial"/>
                <w:lang w:val="en-US"/>
              </w:rPr>
              <w:t>Mixed natural and agricultural influences</w:t>
            </w:r>
          </w:p>
          <w:p w:rsidR="006F0224" w:rsidRDefault="006A5689">
            <w:pPr>
              <w:jc w:val="center"/>
              <w:rPr>
                <w:rFonts w:ascii="Arial" w:hAnsi="Arial" w:cs="Arial"/>
                <w:lang w:val="en-US"/>
              </w:rPr>
            </w:pPr>
            <w:r>
              <w:rPr>
                <w:rFonts w:ascii="Arial" w:hAnsi="Arial" w:cs="Arial"/>
                <w:lang w:val="en-US"/>
              </w:rPr>
              <w:t>active tourism</w:t>
            </w:r>
          </w:p>
        </w:tc>
        <w:tc>
          <w:tcPr>
            <w:tcW w:w="780" w:type="dxa"/>
          </w:tcPr>
          <w:p w:rsidR="006F0224" w:rsidRDefault="006A5689">
            <w:pPr>
              <w:jc w:val="center"/>
              <w:rPr>
                <w:rFonts w:ascii="Arial" w:hAnsi="Arial" w:cs="Arial"/>
                <w:lang w:val="en-US"/>
              </w:rPr>
            </w:pPr>
            <w:r>
              <w:rPr>
                <w:rFonts w:ascii="Arial" w:hAnsi="Arial" w:cs="Arial"/>
              </w:rPr>
              <w:t>12.4</w:t>
            </w:r>
          </w:p>
        </w:tc>
        <w:tc>
          <w:tcPr>
            <w:tcW w:w="750" w:type="dxa"/>
          </w:tcPr>
          <w:p w:rsidR="006F0224" w:rsidRDefault="006A5689">
            <w:pPr>
              <w:jc w:val="center"/>
              <w:rPr>
                <w:rFonts w:ascii="Arial" w:hAnsi="Arial" w:cs="Arial"/>
                <w:lang w:val="en-US"/>
              </w:rPr>
            </w:pPr>
            <w:r>
              <w:rPr>
                <w:rFonts w:ascii="Arial" w:hAnsi="Arial" w:cs="Arial"/>
                <w:lang w:val="en-US"/>
              </w:rPr>
              <w:t>7.4</w:t>
            </w:r>
          </w:p>
        </w:tc>
        <w:tc>
          <w:tcPr>
            <w:tcW w:w="1927" w:type="dxa"/>
          </w:tcPr>
          <w:p w:rsidR="006F0224" w:rsidRDefault="006A5689">
            <w:pPr>
              <w:jc w:val="center"/>
              <w:rPr>
                <w:rFonts w:ascii="Arial" w:hAnsi="Arial" w:cs="Arial"/>
                <w:lang w:val="en-US"/>
              </w:rPr>
            </w:pPr>
            <w:r>
              <w:rPr>
                <w:rFonts w:ascii="Arial" w:hAnsi="Arial" w:cs="Arial"/>
                <w:lang w:val="en-US"/>
              </w:rPr>
              <w:t>143</w:t>
            </w:r>
          </w:p>
        </w:tc>
      </w:tr>
      <w:tr w:rsidR="006F0224">
        <w:tc>
          <w:tcPr>
            <w:tcW w:w="940" w:type="dxa"/>
          </w:tcPr>
          <w:p w:rsidR="006F0224" w:rsidRDefault="006F0224">
            <w:pPr>
              <w:jc w:val="center"/>
              <w:rPr>
                <w:rFonts w:ascii="Arial" w:hAnsi="Arial" w:cs="Arial"/>
                <w:lang w:val="en-US"/>
              </w:rPr>
            </w:pPr>
          </w:p>
          <w:p w:rsidR="006F0224" w:rsidRDefault="006A5689">
            <w:pPr>
              <w:jc w:val="center"/>
              <w:rPr>
                <w:rFonts w:ascii="Arial" w:hAnsi="Arial" w:cs="Arial"/>
              </w:rPr>
            </w:pPr>
            <w:r>
              <w:rPr>
                <w:rFonts w:ascii="Arial" w:hAnsi="Arial" w:cs="Arial"/>
              </w:rPr>
              <w:t>R4</w:t>
            </w:r>
          </w:p>
        </w:tc>
        <w:tc>
          <w:tcPr>
            <w:tcW w:w="1340" w:type="dxa"/>
          </w:tcPr>
          <w:p w:rsidR="006F0224" w:rsidRDefault="006A5689">
            <w:pPr>
              <w:jc w:val="center"/>
              <w:rPr>
                <w:rFonts w:ascii="Arial" w:hAnsi="Arial" w:cs="Arial"/>
              </w:rPr>
            </w:pPr>
            <w:r>
              <w:rPr>
                <w:rFonts w:ascii="Arial" w:hAnsi="Arial" w:cs="Arial"/>
              </w:rPr>
              <w:t>Riu de la Vila</w:t>
            </w:r>
          </w:p>
          <w:p w:rsidR="006F0224" w:rsidRDefault="006A5689">
            <w:pPr>
              <w:pStyle w:val="Heading1"/>
              <w:shd w:val="clear" w:color="auto" w:fill="FFFFFF"/>
              <w:spacing w:before="0"/>
              <w:jc w:val="center"/>
              <w:textAlignment w:val="baseline"/>
              <w:outlineLvl w:val="0"/>
              <w:rPr>
                <w:rFonts w:ascii="Arial" w:hAnsi="Arial" w:cs="Arial"/>
                <w:b w:val="0"/>
                <w:bCs w:val="0"/>
                <w:color w:val="auto"/>
                <w:sz w:val="16"/>
                <w:szCs w:val="16"/>
              </w:rPr>
            </w:pPr>
            <w:r>
              <w:rPr>
                <w:rFonts w:ascii="Arial" w:hAnsi="Arial" w:cs="Arial"/>
                <w:b w:val="0"/>
                <w:bCs w:val="0"/>
                <w:color w:val="auto"/>
                <w:sz w:val="16"/>
                <w:szCs w:val="16"/>
              </w:rPr>
              <w:t>42°23'12.8"N  2°02'06.3"E</w:t>
            </w:r>
          </w:p>
          <w:p w:rsidR="006F0224" w:rsidRDefault="006F0224">
            <w:pPr>
              <w:jc w:val="center"/>
              <w:rPr>
                <w:rFonts w:ascii="Arial" w:hAnsi="Arial" w:cs="Arial"/>
              </w:rPr>
            </w:pPr>
          </w:p>
        </w:tc>
        <w:tc>
          <w:tcPr>
            <w:tcW w:w="997" w:type="dxa"/>
          </w:tcPr>
          <w:p w:rsidR="006F0224" w:rsidRDefault="006A5689">
            <w:pPr>
              <w:jc w:val="center"/>
              <w:rPr>
                <w:rFonts w:ascii="Arial" w:hAnsi="Arial" w:cs="Arial"/>
              </w:rPr>
            </w:pPr>
            <w:r>
              <w:rPr>
                <w:rFonts w:ascii="Arial" w:hAnsi="Arial" w:cs="Arial"/>
              </w:rPr>
              <w:t>High</w:t>
            </w:r>
          </w:p>
          <w:p w:rsidR="006F0224" w:rsidRDefault="006A5689">
            <w:pPr>
              <w:jc w:val="center"/>
              <w:rPr>
                <w:rFonts w:ascii="Arial" w:hAnsi="Arial" w:cs="Arial"/>
                <w:sz w:val="16"/>
                <w:szCs w:val="16"/>
              </w:rPr>
            </w:pPr>
            <w:r>
              <w:rPr>
                <w:rFonts w:ascii="Arial" w:hAnsi="Arial" w:cs="Arial"/>
                <w:sz w:val="16"/>
                <w:szCs w:val="16"/>
              </w:rPr>
              <w:t>1470m asl</w:t>
            </w:r>
          </w:p>
        </w:tc>
        <w:tc>
          <w:tcPr>
            <w:tcW w:w="1913" w:type="dxa"/>
          </w:tcPr>
          <w:p w:rsidR="006F0224" w:rsidRDefault="006A5689">
            <w:pPr>
              <w:jc w:val="center"/>
              <w:rPr>
                <w:rFonts w:ascii="Arial" w:hAnsi="Arial" w:cs="Arial"/>
              </w:rPr>
            </w:pPr>
            <w:r>
              <w:rPr>
                <w:rFonts w:ascii="Arial" w:hAnsi="Arial" w:cs="Arial"/>
              </w:rPr>
              <w:t>Minimal human impact, pristine environment</w:t>
            </w:r>
          </w:p>
        </w:tc>
        <w:tc>
          <w:tcPr>
            <w:tcW w:w="780" w:type="dxa"/>
          </w:tcPr>
          <w:p w:rsidR="006F0224" w:rsidRDefault="006A5689">
            <w:pPr>
              <w:jc w:val="center"/>
              <w:rPr>
                <w:rFonts w:ascii="Arial" w:hAnsi="Arial" w:cs="Arial"/>
              </w:rPr>
            </w:pPr>
            <w:r>
              <w:rPr>
                <w:rFonts w:ascii="Arial" w:hAnsi="Arial" w:cs="Arial"/>
              </w:rPr>
              <w:t>8.5</w:t>
            </w:r>
          </w:p>
        </w:tc>
        <w:tc>
          <w:tcPr>
            <w:tcW w:w="750" w:type="dxa"/>
          </w:tcPr>
          <w:p w:rsidR="006F0224" w:rsidRDefault="006A5689">
            <w:pPr>
              <w:jc w:val="center"/>
              <w:rPr>
                <w:rFonts w:ascii="Arial" w:hAnsi="Arial" w:cs="Arial"/>
              </w:rPr>
            </w:pPr>
            <w:r>
              <w:rPr>
                <w:rFonts w:ascii="Arial" w:hAnsi="Arial" w:cs="Arial"/>
              </w:rPr>
              <w:t>7.4</w:t>
            </w:r>
          </w:p>
        </w:tc>
        <w:tc>
          <w:tcPr>
            <w:tcW w:w="1927" w:type="dxa"/>
          </w:tcPr>
          <w:p w:rsidR="006F0224" w:rsidRDefault="006A5689">
            <w:pPr>
              <w:jc w:val="center"/>
              <w:rPr>
                <w:rFonts w:ascii="Arial" w:hAnsi="Arial" w:cs="Arial"/>
              </w:rPr>
            </w:pPr>
            <w:r>
              <w:rPr>
                <w:rFonts w:ascii="Arial" w:hAnsi="Arial" w:cs="Arial"/>
              </w:rPr>
              <w:t>72.6</w:t>
            </w:r>
          </w:p>
        </w:tc>
      </w:tr>
      <w:tr w:rsidR="006F0224">
        <w:tc>
          <w:tcPr>
            <w:tcW w:w="940" w:type="dxa"/>
          </w:tcPr>
          <w:p w:rsidR="006F0224" w:rsidRDefault="006F0224">
            <w:pPr>
              <w:jc w:val="center"/>
              <w:rPr>
                <w:rFonts w:ascii="Arial" w:hAnsi="Arial" w:cs="Arial"/>
                <w:lang w:val="en-US"/>
              </w:rPr>
            </w:pPr>
          </w:p>
          <w:p w:rsidR="006F0224" w:rsidRDefault="006A5689">
            <w:pPr>
              <w:jc w:val="center"/>
              <w:rPr>
                <w:rFonts w:ascii="Arial" w:hAnsi="Arial" w:cs="Arial"/>
                <w:lang w:val="en-US"/>
              </w:rPr>
            </w:pPr>
            <w:r>
              <w:rPr>
                <w:rFonts w:ascii="Arial" w:hAnsi="Arial" w:cs="Arial"/>
                <w:lang w:val="en-US"/>
              </w:rPr>
              <w:t>R5</w:t>
            </w:r>
          </w:p>
        </w:tc>
        <w:tc>
          <w:tcPr>
            <w:tcW w:w="1340" w:type="dxa"/>
          </w:tcPr>
          <w:p w:rsidR="006F0224" w:rsidRDefault="006A5689">
            <w:pPr>
              <w:jc w:val="center"/>
              <w:rPr>
                <w:rFonts w:ascii="Arial" w:hAnsi="Arial" w:cs="Arial"/>
              </w:rPr>
            </w:pPr>
            <w:r>
              <w:rPr>
                <w:rFonts w:ascii="Arial" w:hAnsi="Arial" w:cs="Arial"/>
              </w:rPr>
              <w:t>Riu D’Alp</w:t>
            </w:r>
          </w:p>
          <w:p w:rsidR="006F0224" w:rsidRDefault="006A5689">
            <w:pPr>
              <w:pStyle w:val="Heading1"/>
              <w:shd w:val="clear" w:color="auto" w:fill="FFFFFF"/>
              <w:spacing w:before="0"/>
              <w:jc w:val="center"/>
              <w:textAlignment w:val="baseline"/>
              <w:outlineLvl w:val="0"/>
              <w:rPr>
                <w:rFonts w:ascii="Arial" w:hAnsi="Arial" w:cs="Arial"/>
                <w:b w:val="0"/>
                <w:bCs w:val="0"/>
                <w:color w:val="auto"/>
                <w:sz w:val="16"/>
                <w:szCs w:val="16"/>
              </w:rPr>
            </w:pPr>
            <w:r>
              <w:rPr>
                <w:rFonts w:ascii="Arial" w:hAnsi="Arial" w:cs="Arial"/>
                <w:b w:val="0"/>
                <w:bCs w:val="0"/>
                <w:color w:val="auto"/>
                <w:sz w:val="16"/>
                <w:szCs w:val="16"/>
              </w:rPr>
              <w:t>42°20'38.1"N 1°57'28.1"E</w:t>
            </w:r>
          </w:p>
          <w:p w:rsidR="006F0224" w:rsidRDefault="006F0224">
            <w:pPr>
              <w:jc w:val="center"/>
              <w:rPr>
                <w:rFonts w:ascii="Arial" w:hAnsi="Arial" w:cs="Arial"/>
              </w:rPr>
            </w:pPr>
          </w:p>
        </w:tc>
        <w:tc>
          <w:tcPr>
            <w:tcW w:w="997" w:type="dxa"/>
          </w:tcPr>
          <w:p w:rsidR="006F0224" w:rsidRDefault="006A5689">
            <w:pPr>
              <w:jc w:val="center"/>
              <w:rPr>
                <w:rFonts w:ascii="Arial" w:hAnsi="Arial" w:cs="Arial"/>
                <w:lang w:val="en-US"/>
              </w:rPr>
            </w:pPr>
            <w:r>
              <w:rPr>
                <w:rFonts w:ascii="Arial" w:hAnsi="Arial" w:cs="Arial"/>
                <w:lang w:val="en-US"/>
              </w:rPr>
              <w:t>High</w:t>
            </w:r>
          </w:p>
          <w:p w:rsidR="006F0224" w:rsidRDefault="006A5689">
            <w:pPr>
              <w:jc w:val="center"/>
              <w:rPr>
                <w:rFonts w:ascii="Arial" w:hAnsi="Arial" w:cs="Arial"/>
                <w:sz w:val="16"/>
                <w:szCs w:val="16"/>
                <w:lang w:val="en-US"/>
              </w:rPr>
            </w:pPr>
            <w:r>
              <w:rPr>
                <w:rFonts w:ascii="Arial" w:hAnsi="Arial" w:cs="Arial"/>
                <w:sz w:val="16"/>
                <w:szCs w:val="16"/>
                <w:lang w:val="en-US"/>
              </w:rPr>
              <w:t>1600m asl</w:t>
            </w:r>
          </w:p>
        </w:tc>
        <w:tc>
          <w:tcPr>
            <w:tcW w:w="1913" w:type="dxa"/>
          </w:tcPr>
          <w:p w:rsidR="006F0224" w:rsidRDefault="006A5689">
            <w:pPr>
              <w:jc w:val="center"/>
              <w:rPr>
                <w:rFonts w:ascii="Arial" w:hAnsi="Arial" w:cs="Arial"/>
                <w:lang w:val="en-US"/>
              </w:rPr>
            </w:pPr>
            <w:r>
              <w:rPr>
                <w:rFonts w:ascii="Arial" w:hAnsi="Arial" w:cs="Arial"/>
                <w:lang w:val="en-US"/>
              </w:rPr>
              <w:t>Minimal human impact, pristine environment</w:t>
            </w:r>
          </w:p>
        </w:tc>
        <w:tc>
          <w:tcPr>
            <w:tcW w:w="780" w:type="dxa"/>
          </w:tcPr>
          <w:p w:rsidR="006F0224" w:rsidRDefault="006A5689">
            <w:pPr>
              <w:jc w:val="center"/>
              <w:rPr>
                <w:rFonts w:ascii="Arial" w:hAnsi="Arial" w:cs="Arial"/>
                <w:lang w:val="en-US"/>
              </w:rPr>
            </w:pPr>
            <w:r>
              <w:rPr>
                <w:rFonts w:ascii="Arial" w:hAnsi="Arial" w:cs="Arial"/>
              </w:rPr>
              <w:t>8.2</w:t>
            </w:r>
          </w:p>
        </w:tc>
        <w:tc>
          <w:tcPr>
            <w:tcW w:w="750" w:type="dxa"/>
          </w:tcPr>
          <w:p w:rsidR="006F0224" w:rsidRDefault="006A5689">
            <w:pPr>
              <w:jc w:val="center"/>
              <w:rPr>
                <w:rFonts w:ascii="Arial" w:hAnsi="Arial" w:cs="Arial"/>
                <w:lang w:val="en-US"/>
              </w:rPr>
            </w:pPr>
            <w:r>
              <w:rPr>
                <w:rFonts w:ascii="Arial" w:hAnsi="Arial" w:cs="Arial"/>
                <w:lang w:val="en-US"/>
              </w:rPr>
              <w:t>7.3</w:t>
            </w:r>
          </w:p>
        </w:tc>
        <w:tc>
          <w:tcPr>
            <w:tcW w:w="1927" w:type="dxa"/>
          </w:tcPr>
          <w:p w:rsidR="006F0224" w:rsidRDefault="006A5689">
            <w:pPr>
              <w:jc w:val="center"/>
              <w:rPr>
                <w:rFonts w:ascii="Arial" w:hAnsi="Arial" w:cs="Arial"/>
                <w:lang w:val="en-US"/>
              </w:rPr>
            </w:pPr>
            <w:r>
              <w:rPr>
                <w:rFonts w:ascii="Arial" w:hAnsi="Arial" w:cs="Arial"/>
                <w:lang w:val="en-US"/>
              </w:rPr>
              <w:t>567</w:t>
            </w:r>
          </w:p>
        </w:tc>
      </w:tr>
      <w:tr w:rsidR="006F0224">
        <w:tc>
          <w:tcPr>
            <w:tcW w:w="940" w:type="dxa"/>
          </w:tcPr>
          <w:p w:rsidR="006F0224" w:rsidRDefault="006F0224">
            <w:pPr>
              <w:jc w:val="center"/>
              <w:rPr>
                <w:rFonts w:ascii="Arial" w:hAnsi="Arial" w:cs="Arial"/>
                <w:lang w:val="en-US"/>
              </w:rPr>
            </w:pPr>
          </w:p>
          <w:p w:rsidR="006F0224" w:rsidRDefault="006A5689">
            <w:pPr>
              <w:jc w:val="center"/>
              <w:rPr>
                <w:rFonts w:ascii="Arial" w:hAnsi="Arial" w:cs="Arial"/>
                <w:lang w:val="en-US"/>
              </w:rPr>
            </w:pPr>
            <w:r>
              <w:rPr>
                <w:rFonts w:ascii="Arial" w:hAnsi="Arial" w:cs="Arial"/>
                <w:lang w:val="en-US"/>
              </w:rPr>
              <w:t>R6</w:t>
            </w:r>
          </w:p>
        </w:tc>
        <w:tc>
          <w:tcPr>
            <w:tcW w:w="1340" w:type="dxa"/>
          </w:tcPr>
          <w:p w:rsidR="006F0224" w:rsidRDefault="006A5689">
            <w:pPr>
              <w:jc w:val="center"/>
              <w:rPr>
                <w:rFonts w:ascii="Arial" w:hAnsi="Arial" w:cs="Arial"/>
                <w:lang w:val="en-US"/>
              </w:rPr>
            </w:pPr>
            <w:r>
              <w:rPr>
                <w:rFonts w:ascii="Arial" w:hAnsi="Arial" w:cs="Arial"/>
                <w:lang w:val="en-US"/>
              </w:rPr>
              <w:t>Freser</w:t>
            </w:r>
          </w:p>
          <w:p w:rsidR="006F0224" w:rsidRDefault="006A5689">
            <w:pPr>
              <w:pStyle w:val="Heading1"/>
              <w:shd w:val="clear" w:color="auto" w:fill="FFFFFF"/>
              <w:spacing w:before="0"/>
              <w:jc w:val="center"/>
              <w:textAlignment w:val="baseline"/>
              <w:outlineLvl w:val="0"/>
              <w:rPr>
                <w:rFonts w:ascii="Arial" w:hAnsi="Arial" w:cs="Arial"/>
                <w:b w:val="0"/>
                <w:bCs w:val="0"/>
                <w:color w:val="auto"/>
                <w:sz w:val="16"/>
                <w:szCs w:val="16"/>
              </w:rPr>
            </w:pPr>
            <w:r>
              <w:rPr>
                <w:rFonts w:ascii="Arial" w:hAnsi="Arial" w:cs="Arial"/>
                <w:b w:val="0"/>
                <w:bCs w:val="0"/>
                <w:color w:val="auto"/>
                <w:sz w:val="16"/>
                <w:szCs w:val="16"/>
              </w:rPr>
              <w:t>42°15'46.5"N,</w:t>
            </w:r>
          </w:p>
          <w:p w:rsidR="006F0224" w:rsidRDefault="006A5689">
            <w:pPr>
              <w:pStyle w:val="Heading1"/>
              <w:shd w:val="clear" w:color="auto" w:fill="FFFFFF"/>
              <w:spacing w:before="0"/>
              <w:jc w:val="center"/>
              <w:textAlignment w:val="baseline"/>
              <w:outlineLvl w:val="0"/>
              <w:rPr>
                <w:rFonts w:ascii="Arial" w:hAnsi="Arial" w:cs="Arial"/>
                <w:b w:val="0"/>
                <w:bCs w:val="0"/>
                <w:color w:val="auto"/>
                <w:sz w:val="16"/>
                <w:szCs w:val="16"/>
              </w:rPr>
            </w:pPr>
            <w:r>
              <w:rPr>
                <w:rFonts w:ascii="Arial" w:hAnsi="Arial" w:cs="Arial"/>
                <w:b w:val="0"/>
                <w:bCs w:val="0"/>
                <w:color w:val="auto"/>
                <w:sz w:val="16"/>
                <w:szCs w:val="16"/>
              </w:rPr>
              <w:t>2°09'42.2"E</w:t>
            </w:r>
          </w:p>
          <w:p w:rsidR="006F0224" w:rsidRDefault="006F0224">
            <w:pPr>
              <w:jc w:val="center"/>
              <w:rPr>
                <w:rFonts w:ascii="Arial" w:hAnsi="Arial" w:cs="Arial"/>
                <w:lang w:val="en-US"/>
              </w:rPr>
            </w:pPr>
          </w:p>
        </w:tc>
        <w:tc>
          <w:tcPr>
            <w:tcW w:w="997" w:type="dxa"/>
          </w:tcPr>
          <w:p w:rsidR="006F0224" w:rsidRDefault="006A5689">
            <w:pPr>
              <w:jc w:val="center"/>
              <w:rPr>
                <w:rFonts w:ascii="Arial" w:hAnsi="Arial" w:cs="Arial"/>
                <w:lang w:val="en-US"/>
              </w:rPr>
            </w:pPr>
            <w:r>
              <w:rPr>
                <w:rFonts w:ascii="Arial" w:hAnsi="Arial" w:cs="Arial"/>
                <w:lang w:val="en-US"/>
              </w:rPr>
              <w:t>Middle</w:t>
            </w:r>
          </w:p>
          <w:p w:rsidR="006F0224" w:rsidRDefault="006A5689">
            <w:pPr>
              <w:jc w:val="center"/>
              <w:rPr>
                <w:rFonts w:ascii="Arial" w:hAnsi="Arial" w:cs="Arial"/>
                <w:sz w:val="16"/>
                <w:szCs w:val="16"/>
                <w:lang w:val="en-US"/>
              </w:rPr>
            </w:pPr>
            <w:r>
              <w:rPr>
                <w:rFonts w:ascii="Arial" w:hAnsi="Arial" w:cs="Arial"/>
                <w:sz w:val="16"/>
                <w:szCs w:val="16"/>
                <w:lang w:val="en-US"/>
              </w:rPr>
              <w:t>880m asl</w:t>
            </w:r>
          </w:p>
        </w:tc>
        <w:tc>
          <w:tcPr>
            <w:tcW w:w="1913" w:type="dxa"/>
          </w:tcPr>
          <w:p w:rsidR="006F0224" w:rsidRDefault="006A5689">
            <w:pPr>
              <w:jc w:val="center"/>
              <w:rPr>
                <w:rFonts w:ascii="Arial" w:hAnsi="Arial" w:cs="Arial"/>
                <w:lang w:val="en-US"/>
              </w:rPr>
            </w:pPr>
            <w:r>
              <w:rPr>
                <w:rFonts w:ascii="Arial" w:hAnsi="Arial" w:cs="Arial"/>
                <w:lang w:val="en-US"/>
              </w:rPr>
              <w:t>Mixed natural and agricultural influences, active tourism</w:t>
            </w:r>
          </w:p>
        </w:tc>
        <w:tc>
          <w:tcPr>
            <w:tcW w:w="780" w:type="dxa"/>
          </w:tcPr>
          <w:p w:rsidR="006F0224" w:rsidRDefault="006A5689">
            <w:pPr>
              <w:jc w:val="center"/>
              <w:rPr>
                <w:rFonts w:ascii="Arial" w:hAnsi="Arial" w:cs="Arial"/>
                <w:lang w:val="en-US"/>
              </w:rPr>
            </w:pPr>
            <w:r>
              <w:rPr>
                <w:rFonts w:ascii="Arial" w:hAnsi="Arial" w:cs="Arial"/>
                <w:lang w:val="en-US"/>
              </w:rPr>
              <w:t>12</w:t>
            </w:r>
          </w:p>
        </w:tc>
        <w:tc>
          <w:tcPr>
            <w:tcW w:w="750" w:type="dxa"/>
          </w:tcPr>
          <w:p w:rsidR="006F0224" w:rsidRDefault="006A5689">
            <w:pPr>
              <w:jc w:val="center"/>
              <w:rPr>
                <w:rFonts w:ascii="Arial" w:hAnsi="Arial" w:cs="Arial"/>
                <w:lang w:val="en-US"/>
              </w:rPr>
            </w:pPr>
            <w:r>
              <w:rPr>
                <w:rFonts w:ascii="Arial" w:hAnsi="Arial" w:cs="Arial"/>
                <w:lang w:val="en-US"/>
              </w:rPr>
              <w:t>7.6</w:t>
            </w:r>
          </w:p>
        </w:tc>
        <w:tc>
          <w:tcPr>
            <w:tcW w:w="1927" w:type="dxa"/>
          </w:tcPr>
          <w:p w:rsidR="006F0224" w:rsidRDefault="006A5689">
            <w:pPr>
              <w:jc w:val="center"/>
              <w:rPr>
                <w:rFonts w:ascii="Arial" w:hAnsi="Arial" w:cs="Arial"/>
                <w:lang w:val="en-US"/>
              </w:rPr>
            </w:pPr>
            <w:r>
              <w:rPr>
                <w:rFonts w:ascii="Arial" w:hAnsi="Arial" w:cs="Arial"/>
                <w:lang w:val="en-US"/>
              </w:rPr>
              <w:t>348</w:t>
            </w:r>
          </w:p>
        </w:tc>
      </w:tr>
      <w:tr w:rsidR="006F0224">
        <w:tc>
          <w:tcPr>
            <w:tcW w:w="940" w:type="dxa"/>
          </w:tcPr>
          <w:p w:rsidR="006F0224" w:rsidRDefault="006F0224">
            <w:pPr>
              <w:jc w:val="center"/>
              <w:rPr>
                <w:rFonts w:ascii="Arial" w:hAnsi="Arial" w:cs="Arial"/>
                <w:lang w:val="en-US"/>
              </w:rPr>
            </w:pPr>
          </w:p>
          <w:p w:rsidR="006F0224" w:rsidRDefault="006A5689">
            <w:pPr>
              <w:jc w:val="center"/>
              <w:rPr>
                <w:rFonts w:ascii="Arial" w:hAnsi="Arial" w:cs="Arial"/>
                <w:lang w:val="en-US"/>
              </w:rPr>
            </w:pPr>
            <w:r>
              <w:rPr>
                <w:rFonts w:ascii="Arial" w:hAnsi="Arial" w:cs="Arial"/>
                <w:lang w:val="en-US"/>
              </w:rPr>
              <w:t>R7</w:t>
            </w:r>
          </w:p>
        </w:tc>
        <w:tc>
          <w:tcPr>
            <w:tcW w:w="1340" w:type="dxa"/>
          </w:tcPr>
          <w:p w:rsidR="006F0224" w:rsidRDefault="006A5689">
            <w:pPr>
              <w:jc w:val="center"/>
              <w:rPr>
                <w:rFonts w:ascii="Arial" w:hAnsi="Arial" w:cs="Arial"/>
                <w:lang w:val="en-US"/>
              </w:rPr>
            </w:pPr>
            <w:r>
              <w:rPr>
                <w:rFonts w:ascii="Arial" w:hAnsi="Arial" w:cs="Arial"/>
                <w:lang w:val="en-US"/>
              </w:rPr>
              <w:t>Cassibros</w:t>
            </w:r>
          </w:p>
          <w:p w:rsidR="006F0224" w:rsidRDefault="006A5689">
            <w:pPr>
              <w:pStyle w:val="Heading1"/>
              <w:shd w:val="clear" w:color="auto" w:fill="FFFFFF"/>
              <w:spacing w:before="0"/>
              <w:jc w:val="center"/>
              <w:textAlignment w:val="baseline"/>
              <w:outlineLvl w:val="0"/>
              <w:rPr>
                <w:rFonts w:ascii="Arial" w:hAnsi="Arial" w:cs="Arial"/>
                <w:b w:val="0"/>
                <w:bCs w:val="0"/>
                <w:color w:val="auto"/>
                <w:sz w:val="16"/>
                <w:szCs w:val="16"/>
              </w:rPr>
            </w:pPr>
            <w:r>
              <w:rPr>
                <w:rFonts w:ascii="Arial" w:hAnsi="Arial" w:cs="Arial"/>
                <w:b w:val="0"/>
                <w:bCs w:val="0"/>
                <w:color w:val="auto"/>
                <w:sz w:val="16"/>
                <w:szCs w:val="16"/>
              </w:rPr>
              <w:t>42°34'19.5"N 1°14'02.5"E</w:t>
            </w:r>
          </w:p>
          <w:p w:rsidR="006F0224" w:rsidRDefault="006F0224">
            <w:pPr>
              <w:jc w:val="center"/>
              <w:rPr>
                <w:rFonts w:ascii="Arial" w:hAnsi="Arial" w:cs="Arial"/>
                <w:lang w:val="en-US"/>
              </w:rPr>
            </w:pPr>
          </w:p>
        </w:tc>
        <w:tc>
          <w:tcPr>
            <w:tcW w:w="997" w:type="dxa"/>
          </w:tcPr>
          <w:p w:rsidR="006F0224" w:rsidRDefault="006A5689">
            <w:pPr>
              <w:jc w:val="center"/>
              <w:rPr>
                <w:rFonts w:ascii="Arial" w:hAnsi="Arial" w:cs="Arial"/>
                <w:lang w:val="en-US"/>
              </w:rPr>
            </w:pPr>
            <w:r>
              <w:rPr>
                <w:rFonts w:ascii="Arial" w:hAnsi="Arial" w:cs="Arial"/>
                <w:lang w:val="en-US"/>
              </w:rPr>
              <w:t>Middle</w:t>
            </w:r>
          </w:p>
          <w:p w:rsidR="006F0224" w:rsidRDefault="006A5689">
            <w:pPr>
              <w:jc w:val="center"/>
              <w:rPr>
                <w:rFonts w:ascii="Arial" w:hAnsi="Arial" w:cs="Arial"/>
                <w:sz w:val="16"/>
                <w:szCs w:val="16"/>
                <w:lang w:val="en-US"/>
              </w:rPr>
            </w:pPr>
            <w:r>
              <w:rPr>
                <w:rFonts w:ascii="Arial" w:hAnsi="Arial" w:cs="Arial"/>
                <w:sz w:val="16"/>
                <w:szCs w:val="16"/>
              </w:rPr>
              <w:t>1000m asl</w:t>
            </w:r>
          </w:p>
        </w:tc>
        <w:tc>
          <w:tcPr>
            <w:tcW w:w="1913" w:type="dxa"/>
          </w:tcPr>
          <w:p w:rsidR="006F0224" w:rsidRDefault="006A5689">
            <w:pPr>
              <w:jc w:val="center"/>
              <w:rPr>
                <w:rFonts w:ascii="Arial" w:hAnsi="Arial" w:cs="Arial"/>
                <w:lang w:val="en-US"/>
              </w:rPr>
            </w:pPr>
            <w:r>
              <w:rPr>
                <w:rFonts w:ascii="Arial" w:hAnsi="Arial" w:cs="Arial"/>
                <w:lang w:val="en-US"/>
              </w:rPr>
              <w:t>Minimal human impact, pristine environment</w:t>
            </w:r>
          </w:p>
        </w:tc>
        <w:tc>
          <w:tcPr>
            <w:tcW w:w="780" w:type="dxa"/>
          </w:tcPr>
          <w:p w:rsidR="006F0224" w:rsidRDefault="006A5689">
            <w:pPr>
              <w:jc w:val="center"/>
              <w:rPr>
                <w:rFonts w:ascii="Arial" w:hAnsi="Arial" w:cs="Arial"/>
                <w:lang w:val="en-US"/>
              </w:rPr>
            </w:pPr>
            <w:r>
              <w:rPr>
                <w:rFonts w:ascii="Arial" w:hAnsi="Arial" w:cs="Arial"/>
                <w:lang w:val="en-US"/>
              </w:rPr>
              <w:t>8.7</w:t>
            </w:r>
          </w:p>
        </w:tc>
        <w:tc>
          <w:tcPr>
            <w:tcW w:w="750" w:type="dxa"/>
          </w:tcPr>
          <w:p w:rsidR="006F0224" w:rsidRDefault="006A5689">
            <w:pPr>
              <w:jc w:val="center"/>
              <w:rPr>
                <w:rFonts w:ascii="Arial" w:hAnsi="Arial" w:cs="Arial"/>
                <w:lang w:val="en-US"/>
              </w:rPr>
            </w:pPr>
            <w:r>
              <w:rPr>
                <w:rFonts w:ascii="Arial" w:hAnsi="Arial" w:cs="Arial"/>
                <w:lang w:val="en-US"/>
              </w:rPr>
              <w:t>7.8</w:t>
            </w:r>
          </w:p>
        </w:tc>
        <w:tc>
          <w:tcPr>
            <w:tcW w:w="1927" w:type="dxa"/>
          </w:tcPr>
          <w:p w:rsidR="006F0224" w:rsidRDefault="006A5689">
            <w:pPr>
              <w:jc w:val="center"/>
              <w:rPr>
                <w:rFonts w:ascii="Arial" w:hAnsi="Arial" w:cs="Arial"/>
                <w:lang w:val="en-US"/>
              </w:rPr>
            </w:pPr>
            <w:r>
              <w:rPr>
                <w:rFonts w:ascii="Arial" w:hAnsi="Arial" w:cs="Arial"/>
                <w:lang w:val="en-US"/>
              </w:rPr>
              <w:t>64.6</w:t>
            </w:r>
          </w:p>
        </w:tc>
      </w:tr>
      <w:tr w:rsidR="006F0224">
        <w:tc>
          <w:tcPr>
            <w:tcW w:w="940" w:type="dxa"/>
          </w:tcPr>
          <w:p w:rsidR="006F0224" w:rsidRDefault="006F0224">
            <w:pPr>
              <w:jc w:val="center"/>
              <w:rPr>
                <w:rFonts w:ascii="Arial" w:hAnsi="Arial" w:cs="Arial"/>
                <w:lang w:val="en-US"/>
              </w:rPr>
            </w:pPr>
          </w:p>
          <w:p w:rsidR="006F0224" w:rsidRDefault="006A5689">
            <w:pPr>
              <w:jc w:val="center"/>
              <w:rPr>
                <w:rFonts w:ascii="Arial" w:hAnsi="Arial" w:cs="Arial"/>
                <w:lang w:val="en-US"/>
              </w:rPr>
            </w:pPr>
            <w:r>
              <w:rPr>
                <w:rFonts w:ascii="Arial" w:hAnsi="Arial" w:cs="Arial"/>
                <w:lang w:val="en-US"/>
              </w:rPr>
              <w:t>R8</w:t>
            </w:r>
          </w:p>
        </w:tc>
        <w:tc>
          <w:tcPr>
            <w:tcW w:w="1340" w:type="dxa"/>
          </w:tcPr>
          <w:p w:rsidR="006F0224" w:rsidRDefault="006A5689">
            <w:pPr>
              <w:jc w:val="center"/>
              <w:rPr>
                <w:rFonts w:ascii="Arial" w:hAnsi="Arial" w:cs="Arial"/>
              </w:rPr>
            </w:pPr>
            <w:r>
              <w:rPr>
                <w:rFonts w:ascii="Arial" w:hAnsi="Arial" w:cs="Arial"/>
              </w:rPr>
              <w:t>Ter</w:t>
            </w:r>
          </w:p>
          <w:p w:rsidR="006F0224" w:rsidRDefault="006A5689">
            <w:pPr>
              <w:jc w:val="center"/>
              <w:rPr>
                <w:rFonts w:ascii="Arial" w:hAnsi="Arial" w:cs="Arial"/>
                <w:sz w:val="16"/>
                <w:szCs w:val="16"/>
              </w:rPr>
            </w:pPr>
            <w:r>
              <w:rPr>
                <w:rFonts w:ascii="Arial" w:hAnsi="Arial" w:cs="Arial"/>
                <w:sz w:val="16"/>
                <w:szCs w:val="16"/>
              </w:rPr>
              <w:t>41°58'4.92"N</w:t>
            </w:r>
          </w:p>
          <w:p w:rsidR="006F0224" w:rsidRDefault="006A5689">
            <w:pPr>
              <w:jc w:val="center"/>
              <w:rPr>
                <w:rFonts w:ascii="Arial" w:hAnsi="Arial" w:cs="Arial"/>
                <w:sz w:val="16"/>
                <w:szCs w:val="16"/>
              </w:rPr>
            </w:pPr>
            <w:r>
              <w:rPr>
                <w:rFonts w:ascii="Arial" w:hAnsi="Arial" w:cs="Arial"/>
                <w:sz w:val="16"/>
                <w:szCs w:val="16"/>
              </w:rPr>
              <w:t>2°18'48.67"E</w:t>
            </w:r>
          </w:p>
        </w:tc>
        <w:tc>
          <w:tcPr>
            <w:tcW w:w="997" w:type="dxa"/>
          </w:tcPr>
          <w:p w:rsidR="006F0224" w:rsidRDefault="006A5689">
            <w:pPr>
              <w:jc w:val="center"/>
              <w:rPr>
                <w:rFonts w:ascii="Arial" w:hAnsi="Arial" w:cs="Arial"/>
                <w:lang w:val="en-US"/>
              </w:rPr>
            </w:pPr>
            <w:r>
              <w:rPr>
                <w:rFonts w:ascii="Arial" w:hAnsi="Arial" w:cs="Arial"/>
                <w:lang w:val="en-US"/>
              </w:rPr>
              <w:t>Low</w:t>
            </w:r>
          </w:p>
          <w:p w:rsidR="006F0224" w:rsidRDefault="006A5689">
            <w:pPr>
              <w:jc w:val="center"/>
              <w:rPr>
                <w:rFonts w:ascii="Arial" w:hAnsi="Arial" w:cs="Arial"/>
                <w:sz w:val="16"/>
                <w:szCs w:val="16"/>
                <w:lang w:val="en-US"/>
              </w:rPr>
            </w:pPr>
            <w:r>
              <w:rPr>
                <w:rFonts w:ascii="Arial" w:hAnsi="Arial" w:cs="Arial"/>
                <w:sz w:val="16"/>
                <w:szCs w:val="16"/>
                <w:lang w:val="en-US"/>
              </w:rPr>
              <w:t>500m asl</w:t>
            </w:r>
          </w:p>
        </w:tc>
        <w:tc>
          <w:tcPr>
            <w:tcW w:w="1913" w:type="dxa"/>
          </w:tcPr>
          <w:p w:rsidR="006F0224" w:rsidRDefault="006A5689">
            <w:pPr>
              <w:jc w:val="center"/>
              <w:rPr>
                <w:rFonts w:ascii="Arial" w:hAnsi="Arial" w:cs="Arial"/>
                <w:lang w:val="en-US"/>
              </w:rPr>
            </w:pPr>
            <w:r>
              <w:rPr>
                <w:rFonts w:ascii="Arial" w:hAnsi="Arial" w:cs="Arial"/>
                <w:lang w:val="en-US"/>
              </w:rPr>
              <w:t>Urban activities, agriculture, urban runoff</w:t>
            </w:r>
          </w:p>
        </w:tc>
        <w:tc>
          <w:tcPr>
            <w:tcW w:w="780" w:type="dxa"/>
          </w:tcPr>
          <w:p w:rsidR="006F0224" w:rsidRDefault="006A5689">
            <w:pPr>
              <w:jc w:val="center"/>
              <w:rPr>
                <w:rFonts w:ascii="Arial" w:hAnsi="Arial" w:cs="Arial"/>
                <w:lang w:val="en-US"/>
              </w:rPr>
            </w:pPr>
            <w:r>
              <w:rPr>
                <w:rFonts w:ascii="Arial" w:hAnsi="Arial" w:cs="Arial"/>
              </w:rPr>
              <w:t>14.2</w:t>
            </w:r>
          </w:p>
        </w:tc>
        <w:tc>
          <w:tcPr>
            <w:tcW w:w="750" w:type="dxa"/>
          </w:tcPr>
          <w:p w:rsidR="006F0224" w:rsidRDefault="006A5689">
            <w:pPr>
              <w:jc w:val="center"/>
              <w:rPr>
                <w:rFonts w:ascii="Arial" w:hAnsi="Arial" w:cs="Arial"/>
                <w:lang w:val="en-US"/>
              </w:rPr>
            </w:pPr>
            <w:r>
              <w:rPr>
                <w:rFonts w:ascii="Arial" w:hAnsi="Arial" w:cs="Arial"/>
                <w:lang w:val="en-US"/>
              </w:rPr>
              <w:t>7.1</w:t>
            </w:r>
          </w:p>
        </w:tc>
        <w:tc>
          <w:tcPr>
            <w:tcW w:w="1927" w:type="dxa"/>
          </w:tcPr>
          <w:p w:rsidR="006F0224" w:rsidRDefault="006A5689">
            <w:pPr>
              <w:jc w:val="center"/>
              <w:rPr>
                <w:rFonts w:ascii="Arial" w:hAnsi="Arial" w:cs="Arial"/>
                <w:lang w:val="en-US"/>
              </w:rPr>
            </w:pPr>
            <w:r>
              <w:rPr>
                <w:rFonts w:ascii="Arial" w:hAnsi="Arial" w:cs="Arial"/>
                <w:lang w:val="en-US"/>
              </w:rPr>
              <w:t>1625</w:t>
            </w:r>
          </w:p>
        </w:tc>
      </w:tr>
      <w:tr w:rsidR="006F0224">
        <w:tc>
          <w:tcPr>
            <w:tcW w:w="940" w:type="dxa"/>
          </w:tcPr>
          <w:p w:rsidR="006F0224" w:rsidRDefault="006F0224">
            <w:pPr>
              <w:jc w:val="center"/>
              <w:rPr>
                <w:rFonts w:ascii="Arial" w:hAnsi="Arial" w:cs="Arial"/>
                <w:lang w:val="en-US"/>
              </w:rPr>
            </w:pPr>
          </w:p>
          <w:p w:rsidR="006F0224" w:rsidRDefault="006A5689">
            <w:pPr>
              <w:jc w:val="center"/>
              <w:rPr>
                <w:rFonts w:ascii="Arial" w:hAnsi="Arial" w:cs="Arial"/>
                <w:lang w:val="en-US"/>
              </w:rPr>
            </w:pPr>
            <w:r>
              <w:rPr>
                <w:rFonts w:ascii="Arial" w:hAnsi="Arial" w:cs="Arial"/>
                <w:lang w:val="en-US"/>
              </w:rPr>
              <w:t>R9</w:t>
            </w:r>
          </w:p>
        </w:tc>
        <w:tc>
          <w:tcPr>
            <w:tcW w:w="1340" w:type="dxa"/>
          </w:tcPr>
          <w:p w:rsidR="006F0224" w:rsidRDefault="006A5689">
            <w:pPr>
              <w:jc w:val="center"/>
              <w:rPr>
                <w:rFonts w:ascii="Arial" w:hAnsi="Arial" w:cs="Arial"/>
                <w:lang w:val="en-US"/>
              </w:rPr>
            </w:pPr>
            <w:r>
              <w:rPr>
                <w:rFonts w:ascii="Arial" w:hAnsi="Arial" w:cs="Arial"/>
                <w:lang w:val="en-US"/>
              </w:rPr>
              <w:t>Ter</w:t>
            </w:r>
          </w:p>
          <w:p w:rsidR="006F0224" w:rsidRDefault="006A5689">
            <w:pPr>
              <w:pStyle w:val="Heading1"/>
              <w:shd w:val="clear" w:color="auto" w:fill="FFFFFF"/>
              <w:spacing w:before="0"/>
              <w:jc w:val="center"/>
              <w:textAlignment w:val="baseline"/>
              <w:outlineLvl w:val="0"/>
              <w:rPr>
                <w:rFonts w:ascii="Arial" w:hAnsi="Arial" w:cs="Arial"/>
                <w:b w:val="0"/>
                <w:color w:val="auto"/>
                <w:sz w:val="16"/>
                <w:szCs w:val="16"/>
                <w:lang w:val="en-US"/>
              </w:rPr>
            </w:pPr>
            <w:r>
              <w:rPr>
                <w:rFonts w:ascii="Arial" w:hAnsi="Arial" w:cs="Arial"/>
                <w:b w:val="0"/>
                <w:color w:val="auto"/>
                <w:sz w:val="16"/>
                <w:szCs w:val="16"/>
                <w:lang w:val="en-US"/>
              </w:rPr>
              <w:t>41°58'47.81" N</w:t>
            </w:r>
          </w:p>
          <w:p w:rsidR="006F0224" w:rsidRDefault="006A5689">
            <w:pPr>
              <w:pStyle w:val="Heading1"/>
              <w:shd w:val="clear" w:color="auto" w:fill="FFFFFF"/>
              <w:spacing w:before="0"/>
              <w:jc w:val="center"/>
              <w:textAlignment w:val="baseline"/>
              <w:outlineLvl w:val="0"/>
              <w:rPr>
                <w:rFonts w:ascii="Arial" w:hAnsi="Arial" w:cs="Arial"/>
                <w:b w:val="0"/>
                <w:color w:val="auto"/>
                <w:sz w:val="16"/>
                <w:szCs w:val="16"/>
                <w:lang w:val="en-US"/>
              </w:rPr>
            </w:pPr>
            <w:r>
              <w:rPr>
                <w:rFonts w:ascii="Arial" w:hAnsi="Arial" w:cs="Arial"/>
                <w:b w:val="0"/>
                <w:color w:val="auto"/>
                <w:sz w:val="16"/>
                <w:szCs w:val="16"/>
              </w:rPr>
              <w:t>2°19'37.96" E</w:t>
            </w:r>
          </w:p>
        </w:tc>
        <w:tc>
          <w:tcPr>
            <w:tcW w:w="997" w:type="dxa"/>
          </w:tcPr>
          <w:p w:rsidR="006F0224" w:rsidRDefault="006A5689">
            <w:pPr>
              <w:jc w:val="center"/>
              <w:rPr>
                <w:rFonts w:ascii="Arial" w:hAnsi="Arial" w:cs="Arial"/>
                <w:lang w:val="en-US"/>
              </w:rPr>
            </w:pPr>
            <w:r>
              <w:rPr>
                <w:rFonts w:ascii="Arial" w:hAnsi="Arial" w:cs="Arial"/>
                <w:lang w:val="en-US"/>
              </w:rPr>
              <w:t>Low</w:t>
            </w:r>
          </w:p>
          <w:p w:rsidR="006F0224" w:rsidRDefault="006A5689">
            <w:pPr>
              <w:jc w:val="center"/>
              <w:rPr>
                <w:rFonts w:ascii="Arial" w:hAnsi="Arial" w:cs="Arial"/>
                <w:sz w:val="16"/>
                <w:szCs w:val="16"/>
                <w:lang w:val="en-US"/>
              </w:rPr>
            </w:pPr>
            <w:r>
              <w:rPr>
                <w:rFonts w:ascii="Arial" w:hAnsi="Arial" w:cs="Arial"/>
                <w:sz w:val="16"/>
                <w:szCs w:val="16"/>
                <w:lang w:val="en-US"/>
              </w:rPr>
              <w:t>480m asl</w:t>
            </w:r>
          </w:p>
        </w:tc>
        <w:tc>
          <w:tcPr>
            <w:tcW w:w="1913" w:type="dxa"/>
          </w:tcPr>
          <w:p w:rsidR="006F0224" w:rsidRDefault="006A5689">
            <w:pPr>
              <w:jc w:val="center"/>
              <w:rPr>
                <w:rFonts w:ascii="Arial" w:hAnsi="Arial" w:cs="Arial"/>
                <w:lang w:val="en-US"/>
              </w:rPr>
            </w:pPr>
            <w:r>
              <w:rPr>
                <w:rFonts w:ascii="Arial" w:hAnsi="Arial" w:cs="Arial"/>
                <w:lang w:val="en-US"/>
              </w:rPr>
              <w:t xml:space="preserve">Urban activities, agriculture, wastewater </w:t>
            </w:r>
            <w:r>
              <w:rPr>
                <w:rFonts w:ascii="Arial" w:hAnsi="Arial" w:cs="Arial"/>
                <w:lang w:val="en-US"/>
              </w:rPr>
              <w:t>treatment</w:t>
            </w:r>
          </w:p>
        </w:tc>
        <w:tc>
          <w:tcPr>
            <w:tcW w:w="780" w:type="dxa"/>
          </w:tcPr>
          <w:p w:rsidR="006F0224" w:rsidRDefault="006A5689">
            <w:pPr>
              <w:jc w:val="center"/>
              <w:rPr>
                <w:rFonts w:ascii="Arial" w:hAnsi="Arial" w:cs="Arial"/>
                <w:lang w:val="en-US"/>
              </w:rPr>
            </w:pPr>
            <w:r>
              <w:rPr>
                <w:rFonts w:ascii="Arial" w:hAnsi="Arial" w:cs="Arial"/>
                <w:lang w:val="en-US"/>
              </w:rPr>
              <w:t>14.5</w:t>
            </w:r>
          </w:p>
        </w:tc>
        <w:tc>
          <w:tcPr>
            <w:tcW w:w="750" w:type="dxa"/>
          </w:tcPr>
          <w:p w:rsidR="006F0224" w:rsidRDefault="006A5689">
            <w:pPr>
              <w:jc w:val="center"/>
              <w:rPr>
                <w:rFonts w:ascii="Arial" w:hAnsi="Arial" w:cs="Arial"/>
                <w:lang w:val="en-US"/>
              </w:rPr>
            </w:pPr>
            <w:r>
              <w:rPr>
                <w:rFonts w:ascii="Arial" w:hAnsi="Arial" w:cs="Arial"/>
                <w:lang w:val="en-US"/>
              </w:rPr>
              <w:t>7.3</w:t>
            </w:r>
          </w:p>
        </w:tc>
        <w:tc>
          <w:tcPr>
            <w:tcW w:w="1927" w:type="dxa"/>
          </w:tcPr>
          <w:p w:rsidR="006F0224" w:rsidRDefault="006A5689">
            <w:pPr>
              <w:jc w:val="center"/>
              <w:rPr>
                <w:rFonts w:ascii="Arial" w:hAnsi="Arial" w:cs="Arial"/>
                <w:lang w:val="en-US"/>
              </w:rPr>
            </w:pPr>
            <w:r>
              <w:rPr>
                <w:rFonts w:ascii="Arial" w:hAnsi="Arial" w:cs="Arial"/>
                <w:lang w:val="en-US"/>
              </w:rPr>
              <w:t>594</w:t>
            </w:r>
          </w:p>
        </w:tc>
      </w:tr>
      <w:tr w:rsidR="006F0224">
        <w:tc>
          <w:tcPr>
            <w:tcW w:w="940" w:type="dxa"/>
          </w:tcPr>
          <w:p w:rsidR="006F0224" w:rsidRDefault="006A5689">
            <w:pPr>
              <w:jc w:val="center"/>
              <w:rPr>
                <w:rFonts w:ascii="Arial" w:hAnsi="Arial" w:cs="Arial"/>
                <w:lang w:val="en-US"/>
              </w:rPr>
            </w:pPr>
            <w:r>
              <w:rPr>
                <w:rFonts w:ascii="Arial" w:hAnsi="Arial" w:cs="Arial"/>
              </w:rPr>
              <w:t>DOM-free</w:t>
            </w:r>
          </w:p>
        </w:tc>
        <w:tc>
          <w:tcPr>
            <w:tcW w:w="1340" w:type="dxa"/>
          </w:tcPr>
          <w:p w:rsidR="006F0224" w:rsidRDefault="006A5689">
            <w:pPr>
              <w:jc w:val="center"/>
              <w:rPr>
                <w:rFonts w:ascii="Arial" w:hAnsi="Arial" w:cs="Arial"/>
                <w:lang w:val="en-US"/>
              </w:rPr>
            </w:pPr>
            <w:r>
              <w:rPr>
                <w:rFonts w:ascii="Arial" w:hAnsi="Arial" w:cs="Arial"/>
                <w:lang w:val="en-US"/>
              </w:rPr>
              <w:t>Milli-Q water</w:t>
            </w:r>
          </w:p>
        </w:tc>
        <w:tc>
          <w:tcPr>
            <w:tcW w:w="997" w:type="dxa"/>
          </w:tcPr>
          <w:p w:rsidR="006F0224" w:rsidRDefault="006F0224">
            <w:pPr>
              <w:jc w:val="center"/>
              <w:rPr>
                <w:rFonts w:ascii="Arial" w:hAnsi="Arial" w:cs="Arial"/>
                <w:lang w:val="en-US"/>
              </w:rPr>
            </w:pPr>
          </w:p>
        </w:tc>
        <w:tc>
          <w:tcPr>
            <w:tcW w:w="1913" w:type="dxa"/>
          </w:tcPr>
          <w:p w:rsidR="006F0224" w:rsidRDefault="006F0224">
            <w:pPr>
              <w:jc w:val="center"/>
              <w:rPr>
                <w:rFonts w:ascii="Arial" w:hAnsi="Arial" w:cs="Arial"/>
                <w:lang w:val="en-US"/>
              </w:rPr>
            </w:pPr>
          </w:p>
        </w:tc>
        <w:tc>
          <w:tcPr>
            <w:tcW w:w="780" w:type="dxa"/>
          </w:tcPr>
          <w:p w:rsidR="006F0224" w:rsidRDefault="006A5689">
            <w:pPr>
              <w:jc w:val="center"/>
              <w:rPr>
                <w:rFonts w:ascii="Arial" w:hAnsi="Arial" w:cs="Arial"/>
                <w:lang w:val="en-US"/>
              </w:rPr>
            </w:pPr>
            <w:r>
              <w:rPr>
                <w:rFonts w:ascii="Arial" w:hAnsi="Arial" w:cs="Arial"/>
                <w:lang w:val="en-US"/>
              </w:rPr>
              <w:t>24.3</w:t>
            </w:r>
          </w:p>
        </w:tc>
        <w:tc>
          <w:tcPr>
            <w:tcW w:w="750" w:type="dxa"/>
          </w:tcPr>
          <w:p w:rsidR="006F0224" w:rsidRDefault="006A5689">
            <w:pPr>
              <w:jc w:val="center"/>
              <w:rPr>
                <w:rFonts w:ascii="Arial" w:hAnsi="Arial" w:cs="Arial"/>
                <w:lang w:val="en-US"/>
              </w:rPr>
            </w:pPr>
            <w:r>
              <w:rPr>
                <w:rFonts w:ascii="Arial" w:hAnsi="Arial" w:cs="Arial"/>
                <w:lang w:val="en-US"/>
              </w:rPr>
              <w:t>7.7</w:t>
            </w:r>
          </w:p>
        </w:tc>
        <w:tc>
          <w:tcPr>
            <w:tcW w:w="1927" w:type="dxa"/>
          </w:tcPr>
          <w:p w:rsidR="006F0224" w:rsidRDefault="006A5689">
            <w:pPr>
              <w:jc w:val="center"/>
              <w:rPr>
                <w:rFonts w:ascii="Arial" w:hAnsi="Arial" w:cs="Arial"/>
                <w:lang w:val="en-US"/>
              </w:rPr>
            </w:pPr>
            <w:r>
              <w:rPr>
                <w:rFonts w:ascii="Arial" w:hAnsi="Arial" w:cs="Arial"/>
                <w:lang w:val="en-US"/>
              </w:rPr>
              <w:t>1.7</w:t>
            </w:r>
          </w:p>
        </w:tc>
      </w:tr>
    </w:tbl>
    <w:p w:rsidR="006F0224" w:rsidRDefault="006F0224">
      <w:pPr>
        <w:spacing w:line="360" w:lineRule="auto"/>
        <w:jc w:val="both"/>
        <w:rPr>
          <w:rFonts w:ascii="Arial" w:hAnsi="Arial" w:cs="Arial"/>
          <w:sz w:val="24"/>
          <w:szCs w:val="24"/>
          <w:lang w:val="en-US"/>
        </w:rPr>
      </w:pPr>
    </w:p>
    <w:p w:rsidR="006F0224" w:rsidRDefault="006F0224">
      <w:pPr>
        <w:spacing w:line="360" w:lineRule="auto"/>
        <w:jc w:val="both"/>
        <w:rPr>
          <w:rFonts w:ascii="Arial" w:hAnsi="Arial" w:cs="Arial"/>
          <w:sz w:val="24"/>
          <w:szCs w:val="24"/>
          <w:lang w:val="en-US"/>
        </w:rPr>
      </w:pPr>
    </w:p>
    <w:p w:rsidR="006F0224" w:rsidRDefault="006A5689">
      <w:pPr>
        <w:spacing w:line="360" w:lineRule="auto"/>
        <w:jc w:val="both"/>
        <w:rPr>
          <w:rFonts w:ascii="Arial" w:hAnsi="Arial" w:cs="Arial"/>
          <w:sz w:val="24"/>
          <w:szCs w:val="24"/>
          <w:lang w:val="en-US"/>
        </w:rPr>
      </w:pPr>
      <w:r>
        <w:rPr>
          <w:rFonts w:ascii="Arial" w:hAnsi="Arial" w:cs="Arial"/>
          <w:sz w:val="24"/>
          <w:szCs w:val="24"/>
          <w:lang w:val="en-US"/>
        </w:rPr>
        <w:lastRenderedPageBreak/>
        <w:t xml:space="preserve">* </w:t>
      </w:r>
      <w:r>
        <w:rPr>
          <w:rFonts w:ascii="Arial" w:hAnsi="Arial" w:cs="Arial"/>
          <w:sz w:val="20"/>
          <w:szCs w:val="20"/>
          <w:lang w:val="en-US"/>
        </w:rPr>
        <w:t>High-altitude river water samples are defined as those collected above 1200m asl; mid-altitude water samples are those collected between 800 and 1200m asl</w:t>
      </w:r>
      <w:r>
        <w:rPr>
          <w:rFonts w:ascii="Arial" w:hAnsi="Arial" w:cs="Arial"/>
          <w:sz w:val="20"/>
          <w:szCs w:val="20"/>
          <w:lang w:val="en-US"/>
        </w:rPr>
        <w:t>; and low-altitude river water samples are those collected below 800m asl.</w:t>
      </w:r>
    </w:p>
    <w:p w:rsidR="006F0224" w:rsidRDefault="006A5689">
      <w:pPr>
        <w:spacing w:line="360" w:lineRule="auto"/>
        <w:ind w:firstLine="561"/>
        <w:jc w:val="both"/>
        <w:rPr>
          <w:rFonts w:ascii="Arial" w:hAnsi="Arial" w:cs="Arial"/>
          <w:sz w:val="24"/>
          <w:szCs w:val="24"/>
          <w:lang w:val="en-US"/>
        </w:rPr>
      </w:pPr>
      <w:r>
        <w:rPr>
          <w:rFonts w:ascii="Arial" w:hAnsi="Arial" w:cs="Arial"/>
          <w:sz w:val="24"/>
          <w:szCs w:val="24"/>
          <w:lang w:val="en-US"/>
        </w:rPr>
        <w:t>The high-altitude rivers, located in the alpine Catalan Pyrenees region, included the Angostrina (R1), Font Freda (R2), Riu de la Vila (R4), and Riu D’Alp (R5). These rivers are sit</w:t>
      </w:r>
      <w:r>
        <w:rPr>
          <w:rFonts w:ascii="Arial" w:hAnsi="Arial" w:cs="Arial"/>
          <w:sz w:val="24"/>
          <w:szCs w:val="24"/>
          <w:lang w:val="en-US"/>
        </w:rPr>
        <w:t>uated in mountainous areas with minimal human impact, providing insights into DOM composition in pristine, natural environments.</w:t>
      </w:r>
    </w:p>
    <w:p w:rsidR="006F0224" w:rsidRDefault="006A5689">
      <w:pPr>
        <w:spacing w:line="360" w:lineRule="auto"/>
        <w:ind w:firstLine="561"/>
        <w:jc w:val="both"/>
        <w:rPr>
          <w:rFonts w:ascii="Arial" w:hAnsi="Arial" w:cs="Arial"/>
          <w:sz w:val="24"/>
          <w:szCs w:val="24"/>
          <w:lang w:val="en-US"/>
        </w:rPr>
      </w:pPr>
      <w:r>
        <w:rPr>
          <w:rFonts w:ascii="Arial" w:hAnsi="Arial" w:cs="Arial"/>
          <w:sz w:val="24"/>
          <w:szCs w:val="24"/>
          <w:lang w:val="en-US"/>
        </w:rPr>
        <w:t>The mid-altitude Catalan rivers included the Segre (R3), Freser (R6), and Cassibros (R7). The Segre River, a major tributary of</w:t>
      </w:r>
      <w:r>
        <w:rPr>
          <w:rFonts w:ascii="Arial" w:hAnsi="Arial" w:cs="Arial"/>
          <w:sz w:val="24"/>
          <w:szCs w:val="24"/>
          <w:lang w:val="en-US"/>
        </w:rPr>
        <w:t xml:space="preserve"> the Ebro River, flows through both Catalonia and Aragon, passing through touristic areas with moderate agricultural activity. The Angostrina River flows through the Pyrenean region, influenced by active tourism and agricultural practices. Among these, the</w:t>
      </w:r>
      <w:r>
        <w:rPr>
          <w:rFonts w:ascii="Arial" w:hAnsi="Arial" w:cs="Arial"/>
          <w:sz w:val="24"/>
          <w:szCs w:val="24"/>
          <w:lang w:val="en-US"/>
        </w:rPr>
        <w:t xml:space="preserve"> Cassibros River (R7) is the most pristine, experiencing minimal human impact.</w:t>
      </w:r>
    </w:p>
    <w:p w:rsidR="006F0224" w:rsidRDefault="006A5689">
      <w:pPr>
        <w:spacing w:line="360" w:lineRule="auto"/>
        <w:ind w:firstLine="561"/>
        <w:jc w:val="both"/>
        <w:rPr>
          <w:rFonts w:ascii="Arial" w:hAnsi="Arial" w:cs="Arial"/>
          <w:sz w:val="24"/>
          <w:szCs w:val="24"/>
          <w:lang w:val="en-US"/>
        </w:rPr>
      </w:pPr>
      <w:r>
        <w:rPr>
          <w:rFonts w:ascii="Arial" w:hAnsi="Arial" w:cs="Arial"/>
          <w:sz w:val="24"/>
          <w:szCs w:val="24"/>
          <w:lang w:val="en-US"/>
        </w:rPr>
        <w:t>Low-altitude samples were collected from two sites on the Ter River: one upstream (R8) and one downstream of a wastewater treatment plant (R9). The Ter River flows through centr</w:t>
      </w:r>
      <w:r>
        <w:rPr>
          <w:rFonts w:ascii="Arial" w:hAnsi="Arial" w:cs="Arial"/>
          <w:sz w:val="24"/>
          <w:szCs w:val="24"/>
          <w:lang w:val="en-US"/>
        </w:rPr>
        <w:t>al Catalonia, passing through several urban areas and agricultural zones, both of which are expected to impact its DOM content.</w:t>
      </w:r>
    </w:p>
    <w:p w:rsidR="006F0224" w:rsidRDefault="006F0224">
      <w:pPr>
        <w:spacing w:line="360" w:lineRule="auto"/>
        <w:jc w:val="both"/>
        <w:rPr>
          <w:rFonts w:ascii="Arial" w:eastAsia="Times New Roman" w:hAnsi="Arial" w:cs="Arial"/>
          <w:b/>
          <w:bCs/>
          <w:i/>
          <w:sz w:val="24"/>
          <w:szCs w:val="24"/>
          <w:lang w:val="en-US" w:eastAsia="es-ES"/>
        </w:rPr>
      </w:pPr>
    </w:p>
    <w:p w:rsidR="006F0224" w:rsidRDefault="006A5689">
      <w:pPr>
        <w:spacing w:line="360" w:lineRule="auto"/>
        <w:jc w:val="both"/>
        <w:rPr>
          <w:rFonts w:ascii="Arial" w:hAnsi="Arial" w:cs="Arial"/>
          <w:iCs/>
          <w:lang w:val="en-US"/>
        </w:rPr>
      </w:pPr>
      <w:r>
        <w:rPr>
          <w:rFonts w:ascii="Arial" w:eastAsia="Times New Roman" w:hAnsi="Arial" w:cs="Arial"/>
          <w:iCs/>
          <w:sz w:val="24"/>
          <w:szCs w:val="24"/>
          <w:lang w:val="en-US" w:eastAsia="es-ES"/>
        </w:rPr>
        <w:t>Fluorescence indices</w:t>
      </w:r>
    </w:p>
    <w:p w:rsidR="006F0224" w:rsidRDefault="006A5689">
      <w:pPr>
        <w:spacing w:before="100" w:beforeAutospacing="1" w:after="100" w:afterAutospacing="1" w:line="360" w:lineRule="auto"/>
        <w:rPr>
          <w:rFonts w:ascii="Arial" w:eastAsia="Times New Roman" w:hAnsi="Arial" w:cs="Arial"/>
          <w:sz w:val="24"/>
          <w:szCs w:val="24"/>
          <w:lang w:val="en-US" w:eastAsia="es-ES"/>
        </w:rPr>
      </w:pPr>
      <w:r>
        <w:rPr>
          <w:rFonts w:ascii="Arial" w:eastAsia="Times New Roman" w:hAnsi="Arial" w:cs="Arial"/>
          <w:b/>
          <w:bCs/>
          <w:sz w:val="24"/>
          <w:szCs w:val="24"/>
          <w:lang w:val="en-US" w:eastAsia="es-ES"/>
        </w:rPr>
        <w:t>Fluorescence index (FI).</w:t>
      </w:r>
      <w:r>
        <w:rPr>
          <w:rFonts w:ascii="Arial" w:eastAsia="Times New Roman" w:hAnsi="Arial" w:cs="Arial"/>
          <w:sz w:val="24"/>
          <w:szCs w:val="24"/>
          <w:lang w:val="en-US" w:eastAsia="es-ES"/>
        </w:rPr>
        <w:t xml:space="preserve"> This index is primarily used to identify the sources of DOM. FI is calculated as the ratio of fluorescence emission intensities at wavelengths 470 nm and 520 nm, using an excitation wavelength of 370 nm (Cory and McKnight, 2005).</w:t>
      </w:r>
    </w:p>
    <w:p w:rsidR="006F0224" w:rsidRDefault="006A5689">
      <w:pPr>
        <w:spacing w:before="100" w:beforeAutospacing="1" w:after="100" w:afterAutospacing="1" w:line="360" w:lineRule="auto"/>
        <w:rPr>
          <w:rFonts w:ascii="Arial" w:eastAsia="Times New Roman" w:hAnsi="Arial" w:cs="Arial"/>
          <w:lang w:val="en-US" w:eastAsia="es-ES"/>
        </w:rPr>
      </w:pPr>
      <w:r>
        <w:rPr>
          <w:rFonts w:ascii="Arial" w:eastAsia="Times New Roman" w:hAnsi="Arial" w:cs="Arial"/>
          <w:lang w:val="en-US" w:eastAsia="es-ES"/>
        </w:rPr>
        <w:t>FI = I</w:t>
      </w:r>
      <w:r>
        <w:rPr>
          <w:rFonts w:ascii="Arial" w:eastAsia="Times New Roman" w:hAnsi="Arial" w:cs="Arial"/>
          <w:vertAlign w:val="subscript"/>
          <w:lang w:val="en-US" w:eastAsia="es-ES"/>
        </w:rPr>
        <w:t>em470</w:t>
      </w:r>
      <w:r>
        <w:rPr>
          <w:rFonts w:ascii="Arial" w:eastAsia="Times New Roman" w:hAnsi="Arial" w:cs="Arial"/>
          <w:lang w:val="en-US" w:eastAsia="es-ES"/>
        </w:rPr>
        <w:t>/I</w:t>
      </w:r>
      <w:r>
        <w:rPr>
          <w:rFonts w:ascii="Arial" w:eastAsia="Times New Roman" w:hAnsi="Arial" w:cs="Arial"/>
          <w:vertAlign w:val="subscript"/>
          <w:lang w:val="en-US" w:eastAsia="es-ES"/>
        </w:rPr>
        <w:t>em520</w:t>
      </w:r>
      <w:r>
        <w:rPr>
          <w:rFonts w:ascii="Arial" w:eastAsia="Times New Roman" w:hAnsi="Arial" w:cs="Arial"/>
          <w:lang w:val="en-US" w:eastAsia="es-ES"/>
        </w:rPr>
        <w:t>, at Ex</w:t>
      </w:r>
      <w:r>
        <w:rPr>
          <w:rFonts w:ascii="Arial" w:eastAsia="Times New Roman" w:hAnsi="Arial" w:cs="Arial"/>
          <w:lang w:val="en-US" w:eastAsia="es-ES"/>
        </w:rPr>
        <w:t xml:space="preserve"> = 370 nm</w:t>
      </w:r>
      <w:r>
        <w:rPr>
          <w:rFonts w:ascii="Arial" w:eastAsia="Times New Roman" w:hAnsi="Arial" w:cs="Arial"/>
          <w:lang w:val="en-US" w:eastAsia="es-ES"/>
        </w:rPr>
        <w:tab/>
      </w:r>
      <w:r>
        <w:rPr>
          <w:rFonts w:ascii="Arial" w:eastAsia="Times New Roman" w:hAnsi="Arial" w:cs="Arial"/>
          <w:lang w:val="en-US" w:eastAsia="es-ES"/>
        </w:rPr>
        <w:tab/>
      </w:r>
      <w:r>
        <w:rPr>
          <w:rFonts w:ascii="Arial" w:eastAsia="Times New Roman" w:hAnsi="Arial" w:cs="Arial"/>
          <w:lang w:val="en-US" w:eastAsia="es-ES"/>
        </w:rPr>
        <w:tab/>
      </w:r>
      <w:r>
        <w:rPr>
          <w:rFonts w:ascii="Arial" w:eastAsia="Times New Roman" w:hAnsi="Arial" w:cs="Arial"/>
          <w:lang w:val="en-US" w:eastAsia="es-ES"/>
        </w:rPr>
        <w:tab/>
      </w:r>
      <w:r>
        <w:rPr>
          <w:rFonts w:ascii="Arial" w:eastAsia="Times New Roman" w:hAnsi="Arial" w:cs="Arial"/>
          <w:lang w:val="en-US" w:eastAsia="es-ES"/>
        </w:rPr>
        <w:tab/>
      </w:r>
      <w:r>
        <w:rPr>
          <w:rFonts w:ascii="Arial" w:eastAsia="Times New Roman" w:hAnsi="Arial" w:cs="Arial"/>
          <w:lang w:val="en-US" w:eastAsia="es-ES"/>
        </w:rPr>
        <w:tab/>
      </w:r>
      <w:r>
        <w:rPr>
          <w:rFonts w:ascii="Arial" w:eastAsia="Times New Roman" w:hAnsi="Arial" w:cs="Arial"/>
          <w:lang w:val="en-US" w:eastAsia="es-ES"/>
        </w:rPr>
        <w:tab/>
      </w:r>
      <w:r>
        <w:rPr>
          <w:rFonts w:ascii="Arial" w:eastAsiaTheme="minorEastAsia" w:hAnsi="Arial" w:cs="Arial"/>
          <w:b/>
          <w:lang w:val="en-US"/>
        </w:rPr>
        <w:t>Equation 1</w:t>
      </w:r>
    </w:p>
    <w:p w:rsidR="006F0224" w:rsidRDefault="006A5689">
      <w:pPr>
        <w:spacing w:before="100" w:beforeAutospacing="1" w:after="100" w:afterAutospacing="1" w:line="360" w:lineRule="auto"/>
        <w:rPr>
          <w:rFonts w:ascii="Arial" w:eastAsia="Times New Roman" w:hAnsi="Arial" w:cs="Arial"/>
          <w:sz w:val="24"/>
          <w:szCs w:val="24"/>
          <w:lang w:val="en-US" w:eastAsia="es-ES"/>
        </w:rPr>
      </w:pPr>
      <w:r>
        <w:rPr>
          <w:rFonts w:ascii="Arial" w:eastAsia="Times New Roman" w:hAnsi="Arial" w:cs="Arial"/>
          <w:b/>
          <w:bCs/>
          <w:sz w:val="24"/>
          <w:szCs w:val="24"/>
          <w:lang w:val="en-US" w:eastAsia="es-ES"/>
        </w:rPr>
        <w:t>Humification index (HIX).</w:t>
      </w:r>
      <w:r>
        <w:rPr>
          <w:rFonts w:ascii="Arial" w:eastAsia="Times New Roman" w:hAnsi="Arial" w:cs="Arial"/>
          <w:sz w:val="24"/>
          <w:szCs w:val="24"/>
          <w:lang w:val="en-US" w:eastAsia="es-ES"/>
        </w:rPr>
        <w:t xml:space="preserve">  This index reflects the degree of humic content and DOM maturation. HIX was computed as the area under the emission curve from wavelength 435 to 480 nm divided by the area from 300 to 345 nm, using an e</w:t>
      </w:r>
      <w:r>
        <w:rPr>
          <w:rFonts w:ascii="Arial" w:eastAsia="Times New Roman" w:hAnsi="Arial" w:cs="Arial"/>
          <w:sz w:val="24"/>
          <w:szCs w:val="24"/>
          <w:lang w:val="en-US" w:eastAsia="es-ES"/>
        </w:rPr>
        <w:t>xcitation wavelength of 255 nm (Ohno, 2002).</w:t>
      </w:r>
    </w:p>
    <w:p w:rsidR="006F0224" w:rsidRDefault="006A5689">
      <w:pPr>
        <w:spacing w:before="100" w:beforeAutospacing="1" w:after="100" w:afterAutospacing="1" w:line="360" w:lineRule="auto"/>
        <w:rPr>
          <w:rFonts w:ascii="Arial" w:eastAsia="Times New Roman" w:hAnsi="Arial" w:cs="Arial"/>
          <w:sz w:val="24"/>
          <w:szCs w:val="24"/>
          <w:lang w:val="en-US" w:eastAsia="es-ES"/>
        </w:rPr>
      </w:pPr>
      <w:r>
        <w:rPr>
          <w:rFonts w:ascii="Arial" w:eastAsia="Times New Roman" w:hAnsi="Arial" w:cs="Arial"/>
          <w:sz w:val="24"/>
          <w:szCs w:val="24"/>
          <w:lang w:val="en-US" w:eastAsia="es-ES"/>
        </w:rPr>
        <w:t xml:space="preserve">HIX = </w:t>
      </w:r>
      <w:r>
        <w:rPr>
          <w:rFonts w:ascii="Arial" w:eastAsia="Times New Roman" w:hAnsi="Arial" w:cs="Arial"/>
          <w:sz w:val="24"/>
          <w:szCs w:val="24"/>
          <w:lang w:eastAsia="es-ES"/>
        </w:rPr>
        <w:t>Σ</w:t>
      </w:r>
      <w:r>
        <w:rPr>
          <w:rFonts w:ascii="Arial" w:eastAsia="Times New Roman" w:hAnsi="Arial" w:cs="Arial"/>
          <w:sz w:val="24"/>
          <w:szCs w:val="24"/>
          <w:lang w:val="en-US" w:eastAsia="es-ES"/>
        </w:rPr>
        <w:t xml:space="preserve"> I</w:t>
      </w:r>
      <w:r>
        <w:rPr>
          <w:rFonts w:ascii="Arial" w:eastAsia="Times New Roman" w:hAnsi="Arial" w:cs="Arial"/>
          <w:sz w:val="24"/>
          <w:szCs w:val="24"/>
          <w:vertAlign w:val="subscript"/>
          <w:lang w:val="en-US" w:eastAsia="es-ES"/>
        </w:rPr>
        <w:t xml:space="preserve">Em435-480 </w:t>
      </w:r>
      <w:r>
        <w:rPr>
          <w:rFonts w:ascii="Arial" w:eastAsia="Times New Roman" w:hAnsi="Arial" w:cs="Arial"/>
          <w:sz w:val="24"/>
          <w:szCs w:val="24"/>
          <w:lang w:val="en-US" w:eastAsia="es-ES"/>
        </w:rPr>
        <w:t xml:space="preserve">/ </w:t>
      </w:r>
      <w:r>
        <w:rPr>
          <w:rFonts w:ascii="Arial" w:eastAsia="Times New Roman" w:hAnsi="Arial" w:cs="Arial"/>
          <w:sz w:val="24"/>
          <w:szCs w:val="24"/>
          <w:lang w:eastAsia="es-ES"/>
        </w:rPr>
        <w:t>Σ</w:t>
      </w:r>
      <w:r>
        <w:rPr>
          <w:rFonts w:ascii="Arial" w:eastAsia="Times New Roman" w:hAnsi="Arial" w:cs="Arial"/>
          <w:sz w:val="24"/>
          <w:szCs w:val="24"/>
          <w:lang w:val="en-US" w:eastAsia="es-ES"/>
        </w:rPr>
        <w:t xml:space="preserve"> I</w:t>
      </w:r>
      <w:r>
        <w:rPr>
          <w:rFonts w:ascii="Arial" w:eastAsia="Times New Roman" w:hAnsi="Arial" w:cs="Arial"/>
          <w:sz w:val="24"/>
          <w:szCs w:val="24"/>
          <w:vertAlign w:val="subscript"/>
          <w:lang w:val="en-US" w:eastAsia="es-ES"/>
        </w:rPr>
        <w:t>Em300-345</w:t>
      </w:r>
      <w:r>
        <w:rPr>
          <w:rFonts w:ascii="Arial" w:eastAsia="Times New Roman" w:hAnsi="Arial" w:cs="Arial"/>
          <w:sz w:val="24"/>
          <w:szCs w:val="24"/>
          <w:lang w:val="en-US" w:eastAsia="es-ES"/>
        </w:rPr>
        <w:t>, at Ex = 254 nm</w:t>
      </w:r>
      <w:r>
        <w:rPr>
          <w:rFonts w:ascii="Arial" w:eastAsia="Times New Roman" w:hAnsi="Arial" w:cs="Arial"/>
          <w:sz w:val="24"/>
          <w:szCs w:val="24"/>
          <w:lang w:val="en-US" w:eastAsia="es-ES"/>
        </w:rPr>
        <w:tab/>
      </w:r>
      <w:r>
        <w:rPr>
          <w:rFonts w:ascii="Arial" w:eastAsia="Times New Roman" w:hAnsi="Arial" w:cs="Arial"/>
          <w:sz w:val="24"/>
          <w:szCs w:val="24"/>
          <w:lang w:val="en-US" w:eastAsia="es-ES"/>
        </w:rPr>
        <w:tab/>
      </w:r>
      <w:r>
        <w:rPr>
          <w:rFonts w:ascii="Arial" w:eastAsia="Times New Roman" w:hAnsi="Arial" w:cs="Arial"/>
          <w:sz w:val="24"/>
          <w:szCs w:val="24"/>
          <w:lang w:val="en-US" w:eastAsia="es-ES"/>
        </w:rPr>
        <w:tab/>
      </w:r>
      <w:r>
        <w:rPr>
          <w:rFonts w:ascii="Arial" w:eastAsia="Times New Roman" w:hAnsi="Arial" w:cs="Arial"/>
          <w:sz w:val="24"/>
          <w:szCs w:val="24"/>
          <w:lang w:val="en-US" w:eastAsia="es-ES"/>
        </w:rPr>
        <w:tab/>
      </w:r>
      <w:r>
        <w:rPr>
          <w:rFonts w:ascii="Arial" w:eastAsia="Times New Roman" w:hAnsi="Arial" w:cs="Arial"/>
          <w:sz w:val="24"/>
          <w:szCs w:val="24"/>
          <w:lang w:val="en-US" w:eastAsia="es-ES"/>
        </w:rPr>
        <w:tab/>
      </w:r>
      <w:r>
        <w:rPr>
          <w:rFonts w:ascii="Arial" w:eastAsiaTheme="minorEastAsia" w:hAnsi="Arial" w:cs="Arial"/>
          <w:b/>
          <w:lang w:val="en-US"/>
        </w:rPr>
        <w:t>Equation 2</w:t>
      </w:r>
    </w:p>
    <w:p w:rsidR="006F0224" w:rsidRDefault="006A5689">
      <w:pPr>
        <w:spacing w:before="100" w:beforeAutospacing="1" w:after="100" w:afterAutospacing="1" w:line="360" w:lineRule="auto"/>
        <w:rPr>
          <w:rFonts w:ascii="Arial" w:eastAsia="Times New Roman" w:hAnsi="Arial" w:cs="Arial"/>
          <w:sz w:val="24"/>
          <w:szCs w:val="24"/>
          <w:lang w:val="en-US" w:eastAsia="es-ES"/>
        </w:rPr>
      </w:pPr>
      <w:r>
        <w:rPr>
          <w:rFonts w:ascii="Arial" w:eastAsia="Times New Roman" w:hAnsi="Arial" w:cs="Arial"/>
          <w:b/>
          <w:bCs/>
          <w:sz w:val="24"/>
          <w:szCs w:val="24"/>
          <w:lang w:val="en-US" w:eastAsia="es-ES"/>
        </w:rPr>
        <w:lastRenderedPageBreak/>
        <w:t>Biological index (BIX).</w:t>
      </w:r>
      <w:r>
        <w:rPr>
          <w:rFonts w:ascii="Arial" w:eastAsia="Times New Roman" w:hAnsi="Arial" w:cs="Arial"/>
          <w:sz w:val="24"/>
          <w:szCs w:val="24"/>
          <w:lang w:val="en-US" w:eastAsia="es-ES"/>
        </w:rPr>
        <w:t xml:space="preserve"> This index serves as an indicator of the autochthonous biological production of organic matter. BIX was calculated as the </w:t>
      </w:r>
      <w:r>
        <w:rPr>
          <w:rFonts w:ascii="Arial" w:eastAsia="Times New Roman" w:hAnsi="Arial" w:cs="Arial"/>
          <w:sz w:val="24"/>
          <w:szCs w:val="24"/>
          <w:lang w:val="en-US" w:eastAsia="es-ES"/>
        </w:rPr>
        <w:t>ratio of emission intensities at wavelength 380 nm and 430 nm, using an excitation wavelength of 310 nm (Huguet et al., 2009).</w:t>
      </w:r>
    </w:p>
    <w:p w:rsidR="006F0224" w:rsidRDefault="006A5689">
      <w:pPr>
        <w:spacing w:before="100" w:beforeAutospacing="1" w:after="100" w:afterAutospacing="1" w:line="360" w:lineRule="auto"/>
        <w:rPr>
          <w:rFonts w:ascii="Arial" w:eastAsia="Times New Roman" w:hAnsi="Arial" w:cs="Arial"/>
          <w:sz w:val="24"/>
          <w:szCs w:val="24"/>
          <w:lang w:val="en-US" w:eastAsia="es-ES"/>
        </w:rPr>
      </w:pPr>
      <w:r>
        <w:rPr>
          <w:rFonts w:ascii="Arial" w:eastAsia="Times New Roman" w:hAnsi="Arial" w:cs="Arial"/>
          <w:sz w:val="24"/>
          <w:szCs w:val="24"/>
          <w:lang w:val="en-US" w:eastAsia="es-ES"/>
        </w:rPr>
        <w:t>BIX = I</w:t>
      </w:r>
      <w:r>
        <w:rPr>
          <w:rFonts w:ascii="Arial" w:eastAsia="Times New Roman" w:hAnsi="Arial" w:cs="Arial"/>
          <w:sz w:val="24"/>
          <w:szCs w:val="24"/>
          <w:vertAlign w:val="subscript"/>
          <w:lang w:val="en-US" w:eastAsia="es-ES"/>
        </w:rPr>
        <w:t>em380</w:t>
      </w:r>
      <w:r>
        <w:rPr>
          <w:rFonts w:ascii="Arial" w:eastAsia="Times New Roman" w:hAnsi="Arial" w:cs="Arial"/>
          <w:sz w:val="24"/>
          <w:szCs w:val="24"/>
          <w:lang w:val="en-US" w:eastAsia="es-ES"/>
        </w:rPr>
        <w:t>/I</w:t>
      </w:r>
      <w:r>
        <w:rPr>
          <w:rFonts w:ascii="Arial" w:eastAsia="Times New Roman" w:hAnsi="Arial" w:cs="Arial"/>
          <w:sz w:val="24"/>
          <w:szCs w:val="24"/>
          <w:vertAlign w:val="subscript"/>
          <w:lang w:val="en-US" w:eastAsia="es-ES"/>
        </w:rPr>
        <w:t>em430</w:t>
      </w:r>
      <w:r>
        <w:rPr>
          <w:rFonts w:ascii="Arial" w:eastAsia="Times New Roman" w:hAnsi="Arial" w:cs="Arial"/>
          <w:sz w:val="24"/>
          <w:szCs w:val="24"/>
          <w:lang w:val="en-US" w:eastAsia="es-ES"/>
        </w:rPr>
        <w:t>, at Ex = 310 nm</w:t>
      </w:r>
      <w:r>
        <w:rPr>
          <w:rFonts w:ascii="Arial" w:eastAsia="Times New Roman" w:hAnsi="Arial" w:cs="Arial"/>
          <w:sz w:val="24"/>
          <w:szCs w:val="24"/>
          <w:lang w:val="en-US" w:eastAsia="es-ES"/>
        </w:rPr>
        <w:tab/>
      </w:r>
      <w:r>
        <w:rPr>
          <w:rFonts w:ascii="Arial" w:eastAsia="Times New Roman" w:hAnsi="Arial" w:cs="Arial"/>
          <w:sz w:val="24"/>
          <w:szCs w:val="24"/>
          <w:lang w:val="en-US" w:eastAsia="es-ES"/>
        </w:rPr>
        <w:tab/>
      </w:r>
      <w:r>
        <w:rPr>
          <w:rFonts w:ascii="Arial" w:eastAsia="Times New Roman" w:hAnsi="Arial" w:cs="Arial"/>
          <w:sz w:val="24"/>
          <w:szCs w:val="24"/>
          <w:lang w:val="en-US" w:eastAsia="es-ES"/>
        </w:rPr>
        <w:tab/>
      </w:r>
      <w:r>
        <w:rPr>
          <w:rFonts w:ascii="Arial" w:eastAsia="Times New Roman" w:hAnsi="Arial" w:cs="Arial"/>
          <w:sz w:val="24"/>
          <w:szCs w:val="24"/>
          <w:lang w:val="en-US" w:eastAsia="es-ES"/>
        </w:rPr>
        <w:tab/>
      </w:r>
      <w:r>
        <w:rPr>
          <w:rFonts w:ascii="Arial" w:eastAsia="Times New Roman" w:hAnsi="Arial" w:cs="Arial"/>
          <w:sz w:val="24"/>
          <w:szCs w:val="24"/>
          <w:lang w:val="en-US" w:eastAsia="es-ES"/>
        </w:rPr>
        <w:tab/>
      </w:r>
      <w:r>
        <w:rPr>
          <w:rFonts w:ascii="Arial" w:eastAsia="Times New Roman" w:hAnsi="Arial" w:cs="Arial"/>
          <w:sz w:val="24"/>
          <w:szCs w:val="24"/>
          <w:lang w:val="en-US" w:eastAsia="es-ES"/>
        </w:rPr>
        <w:tab/>
      </w:r>
      <w:r>
        <w:rPr>
          <w:rFonts w:ascii="Arial" w:eastAsiaTheme="minorEastAsia" w:hAnsi="Arial" w:cs="Arial"/>
          <w:b/>
          <w:lang w:val="en-US"/>
        </w:rPr>
        <w:t>Equation 3</w:t>
      </w:r>
    </w:p>
    <w:p w:rsidR="006F0224" w:rsidRDefault="006A5689">
      <w:pPr>
        <w:spacing w:before="100" w:beforeAutospacing="1" w:after="100" w:afterAutospacing="1" w:line="360" w:lineRule="auto"/>
        <w:rPr>
          <w:rFonts w:ascii="Arial" w:eastAsia="Times New Roman" w:hAnsi="Arial" w:cs="Arial"/>
          <w:sz w:val="24"/>
          <w:szCs w:val="24"/>
          <w:lang w:val="en-US" w:eastAsia="es-ES"/>
        </w:rPr>
      </w:pPr>
      <w:r>
        <w:rPr>
          <w:rFonts w:ascii="Arial" w:eastAsia="Times New Roman" w:hAnsi="Arial" w:cs="Arial"/>
          <w:b/>
          <w:bCs/>
          <w:sz w:val="24"/>
          <w:szCs w:val="24"/>
          <w:lang w:val="en-US" w:eastAsia="es-ES"/>
        </w:rPr>
        <w:t>Peak C/Peak T ratio.</w:t>
      </w:r>
      <w:r>
        <w:rPr>
          <w:rFonts w:ascii="Arial" w:eastAsia="Times New Roman" w:hAnsi="Arial" w:cs="Arial"/>
          <w:sz w:val="24"/>
          <w:szCs w:val="24"/>
          <w:lang w:val="en-US" w:eastAsia="es-ES"/>
        </w:rPr>
        <w:t xml:space="preserve"> This ratio provides insights into the balance between hu</w:t>
      </w:r>
      <w:r>
        <w:rPr>
          <w:rFonts w:ascii="Arial" w:eastAsia="Times New Roman" w:hAnsi="Arial" w:cs="Arial"/>
          <w:sz w:val="24"/>
          <w:szCs w:val="24"/>
          <w:lang w:val="en-US" w:eastAsia="es-ES"/>
        </w:rPr>
        <w:t>mic-like (recalcitrant) and protein-like (labile) dissolved organic matter (DOM) in a water sample (Coble, 1996). Peak C corresponds to humic substances, which are typically more stable, aromatic, and resistant to degradation. In contrast, Peak T represent</w:t>
      </w:r>
      <w:r>
        <w:rPr>
          <w:rFonts w:ascii="Arial" w:eastAsia="Times New Roman" w:hAnsi="Arial" w:cs="Arial"/>
          <w:sz w:val="24"/>
          <w:szCs w:val="24"/>
          <w:lang w:val="en-US" w:eastAsia="es-ES"/>
        </w:rPr>
        <w:t>s protein-like, freshly produced organic matter that is more biologically available and rapidly decomposed. Peak C and Peak T are calculated based on fluorescence intensities. Peak C corresponds to the maximum emission intensity within the range of 420–480</w:t>
      </w:r>
      <w:r>
        <w:rPr>
          <w:rFonts w:ascii="Arial" w:eastAsia="Times New Roman" w:hAnsi="Arial" w:cs="Arial"/>
          <w:sz w:val="24"/>
          <w:szCs w:val="24"/>
          <w:lang w:val="en-US" w:eastAsia="es-ES"/>
        </w:rPr>
        <w:t xml:space="preserve"> nm at an excitation wavelength of 350 nm, while Peak T corresponds to the maximum emission intensity within the range 330 -350 nm at an excitation wavelength of 275 nm.</w:t>
      </w:r>
    </w:p>
    <w:p w:rsidR="006F0224" w:rsidRDefault="006A5689">
      <w:pPr>
        <w:spacing w:before="100" w:beforeAutospacing="1" w:after="100" w:afterAutospacing="1" w:line="360" w:lineRule="auto"/>
        <w:rPr>
          <w:rFonts w:ascii="Arial" w:eastAsia="Times New Roman" w:hAnsi="Arial" w:cs="Arial"/>
          <w:sz w:val="24"/>
          <w:szCs w:val="24"/>
          <w:lang w:val="en-US" w:eastAsia="es-ES"/>
        </w:rPr>
      </w:pPr>
      <w:r>
        <w:rPr>
          <w:rFonts w:ascii="Arial" w:eastAsia="Times New Roman" w:hAnsi="Arial" w:cs="Arial"/>
          <w:sz w:val="24"/>
          <w:szCs w:val="24"/>
          <w:lang w:val="en-US" w:eastAsia="es-ES"/>
        </w:rPr>
        <w:t>PeakC /PeakT =</w:t>
      </w:r>
      <w:r>
        <w:rPr>
          <w:rFonts w:ascii="Arial" w:hAnsi="Arial" w:cs="Arial"/>
          <w:lang w:val="en-US"/>
        </w:rPr>
        <w:t xml:space="preserve"> max</w:t>
      </w:r>
      <w:r>
        <w:rPr>
          <w:rFonts w:ascii="Arial" w:eastAsia="Times New Roman" w:hAnsi="Arial" w:cs="Arial"/>
          <w:sz w:val="24"/>
          <w:szCs w:val="24"/>
          <w:lang w:val="en-US" w:eastAsia="es-ES"/>
        </w:rPr>
        <w:t>I</w:t>
      </w:r>
      <w:r>
        <w:rPr>
          <w:rFonts w:ascii="Arial" w:eastAsia="Times New Roman" w:hAnsi="Arial" w:cs="Arial"/>
          <w:sz w:val="24"/>
          <w:szCs w:val="24"/>
          <w:vertAlign w:val="subscript"/>
          <w:lang w:val="en-US" w:eastAsia="es-ES"/>
        </w:rPr>
        <w:t xml:space="preserve">ex350,em420-480  </w:t>
      </w:r>
      <w:r>
        <w:rPr>
          <w:rFonts w:ascii="Arial" w:eastAsia="Times New Roman" w:hAnsi="Arial" w:cs="Arial"/>
          <w:sz w:val="24"/>
          <w:szCs w:val="24"/>
          <w:lang w:val="en-US" w:eastAsia="es-ES"/>
        </w:rPr>
        <w:t>/ maxI</w:t>
      </w:r>
      <w:r>
        <w:rPr>
          <w:rFonts w:ascii="Arial" w:eastAsia="Times New Roman" w:hAnsi="Arial" w:cs="Arial"/>
          <w:sz w:val="24"/>
          <w:szCs w:val="24"/>
          <w:vertAlign w:val="subscript"/>
          <w:lang w:val="en-US" w:eastAsia="es-ES"/>
        </w:rPr>
        <w:t>ex275,em330-350</w:t>
      </w:r>
      <w:r>
        <w:rPr>
          <w:rFonts w:ascii="Arial" w:eastAsia="Times New Roman" w:hAnsi="Arial" w:cs="Arial"/>
          <w:sz w:val="24"/>
          <w:szCs w:val="24"/>
          <w:vertAlign w:val="subscript"/>
          <w:lang w:val="en-US" w:eastAsia="es-ES"/>
        </w:rPr>
        <w:tab/>
      </w:r>
      <w:r>
        <w:rPr>
          <w:rFonts w:ascii="Arial" w:eastAsia="Times New Roman" w:hAnsi="Arial" w:cs="Arial"/>
          <w:sz w:val="24"/>
          <w:szCs w:val="24"/>
          <w:vertAlign w:val="subscript"/>
          <w:lang w:val="en-US" w:eastAsia="es-ES"/>
        </w:rPr>
        <w:tab/>
      </w:r>
      <w:r>
        <w:rPr>
          <w:rFonts w:ascii="Arial" w:eastAsia="Times New Roman" w:hAnsi="Arial" w:cs="Arial"/>
          <w:sz w:val="24"/>
          <w:szCs w:val="24"/>
          <w:vertAlign w:val="subscript"/>
          <w:lang w:val="en-US" w:eastAsia="es-ES"/>
        </w:rPr>
        <w:tab/>
      </w:r>
      <w:r>
        <w:rPr>
          <w:rFonts w:ascii="Arial" w:eastAsiaTheme="minorEastAsia" w:hAnsi="Arial" w:cs="Arial"/>
          <w:b/>
          <w:lang w:val="en-US"/>
        </w:rPr>
        <w:t>Equation 4</w:t>
      </w:r>
    </w:p>
    <w:p w:rsidR="006F0224" w:rsidRDefault="006A5689">
      <w:pPr>
        <w:spacing w:before="100" w:beforeAutospacing="1" w:after="100" w:afterAutospacing="1" w:line="360" w:lineRule="auto"/>
        <w:jc w:val="both"/>
        <w:rPr>
          <w:rFonts w:ascii="Arial" w:eastAsia="Times New Roman" w:hAnsi="Arial" w:cs="Arial"/>
          <w:sz w:val="24"/>
          <w:szCs w:val="24"/>
          <w:lang w:val="en-US" w:eastAsia="es-ES"/>
        </w:rPr>
      </w:pPr>
      <w:r>
        <w:rPr>
          <w:rFonts w:ascii="Arial" w:eastAsia="Times New Roman" w:hAnsi="Arial" w:cs="Arial"/>
          <w:sz w:val="24"/>
          <w:szCs w:val="24"/>
          <w:lang w:val="en-US" w:eastAsia="es-ES"/>
        </w:rPr>
        <w:t xml:space="preserve">The values </w:t>
      </w:r>
      <w:r>
        <w:rPr>
          <w:rFonts w:ascii="Arial" w:eastAsia="Times New Roman" w:hAnsi="Arial" w:cs="Arial"/>
          <w:sz w:val="24"/>
          <w:szCs w:val="24"/>
          <w:lang w:val="en-US" w:eastAsia="es-ES"/>
        </w:rPr>
        <w:t xml:space="preserve">calculated for each index provide unique insights into the DOM characteristics. However, these indices are not universally applicable, as various factors, including environmental conditions and experimental settings (e.g., water type, seasonal temperature </w:t>
      </w:r>
      <w:r>
        <w:rPr>
          <w:rFonts w:ascii="Arial" w:eastAsia="Times New Roman" w:hAnsi="Arial" w:cs="Arial"/>
          <w:sz w:val="24"/>
          <w:szCs w:val="24"/>
          <w:lang w:val="en-US" w:eastAsia="es-ES"/>
        </w:rPr>
        <w:t>variations and others), can influence their values and subsequent interpretation (Huguet et al., 2009).</w:t>
      </w:r>
    </w:p>
    <w:p w:rsidR="006F0224" w:rsidRDefault="006A5689">
      <w:pPr>
        <w:spacing w:line="360" w:lineRule="auto"/>
        <w:jc w:val="both"/>
        <w:rPr>
          <w:rFonts w:ascii="Arial" w:eastAsia="Times New Roman" w:hAnsi="Arial" w:cs="Arial"/>
          <w:b/>
          <w:bCs/>
          <w:iCs/>
          <w:sz w:val="24"/>
          <w:szCs w:val="24"/>
          <w:lang w:val="en-US" w:eastAsia="es-ES"/>
        </w:rPr>
      </w:pPr>
      <w:r>
        <w:rPr>
          <w:rFonts w:ascii="Arial" w:eastAsia="Times New Roman" w:hAnsi="Arial" w:cs="Arial"/>
          <w:b/>
          <w:bCs/>
          <w:iCs/>
          <w:sz w:val="24"/>
          <w:szCs w:val="24"/>
          <w:lang w:val="en-US" w:eastAsia="es-ES"/>
        </w:rPr>
        <w:t>Results</w:t>
      </w:r>
    </w:p>
    <w:p w:rsidR="006F0224" w:rsidRDefault="006A5689">
      <w:pPr>
        <w:spacing w:line="360" w:lineRule="auto"/>
        <w:jc w:val="both"/>
        <w:rPr>
          <w:rFonts w:ascii="Arial" w:hAnsi="Arial" w:cs="Arial"/>
          <w:iCs/>
          <w:lang w:val="en-US"/>
        </w:rPr>
      </w:pPr>
      <w:r>
        <w:rPr>
          <w:rFonts w:ascii="Arial" w:eastAsia="Times New Roman" w:hAnsi="Arial" w:cs="Arial"/>
          <w:iCs/>
          <w:sz w:val="24"/>
          <w:szCs w:val="24"/>
          <w:lang w:val="en-US" w:eastAsia="es-ES"/>
        </w:rPr>
        <w:t>Fluorescence indices</w:t>
      </w:r>
    </w:p>
    <w:p w:rsidR="006F0224" w:rsidRDefault="006A5689">
      <w:pPr>
        <w:spacing w:before="100" w:beforeAutospacing="1" w:after="100" w:afterAutospacing="1" w:line="360" w:lineRule="auto"/>
        <w:ind w:firstLine="708"/>
        <w:jc w:val="both"/>
        <w:rPr>
          <w:rFonts w:ascii="Arial" w:eastAsia="Times New Roman" w:hAnsi="Arial" w:cs="Arial"/>
          <w:sz w:val="24"/>
          <w:szCs w:val="24"/>
          <w:lang w:val="en-US" w:eastAsia="es-ES"/>
        </w:rPr>
      </w:pPr>
      <w:r>
        <w:rPr>
          <w:rFonts w:ascii="Arial" w:eastAsia="Times New Roman" w:hAnsi="Arial" w:cs="Arial"/>
          <w:sz w:val="24"/>
          <w:szCs w:val="24"/>
          <w:lang w:val="en-US" w:eastAsia="es-ES"/>
        </w:rPr>
        <w:t xml:space="preserve">The </w:t>
      </w:r>
      <w:r>
        <w:rPr>
          <w:rFonts w:ascii="Arial" w:eastAsia="Times New Roman" w:hAnsi="Arial" w:cs="Arial"/>
          <w:bCs/>
          <w:sz w:val="24"/>
          <w:szCs w:val="24"/>
          <w:lang w:val="en-US" w:eastAsia="es-ES"/>
        </w:rPr>
        <w:t>FI</w:t>
      </w:r>
      <w:r>
        <w:rPr>
          <w:rFonts w:ascii="Arial" w:eastAsia="Times New Roman" w:hAnsi="Arial" w:cs="Arial"/>
          <w:sz w:val="24"/>
          <w:szCs w:val="24"/>
          <w:lang w:val="en-US" w:eastAsia="es-ES"/>
        </w:rPr>
        <w:t xml:space="preserve"> values ranged from 1.3 to 2.8 across the samples, indicating a variation between terrestrial and microbial DOM sourc</w:t>
      </w:r>
      <w:r>
        <w:rPr>
          <w:rFonts w:ascii="Arial" w:eastAsia="Times New Roman" w:hAnsi="Arial" w:cs="Arial"/>
          <w:sz w:val="24"/>
          <w:szCs w:val="24"/>
          <w:lang w:val="en-US" w:eastAsia="es-ES"/>
        </w:rPr>
        <w:t xml:space="preserve">es. Generally, FI values below 1.4 suggest a predominantly terrestrial source, while values above 1.9 imply a microbial origin (McKnight et al., 2001). In this study, samples R2 and R4, with FI values of 1.30 and 1.43, respectively, were likely influenced </w:t>
      </w:r>
      <w:r>
        <w:rPr>
          <w:rFonts w:ascii="Arial" w:eastAsia="Times New Roman" w:hAnsi="Arial" w:cs="Arial"/>
          <w:sz w:val="24"/>
          <w:szCs w:val="24"/>
          <w:lang w:val="en-US" w:eastAsia="es-ES"/>
        </w:rPr>
        <w:t xml:space="preserve">by terrestrial sources. Conversely, samples with higher FI values, such as R5, R7, R8, and R9 (1.95, 1.99, 2.72 and 2.78, respectively), suggested a stronger microbial influence. The highest </w:t>
      </w:r>
      <w:r>
        <w:rPr>
          <w:rFonts w:ascii="Arial" w:eastAsia="Times New Roman" w:hAnsi="Arial" w:cs="Arial"/>
          <w:sz w:val="24"/>
          <w:szCs w:val="24"/>
          <w:lang w:val="en-US" w:eastAsia="es-ES"/>
        </w:rPr>
        <w:lastRenderedPageBreak/>
        <w:t>FI values, observed in R8 and R9, collected before and after a wa</w:t>
      </w:r>
      <w:r>
        <w:rPr>
          <w:rFonts w:ascii="Arial" w:eastAsia="Times New Roman" w:hAnsi="Arial" w:cs="Arial"/>
          <w:sz w:val="24"/>
          <w:szCs w:val="24"/>
          <w:lang w:val="en-US" w:eastAsia="es-ES"/>
        </w:rPr>
        <w:t>stewater treatment plant (WTP) on the Ter River, indicated a significant contribution of microbial derived DOM, likely impacted by urban and agricultural inputs.</w:t>
      </w:r>
    </w:p>
    <w:p w:rsidR="006F0224" w:rsidRDefault="006A5689">
      <w:pPr>
        <w:spacing w:before="100" w:beforeAutospacing="1" w:after="100" w:afterAutospacing="1" w:line="360" w:lineRule="auto"/>
        <w:ind w:firstLine="708"/>
        <w:jc w:val="both"/>
        <w:rPr>
          <w:rFonts w:ascii="Arial" w:eastAsia="Times New Roman" w:hAnsi="Arial" w:cs="Arial"/>
          <w:sz w:val="24"/>
          <w:szCs w:val="24"/>
          <w:lang w:val="en-US" w:eastAsia="es-ES"/>
        </w:rPr>
      </w:pPr>
      <w:r>
        <w:rPr>
          <w:rFonts w:ascii="Arial" w:hAnsi="Arial" w:cs="Arial"/>
          <w:sz w:val="24"/>
          <w:szCs w:val="24"/>
          <w:lang w:val="en-US"/>
        </w:rPr>
        <w:t xml:space="preserve">The </w:t>
      </w:r>
      <w:r>
        <w:rPr>
          <w:rStyle w:val="Strong"/>
          <w:rFonts w:ascii="Arial" w:hAnsi="Arial" w:cs="Arial"/>
          <w:b w:val="0"/>
          <w:sz w:val="24"/>
          <w:szCs w:val="24"/>
          <w:lang w:val="en-US"/>
        </w:rPr>
        <w:t>HIX</w:t>
      </w:r>
      <w:r>
        <w:rPr>
          <w:rFonts w:ascii="Arial" w:hAnsi="Arial" w:cs="Arial"/>
          <w:sz w:val="24"/>
          <w:szCs w:val="24"/>
          <w:lang w:val="en-US"/>
        </w:rPr>
        <w:t xml:space="preserve"> values across all samples were below 1.0, indicating a low degree of humification</w:t>
      </w:r>
      <w:r>
        <w:rPr>
          <w:rFonts w:ascii="Arial" w:hAnsi="Arial" w:cs="Arial"/>
          <w:sz w:val="24"/>
          <w:szCs w:val="24"/>
          <w:lang w:val="en-US"/>
        </w:rPr>
        <w:t xml:space="preserve"> and suggesting the presence of freshly produced or autochthonous organic matter. Typically, HIX values between 10 and 16 denote a strong humic character, primarily from terrestrial sources (Ohno, 2002), whereas values below 4 reflect less humified, autoch</w:t>
      </w:r>
      <w:r>
        <w:rPr>
          <w:rFonts w:ascii="Arial" w:hAnsi="Arial" w:cs="Arial"/>
          <w:sz w:val="24"/>
          <w:szCs w:val="24"/>
          <w:lang w:val="en-US"/>
        </w:rPr>
        <w:t>thonous material. In this study, the consistently low HIX values (0.49 to 0.92) indicated DOM of recent microbial or autochthonous origin. This interpretation was particularly plausible given that the sampling campaign took place in spring, following the c</w:t>
      </w:r>
      <w:r>
        <w:rPr>
          <w:rFonts w:ascii="Arial" w:hAnsi="Arial" w:cs="Arial"/>
          <w:sz w:val="24"/>
          <w:szCs w:val="24"/>
          <w:lang w:val="en-US"/>
        </w:rPr>
        <w:t>old winter temperatures in the Catalan Pyrenees. As temperatures rise, microbial activity tends to increase, leading to the production of recently generated DOM. This seasonal factor supported the observation of low HIX values, as microbial communities bec</w:t>
      </w:r>
      <w:r>
        <w:rPr>
          <w:rFonts w:ascii="Arial" w:hAnsi="Arial" w:cs="Arial"/>
          <w:sz w:val="24"/>
          <w:szCs w:val="24"/>
          <w:lang w:val="en-US"/>
        </w:rPr>
        <w:t xml:space="preserve">ome more active and contributed with freshly derived DOM to the river waters. </w:t>
      </w:r>
    </w:p>
    <w:p w:rsidR="006F0224" w:rsidRDefault="006A5689">
      <w:pPr>
        <w:spacing w:before="100" w:beforeAutospacing="1" w:after="100" w:afterAutospacing="1" w:line="360" w:lineRule="auto"/>
        <w:ind w:firstLine="708"/>
        <w:jc w:val="both"/>
        <w:rPr>
          <w:rFonts w:ascii="Arial" w:eastAsia="Times New Roman" w:hAnsi="Arial" w:cs="Arial"/>
          <w:sz w:val="24"/>
          <w:szCs w:val="24"/>
          <w:lang w:val="en-US" w:eastAsia="es-ES"/>
        </w:rPr>
      </w:pPr>
      <w:r>
        <w:rPr>
          <w:rFonts w:ascii="Arial" w:eastAsia="Times New Roman" w:hAnsi="Arial" w:cs="Arial"/>
          <w:sz w:val="24"/>
          <w:szCs w:val="24"/>
          <w:lang w:val="en-US" w:eastAsia="es-ES"/>
        </w:rPr>
        <w:t xml:space="preserve">The </w:t>
      </w:r>
      <w:r>
        <w:rPr>
          <w:rFonts w:ascii="Arial" w:eastAsia="Times New Roman" w:hAnsi="Arial" w:cs="Arial"/>
          <w:bCs/>
          <w:sz w:val="24"/>
          <w:szCs w:val="24"/>
          <w:lang w:val="en-US" w:eastAsia="es-ES"/>
        </w:rPr>
        <w:t>BIX</w:t>
      </w:r>
      <w:r>
        <w:rPr>
          <w:rFonts w:ascii="Arial" w:eastAsia="Times New Roman" w:hAnsi="Arial" w:cs="Arial"/>
          <w:sz w:val="24"/>
          <w:szCs w:val="24"/>
          <w:lang w:val="en-US" w:eastAsia="es-ES"/>
        </w:rPr>
        <w:t xml:space="preserve"> values ranged from 0.5 to 0.9, with most samples presenting values below 0.8. A BIX value above 1.0 typically indicates high autochthonous biological activity, while val</w:t>
      </w:r>
      <w:r>
        <w:rPr>
          <w:rFonts w:ascii="Arial" w:eastAsia="Times New Roman" w:hAnsi="Arial" w:cs="Arial"/>
          <w:sz w:val="24"/>
          <w:szCs w:val="24"/>
          <w:lang w:val="en-US" w:eastAsia="es-ES"/>
        </w:rPr>
        <w:t>ues between 0.6 and 0.7 suggest lower DOM production in natural waters (Huguet et al., 2009). In this study, only sample R8 presented a BIX value approaching 0.9, indicating moderate biological activity and the presence of freshly produced DOM. The general</w:t>
      </w:r>
      <w:r>
        <w:rPr>
          <w:rFonts w:ascii="Arial" w:eastAsia="Times New Roman" w:hAnsi="Arial" w:cs="Arial"/>
          <w:sz w:val="24"/>
          <w:szCs w:val="24"/>
          <w:lang w:val="en-US" w:eastAsia="es-ES"/>
        </w:rPr>
        <w:t>ly low BIX values across the samples reflected stable DOM conditions with reduced biodegradation impacts. This observed stability was consistent with the alpine samples (R2, R4, R5, R6, and R7), where natural waters are less affected by anthropogenic impac</w:t>
      </w:r>
      <w:r>
        <w:rPr>
          <w:rFonts w:ascii="Arial" w:eastAsia="Times New Roman" w:hAnsi="Arial" w:cs="Arial"/>
          <w:sz w:val="24"/>
          <w:szCs w:val="24"/>
          <w:lang w:val="en-US" w:eastAsia="es-ES"/>
        </w:rPr>
        <w:t>ts and microbial degradation compared to lower-altitude sites.</w:t>
      </w:r>
    </w:p>
    <w:p w:rsidR="006F0224" w:rsidRDefault="006A5689">
      <w:pPr>
        <w:spacing w:before="100" w:beforeAutospacing="1" w:after="100" w:afterAutospacing="1" w:line="360" w:lineRule="auto"/>
        <w:jc w:val="both"/>
        <w:rPr>
          <w:rFonts w:ascii="Arial" w:eastAsia="Times New Roman" w:hAnsi="Arial" w:cs="Arial"/>
          <w:sz w:val="24"/>
          <w:szCs w:val="24"/>
          <w:lang w:val="en-US" w:eastAsia="es-ES"/>
        </w:rPr>
      </w:pPr>
      <w:r>
        <w:rPr>
          <w:rFonts w:ascii="Arial" w:hAnsi="Arial" w:cs="Arial"/>
          <w:sz w:val="24"/>
          <w:szCs w:val="24"/>
          <w:lang w:val="en-US"/>
        </w:rPr>
        <w:t xml:space="preserve">The </w:t>
      </w:r>
      <w:r>
        <w:rPr>
          <w:rStyle w:val="Strong"/>
          <w:rFonts w:ascii="Arial" w:hAnsi="Arial" w:cs="Arial"/>
          <w:b w:val="0"/>
          <w:sz w:val="24"/>
          <w:szCs w:val="24"/>
          <w:lang w:val="en-US"/>
        </w:rPr>
        <w:t>Peak C/Peak T ratios</w:t>
      </w:r>
      <w:r>
        <w:rPr>
          <w:rFonts w:ascii="Arial" w:hAnsi="Arial" w:cs="Arial"/>
          <w:sz w:val="24"/>
          <w:szCs w:val="24"/>
          <w:lang w:val="en-US"/>
        </w:rPr>
        <w:t xml:space="preserve"> further supported the results on DOM composition. Higher ratios</w:t>
      </w:r>
      <w:r>
        <w:rPr>
          <w:rFonts w:ascii="Arial" w:hAnsi="Arial" w:cs="Arial"/>
          <w:bCs/>
          <w:sz w:val="24"/>
          <w:szCs w:val="24"/>
          <w:lang w:val="en-US"/>
        </w:rPr>
        <w:t xml:space="preserve"> in</w:t>
      </w:r>
      <w:r>
        <w:rPr>
          <w:rFonts w:ascii="Arial" w:hAnsi="Arial" w:cs="Arial"/>
          <w:b/>
          <w:sz w:val="24"/>
          <w:szCs w:val="24"/>
          <w:lang w:val="en-US"/>
        </w:rPr>
        <w:t xml:space="preserve"> </w:t>
      </w:r>
      <w:r>
        <w:rPr>
          <w:rStyle w:val="Strong"/>
          <w:rFonts w:ascii="Arial" w:hAnsi="Arial" w:cs="Arial"/>
          <w:b w:val="0"/>
          <w:sz w:val="24"/>
          <w:szCs w:val="24"/>
          <w:lang w:val="en-US"/>
        </w:rPr>
        <w:t>R1, R5, R8, and R9</w:t>
      </w:r>
      <w:r>
        <w:rPr>
          <w:rFonts w:ascii="Arial" w:hAnsi="Arial" w:cs="Arial"/>
          <w:b/>
          <w:sz w:val="24"/>
          <w:szCs w:val="24"/>
          <w:lang w:val="en-US"/>
        </w:rPr>
        <w:t xml:space="preserve"> </w:t>
      </w:r>
      <w:r>
        <w:rPr>
          <w:rFonts w:ascii="Arial" w:hAnsi="Arial" w:cs="Arial"/>
          <w:sz w:val="24"/>
          <w:szCs w:val="24"/>
          <w:lang w:val="en-US"/>
        </w:rPr>
        <w:t xml:space="preserve">(3.1, 1.6, 1.5, and 2.9, respectively) suggested a dominance of </w:t>
      </w:r>
      <w:r>
        <w:rPr>
          <w:rStyle w:val="Strong"/>
          <w:rFonts w:ascii="Arial" w:hAnsi="Arial" w:cs="Arial"/>
          <w:b w:val="0"/>
          <w:sz w:val="24"/>
          <w:szCs w:val="24"/>
          <w:lang w:val="en-US"/>
        </w:rPr>
        <w:t>recalcitrant, humi</w:t>
      </w:r>
      <w:r>
        <w:rPr>
          <w:rStyle w:val="Strong"/>
          <w:rFonts w:ascii="Arial" w:hAnsi="Arial" w:cs="Arial"/>
          <w:b w:val="0"/>
          <w:sz w:val="24"/>
          <w:szCs w:val="24"/>
          <w:lang w:val="en-US"/>
        </w:rPr>
        <w:t>c-like DOM</w:t>
      </w:r>
      <w:r>
        <w:rPr>
          <w:rFonts w:ascii="Arial" w:hAnsi="Arial" w:cs="Arial"/>
          <w:b/>
          <w:sz w:val="24"/>
          <w:szCs w:val="24"/>
          <w:lang w:val="en-US"/>
        </w:rPr>
        <w:t>,</w:t>
      </w:r>
      <w:r>
        <w:rPr>
          <w:rFonts w:ascii="Arial" w:hAnsi="Arial" w:cs="Arial"/>
          <w:sz w:val="24"/>
          <w:szCs w:val="24"/>
          <w:lang w:val="en-US"/>
        </w:rPr>
        <w:t xml:space="preserve"> likely due to the accumulation of humic substances. The higher ratios in the high-altitude rivers </w:t>
      </w:r>
      <w:r>
        <w:rPr>
          <w:rStyle w:val="Strong"/>
          <w:rFonts w:ascii="Arial" w:hAnsi="Arial" w:cs="Arial"/>
          <w:b w:val="0"/>
          <w:sz w:val="24"/>
          <w:szCs w:val="24"/>
          <w:lang w:val="en-US"/>
        </w:rPr>
        <w:t>R1 and R5</w:t>
      </w:r>
      <w:r>
        <w:rPr>
          <w:rFonts w:ascii="Arial" w:hAnsi="Arial" w:cs="Arial"/>
          <w:sz w:val="24"/>
          <w:szCs w:val="24"/>
          <w:lang w:val="en-US"/>
        </w:rPr>
        <w:t xml:space="preserve"> may result from colder spring temperatures, which limited microbial degradation and allowed humic DOM to persist. In contrast, the incre</w:t>
      </w:r>
      <w:r>
        <w:rPr>
          <w:rFonts w:ascii="Arial" w:hAnsi="Arial" w:cs="Arial"/>
          <w:sz w:val="24"/>
          <w:szCs w:val="24"/>
          <w:lang w:val="en-US"/>
        </w:rPr>
        <w:t xml:space="preserve">ase in the ratio from </w:t>
      </w:r>
      <w:r>
        <w:rPr>
          <w:rStyle w:val="Strong"/>
          <w:rFonts w:ascii="Arial" w:hAnsi="Arial" w:cs="Arial"/>
          <w:b w:val="0"/>
          <w:sz w:val="24"/>
          <w:szCs w:val="24"/>
          <w:lang w:val="en-US"/>
        </w:rPr>
        <w:t>R8 (upstream of the WTP) to R9 (downstream of the WTP)</w:t>
      </w:r>
      <w:r>
        <w:rPr>
          <w:rFonts w:ascii="Arial" w:hAnsi="Arial" w:cs="Arial"/>
          <w:sz w:val="24"/>
          <w:szCs w:val="24"/>
          <w:lang w:val="en-US"/>
        </w:rPr>
        <w:t xml:space="preserve"> suggested that the treatment process likely removed </w:t>
      </w:r>
      <w:r>
        <w:rPr>
          <w:rFonts w:ascii="Arial" w:hAnsi="Arial" w:cs="Arial"/>
          <w:sz w:val="24"/>
          <w:szCs w:val="24"/>
          <w:lang w:val="en-US"/>
        </w:rPr>
        <w:lastRenderedPageBreak/>
        <w:t xml:space="preserve">much of the protein fractions, shifting the balance toward humic fractions. Lower ratios in mid-altitude rivers </w:t>
      </w:r>
      <w:r>
        <w:rPr>
          <w:rStyle w:val="Strong"/>
          <w:rFonts w:ascii="Arial" w:hAnsi="Arial" w:cs="Arial"/>
          <w:b w:val="0"/>
          <w:sz w:val="24"/>
          <w:szCs w:val="24"/>
          <w:lang w:val="en-US"/>
        </w:rPr>
        <w:t>R3 and R6</w:t>
      </w:r>
      <w:r>
        <w:rPr>
          <w:rFonts w:ascii="Arial" w:hAnsi="Arial" w:cs="Arial"/>
          <w:sz w:val="24"/>
          <w:szCs w:val="24"/>
          <w:lang w:val="en-US"/>
        </w:rPr>
        <w:t xml:space="preserve"> indic</w:t>
      </w:r>
      <w:r>
        <w:rPr>
          <w:rFonts w:ascii="Arial" w:hAnsi="Arial" w:cs="Arial"/>
          <w:sz w:val="24"/>
          <w:szCs w:val="24"/>
          <w:lang w:val="en-US"/>
        </w:rPr>
        <w:t xml:space="preserve">ated a higher proportion of </w:t>
      </w:r>
      <w:r>
        <w:rPr>
          <w:rStyle w:val="Strong"/>
          <w:rFonts w:ascii="Arial" w:hAnsi="Arial" w:cs="Arial"/>
          <w:b w:val="0"/>
          <w:sz w:val="24"/>
          <w:szCs w:val="24"/>
          <w:lang w:val="en-US"/>
        </w:rPr>
        <w:t xml:space="preserve">protein-like, freshly produced DOM. This fact was </w:t>
      </w:r>
      <w:r>
        <w:rPr>
          <w:rFonts w:ascii="Arial" w:hAnsi="Arial" w:cs="Arial"/>
          <w:sz w:val="24"/>
          <w:szCs w:val="24"/>
          <w:lang w:val="en-US"/>
        </w:rPr>
        <w:t xml:space="preserve">likely due to recently activated microbial activity or anthropogenic inputs, such as agricultural runoff. </w:t>
      </w:r>
    </w:p>
    <w:p w:rsidR="006F0224" w:rsidRDefault="006A5689">
      <w:pPr>
        <w:spacing w:before="100" w:beforeAutospacing="1" w:after="100" w:afterAutospacing="1" w:line="360" w:lineRule="auto"/>
        <w:ind w:firstLine="561"/>
        <w:jc w:val="both"/>
        <w:rPr>
          <w:rFonts w:ascii="Arial" w:eastAsia="Times New Roman" w:hAnsi="Arial" w:cs="Arial"/>
          <w:sz w:val="24"/>
          <w:szCs w:val="24"/>
          <w:lang w:val="en-US" w:eastAsia="es-ES"/>
        </w:rPr>
      </w:pPr>
      <w:r>
        <w:rPr>
          <w:rFonts w:ascii="Arial" w:eastAsia="Times New Roman" w:hAnsi="Arial" w:cs="Arial"/>
          <w:sz w:val="24"/>
          <w:szCs w:val="24"/>
          <w:lang w:val="en-US" w:eastAsia="es-ES"/>
        </w:rPr>
        <w:t>The generally low HIX values, combined with moderate FI and low BIX, su</w:t>
      </w:r>
      <w:r>
        <w:rPr>
          <w:rFonts w:ascii="Arial" w:eastAsia="Times New Roman" w:hAnsi="Arial" w:cs="Arial"/>
          <w:sz w:val="24"/>
          <w:szCs w:val="24"/>
          <w:lang w:val="en-US" w:eastAsia="es-ES"/>
        </w:rPr>
        <w:t xml:space="preserve">ggested that the DOM composition across these rivers is relatively fresh, with a mix of autochthonous and anthropogenic influences rather than highly humified, terrestrial DOM. Particularly in the Ter samples, the elevated FI and moderate BIX may indicate </w:t>
      </w:r>
      <w:r>
        <w:rPr>
          <w:rFonts w:ascii="Arial" w:eastAsia="Times New Roman" w:hAnsi="Arial" w:cs="Arial"/>
          <w:sz w:val="24"/>
          <w:szCs w:val="24"/>
          <w:lang w:val="en-US" w:eastAsia="es-ES"/>
        </w:rPr>
        <w:t>some urban and agricultural contributions, resulting in a higher fraction of microbially derived DOM. In contrast, the alpine rivers (e.g., R2, R4) presented FI and HIX values aligned with the expected lower impact of human activity, reflecting a more pris</w:t>
      </w:r>
      <w:r>
        <w:rPr>
          <w:rFonts w:ascii="Arial" w:eastAsia="Times New Roman" w:hAnsi="Arial" w:cs="Arial"/>
          <w:sz w:val="24"/>
          <w:szCs w:val="24"/>
          <w:lang w:val="en-US" w:eastAsia="es-ES"/>
        </w:rPr>
        <w:t>tine DOM composition mainly of recent microbial origin.</w:t>
      </w:r>
    </w:p>
    <w:p w:rsidR="006F0224" w:rsidRDefault="006F0224">
      <w:pPr>
        <w:jc w:val="center"/>
        <w:rPr>
          <w:rFonts w:ascii="Arial" w:hAnsi="Arial" w:cs="Arial"/>
          <w:b/>
          <w:sz w:val="24"/>
          <w:szCs w:val="24"/>
          <w:lang w:val="en-US"/>
        </w:rPr>
      </w:pPr>
    </w:p>
    <w:p w:rsidR="006F0224" w:rsidRDefault="006A5689">
      <w:pPr>
        <w:spacing w:line="360" w:lineRule="auto"/>
        <w:jc w:val="both"/>
        <w:rPr>
          <w:rFonts w:ascii="Arial" w:hAnsi="Arial" w:cs="Arial"/>
          <w:bCs/>
          <w:sz w:val="24"/>
          <w:szCs w:val="24"/>
          <w:lang w:val="en-US"/>
        </w:rPr>
      </w:pPr>
      <w:r>
        <w:rPr>
          <w:rFonts w:ascii="Arial" w:hAnsi="Arial" w:cs="Arial"/>
          <w:bCs/>
          <w:sz w:val="24"/>
          <w:szCs w:val="24"/>
          <w:lang w:val="en-US"/>
        </w:rPr>
        <w:t>MCR-ALS DOM fractions identification</w:t>
      </w:r>
    </w:p>
    <w:p w:rsidR="006F0224" w:rsidRDefault="006F0224">
      <w:pPr>
        <w:autoSpaceDE w:val="0"/>
        <w:autoSpaceDN w:val="0"/>
        <w:adjustRightInd w:val="0"/>
        <w:spacing w:after="0" w:line="360" w:lineRule="auto"/>
        <w:rPr>
          <w:rFonts w:ascii="Arial" w:hAnsi="Arial" w:cs="Arial"/>
          <w:iCs/>
          <w:sz w:val="24"/>
          <w:szCs w:val="24"/>
          <w:lang w:val="en-US"/>
        </w:rPr>
      </w:pPr>
    </w:p>
    <w:p w:rsidR="006F0224" w:rsidRDefault="006A5689">
      <w:pPr>
        <w:autoSpaceDE w:val="0"/>
        <w:autoSpaceDN w:val="0"/>
        <w:adjustRightInd w:val="0"/>
        <w:spacing w:after="0" w:line="360" w:lineRule="auto"/>
        <w:rPr>
          <w:rFonts w:ascii="Arial" w:hAnsi="Arial" w:cs="Arial"/>
          <w:iCs/>
          <w:sz w:val="28"/>
          <w:szCs w:val="28"/>
          <w:lang w:val="en-US"/>
        </w:rPr>
      </w:pPr>
      <w:r>
        <w:rPr>
          <w:rFonts w:ascii="Arial" w:hAnsi="Arial" w:cs="Arial"/>
          <w:b/>
          <w:iCs/>
          <w:sz w:val="28"/>
          <w:szCs w:val="28"/>
          <w:lang w:val="en-US"/>
        </w:rPr>
        <w:t>Supplementary Fig. 1 near here</w:t>
      </w:r>
    </w:p>
    <w:p w:rsidR="006F0224" w:rsidRDefault="006F0224">
      <w:pPr>
        <w:autoSpaceDE w:val="0"/>
        <w:autoSpaceDN w:val="0"/>
        <w:adjustRightInd w:val="0"/>
        <w:spacing w:after="0" w:line="360" w:lineRule="auto"/>
        <w:rPr>
          <w:rFonts w:ascii="Arial" w:hAnsi="Arial" w:cs="Arial"/>
          <w:iCs/>
          <w:sz w:val="24"/>
          <w:szCs w:val="24"/>
          <w:lang w:val="en-US"/>
        </w:rPr>
      </w:pPr>
    </w:p>
    <w:p w:rsidR="006F0224" w:rsidRDefault="006F0224">
      <w:pPr>
        <w:autoSpaceDE w:val="0"/>
        <w:autoSpaceDN w:val="0"/>
        <w:adjustRightInd w:val="0"/>
        <w:spacing w:after="0" w:line="360" w:lineRule="auto"/>
        <w:rPr>
          <w:rFonts w:ascii="Arial" w:hAnsi="Arial" w:cs="Arial"/>
          <w:iCs/>
          <w:sz w:val="24"/>
          <w:szCs w:val="24"/>
          <w:lang w:val="en-US"/>
        </w:rPr>
      </w:pPr>
    </w:p>
    <w:p w:rsidR="006F0224" w:rsidRDefault="006A5689">
      <w:pPr>
        <w:autoSpaceDE w:val="0"/>
        <w:autoSpaceDN w:val="0"/>
        <w:adjustRightInd w:val="0"/>
        <w:spacing w:after="0" w:line="360" w:lineRule="auto"/>
        <w:ind w:firstLine="561"/>
        <w:jc w:val="both"/>
        <w:rPr>
          <w:rFonts w:ascii="Arial" w:hAnsi="Arial" w:cs="Arial"/>
          <w:iCs/>
          <w:sz w:val="24"/>
          <w:szCs w:val="24"/>
          <w:lang w:val="en-US"/>
        </w:rPr>
      </w:pPr>
      <w:r>
        <w:rPr>
          <w:rFonts w:ascii="Arial" w:hAnsi="Arial" w:cs="Arial"/>
          <w:iCs/>
          <w:sz w:val="24"/>
          <w:szCs w:val="24"/>
          <w:lang w:val="en-US"/>
        </w:rPr>
        <w:t xml:space="preserve">The first component, </w:t>
      </w:r>
      <w:r>
        <w:rPr>
          <w:rFonts w:ascii="Arial" w:hAnsi="Arial" w:cs="Arial"/>
          <w:b/>
          <w:bCs/>
          <w:iCs/>
          <w:sz w:val="24"/>
          <w:szCs w:val="24"/>
          <w:lang w:val="en-US"/>
        </w:rPr>
        <w:t xml:space="preserve">C1 </w:t>
      </w:r>
      <w:r>
        <w:rPr>
          <w:rFonts w:ascii="Arial" w:hAnsi="Arial" w:cs="Arial"/>
          <w:iCs/>
          <w:sz w:val="24"/>
          <w:szCs w:val="24"/>
          <w:lang w:val="en-US"/>
        </w:rPr>
        <w:t>(humic-like fraction), in main text Fig.6a and in the Supplementary Fig. 1a, accounted for 39% of the DOM in the river water samples. According to the literature, these spectral characteristics are indicative of high molecular weight, hydrophobic terrestri</w:t>
      </w:r>
      <w:r>
        <w:rPr>
          <w:rFonts w:ascii="Arial" w:hAnsi="Arial" w:cs="Arial"/>
          <w:iCs/>
          <w:sz w:val="24"/>
          <w:szCs w:val="24"/>
          <w:lang w:val="en-US"/>
        </w:rPr>
        <w:t xml:space="preserve">al humic substances (Coble, 1996; Stedmon et al., 2003; Baghoth et al., 2011). The highest concentrations of this component were found in samples R8 and R9. Samples R1 and R3 from the mid-altitude rivers also showed notable levels (see Figure 7), while it </w:t>
      </w:r>
      <w:r>
        <w:rPr>
          <w:rFonts w:ascii="Arial" w:hAnsi="Arial" w:cs="Arial"/>
          <w:iCs/>
          <w:sz w:val="24"/>
          <w:szCs w:val="24"/>
          <w:lang w:val="en-US"/>
        </w:rPr>
        <w:t xml:space="preserve">was almost absent in the DOM free water. </w:t>
      </w:r>
    </w:p>
    <w:p w:rsidR="006F0224" w:rsidRDefault="006F0224">
      <w:pPr>
        <w:autoSpaceDE w:val="0"/>
        <w:autoSpaceDN w:val="0"/>
        <w:adjustRightInd w:val="0"/>
        <w:spacing w:after="0" w:line="360" w:lineRule="auto"/>
        <w:jc w:val="both"/>
        <w:rPr>
          <w:rFonts w:ascii="Arial" w:hAnsi="Arial" w:cs="Arial"/>
          <w:sz w:val="24"/>
          <w:szCs w:val="24"/>
          <w:lang w:val="en-US"/>
        </w:rPr>
      </w:pPr>
    </w:p>
    <w:p w:rsidR="006F0224" w:rsidRDefault="006A5689">
      <w:pPr>
        <w:spacing w:line="360" w:lineRule="auto"/>
        <w:ind w:firstLine="561"/>
        <w:jc w:val="both"/>
        <w:rPr>
          <w:rFonts w:ascii="Arial" w:hAnsi="Arial" w:cs="Arial"/>
          <w:iCs/>
          <w:sz w:val="24"/>
          <w:szCs w:val="24"/>
          <w:lang w:val="en-US"/>
        </w:rPr>
      </w:pPr>
      <w:r>
        <w:rPr>
          <w:rFonts w:ascii="Arial" w:hAnsi="Arial" w:cs="Arial"/>
          <w:iCs/>
          <w:sz w:val="24"/>
          <w:szCs w:val="24"/>
          <w:lang w:val="en-US"/>
        </w:rPr>
        <w:t>As shown in Fig. 6b, the second component (</w:t>
      </w:r>
      <w:r>
        <w:rPr>
          <w:rFonts w:ascii="Arial" w:hAnsi="Arial" w:cs="Arial"/>
          <w:b/>
          <w:bCs/>
          <w:iCs/>
          <w:sz w:val="24"/>
          <w:szCs w:val="24"/>
          <w:lang w:val="en-US"/>
        </w:rPr>
        <w:t>C2</w:t>
      </w:r>
      <w:r>
        <w:rPr>
          <w:rFonts w:ascii="Arial" w:hAnsi="Arial" w:cs="Arial"/>
          <w:iCs/>
          <w:sz w:val="24"/>
          <w:szCs w:val="24"/>
          <w:lang w:val="en-US"/>
        </w:rPr>
        <w:t>) accounted for 32% of the data variance. This component presented excitation maxima at &lt;260 nm and 350 nm, with an emission maximum at 430 nm (and Supplementary Fig. 1</w:t>
      </w:r>
      <w:r>
        <w:rPr>
          <w:rFonts w:ascii="Arial" w:hAnsi="Arial" w:cs="Arial"/>
          <w:iCs/>
          <w:sz w:val="24"/>
          <w:szCs w:val="24"/>
          <w:lang w:val="en-US"/>
        </w:rPr>
        <w:t xml:space="preserve">b). These spectral features are commonly associated with terrestrial and/or anthropogenic humic-fulvic-like DOM, characterized by smaller and less hydrophobic molecules than heavier </w:t>
      </w:r>
      <w:r>
        <w:rPr>
          <w:rFonts w:ascii="Arial" w:hAnsi="Arial" w:cs="Arial"/>
          <w:iCs/>
          <w:sz w:val="24"/>
          <w:szCs w:val="24"/>
          <w:lang w:val="en-US"/>
        </w:rPr>
        <w:lastRenderedPageBreak/>
        <w:t>humic substances (Coble, 1996; Stedmon &amp; Markager, 2005). This type of DOM</w:t>
      </w:r>
      <w:r>
        <w:rPr>
          <w:rFonts w:ascii="Arial" w:hAnsi="Arial" w:cs="Arial"/>
          <w:iCs/>
          <w:sz w:val="24"/>
          <w:szCs w:val="24"/>
          <w:lang w:val="en-US"/>
        </w:rPr>
        <w:t xml:space="preserve"> was primarily observed in samples R8 and R9 in Fig. 7b, while it was barely detectable in the high-altitude mountain samples. Small concentrations were also present in mid-altitude river samples, R1 and R3.</w:t>
      </w:r>
    </w:p>
    <w:p w:rsidR="006F0224" w:rsidRDefault="006A5689">
      <w:pPr>
        <w:spacing w:line="360" w:lineRule="auto"/>
        <w:ind w:firstLine="561"/>
        <w:jc w:val="both"/>
        <w:rPr>
          <w:rFonts w:ascii="Arial" w:hAnsi="Arial" w:cs="Arial"/>
          <w:iCs/>
          <w:sz w:val="24"/>
          <w:szCs w:val="24"/>
          <w:lang w:val="en-US"/>
        </w:rPr>
      </w:pPr>
      <w:r>
        <w:rPr>
          <w:rFonts w:ascii="Arial" w:hAnsi="Arial" w:cs="Arial"/>
          <w:iCs/>
          <w:sz w:val="24"/>
          <w:szCs w:val="24"/>
          <w:lang w:val="en-US"/>
        </w:rPr>
        <w:t>In Figure 6c, the third MCR-ALS component (</w:t>
      </w:r>
      <w:r>
        <w:rPr>
          <w:rFonts w:ascii="Arial" w:hAnsi="Arial" w:cs="Arial"/>
          <w:b/>
          <w:bCs/>
          <w:iCs/>
          <w:sz w:val="24"/>
          <w:szCs w:val="24"/>
          <w:lang w:val="en-US"/>
        </w:rPr>
        <w:t>C3</w:t>
      </w:r>
      <w:r>
        <w:rPr>
          <w:rFonts w:ascii="Arial" w:hAnsi="Arial" w:cs="Arial"/>
          <w:iCs/>
          <w:sz w:val="24"/>
          <w:szCs w:val="24"/>
          <w:lang w:val="en-US"/>
        </w:rPr>
        <w:t>) a</w:t>
      </w:r>
      <w:r>
        <w:rPr>
          <w:rFonts w:ascii="Arial" w:hAnsi="Arial" w:cs="Arial"/>
          <w:iCs/>
          <w:sz w:val="24"/>
          <w:szCs w:val="24"/>
          <w:lang w:val="en-US"/>
        </w:rPr>
        <w:t>ccounted for the largest portion of data variance at 47.5%, compared to the other components. This component showed two distinct excitation maxima: one below 250 nm and another at 320 nm, both associated with a common emission maximum at 399 nm (and Supple</w:t>
      </w:r>
      <w:r>
        <w:rPr>
          <w:rFonts w:ascii="Arial" w:hAnsi="Arial" w:cs="Arial"/>
          <w:iCs/>
          <w:sz w:val="24"/>
          <w:szCs w:val="24"/>
          <w:lang w:val="en-US"/>
        </w:rPr>
        <w:t>mentary Fig. 1c). According to the literature, these maxima are characteristic of terrestrial-like humic substances with relatively low molecular weights, potentially indicating recent microbial activity driven by rising spring temperatures (Coble, 1996; Z</w:t>
      </w:r>
      <w:r>
        <w:rPr>
          <w:rFonts w:ascii="Arial" w:hAnsi="Arial" w:cs="Arial"/>
          <w:iCs/>
          <w:sz w:val="24"/>
          <w:szCs w:val="24"/>
          <w:lang w:val="en-US"/>
        </w:rPr>
        <w:t>hang et al., 2009; Murphy et al., 2011). This DOM fraction DOM was observed across all river water samples in this study, with the highest percentages found in samples R8 and R9 (Fig. 7c). Additionally, samples R1 and R3, collected from mid-altitude Catala</w:t>
      </w:r>
      <w:r>
        <w:rPr>
          <w:rFonts w:ascii="Arial" w:hAnsi="Arial" w:cs="Arial"/>
          <w:iCs/>
          <w:sz w:val="24"/>
          <w:szCs w:val="24"/>
          <w:lang w:val="en-US"/>
        </w:rPr>
        <w:t>n rivers, showed notable concentrations of this component compared to other mountain rivers. This fact was likely due to advanced spring temperatures  enhancing biological activity within these rivers.</w:t>
      </w:r>
    </w:p>
    <w:p w:rsidR="006F0224" w:rsidRDefault="006A5689">
      <w:pPr>
        <w:spacing w:line="360" w:lineRule="auto"/>
        <w:ind w:firstLine="561"/>
        <w:jc w:val="both"/>
        <w:rPr>
          <w:rFonts w:ascii="Arial" w:hAnsi="Arial" w:cs="Arial"/>
          <w:sz w:val="24"/>
          <w:szCs w:val="24"/>
          <w:lang w:val="en-US"/>
        </w:rPr>
      </w:pPr>
      <w:r>
        <w:rPr>
          <w:rFonts w:ascii="Arial" w:hAnsi="Arial" w:cs="Arial"/>
          <w:sz w:val="24"/>
          <w:szCs w:val="24"/>
          <w:lang w:val="en-US"/>
        </w:rPr>
        <w:t>In Fig. 6d-f, three components (</w:t>
      </w:r>
      <w:r>
        <w:rPr>
          <w:rFonts w:ascii="Arial" w:hAnsi="Arial" w:cs="Arial"/>
          <w:b/>
          <w:bCs/>
          <w:sz w:val="24"/>
          <w:szCs w:val="24"/>
          <w:lang w:val="en-US"/>
        </w:rPr>
        <w:t>C4</w:t>
      </w:r>
      <w:r>
        <w:rPr>
          <w:rFonts w:ascii="Arial" w:hAnsi="Arial" w:cs="Arial"/>
          <w:sz w:val="24"/>
          <w:szCs w:val="24"/>
          <w:lang w:val="en-US"/>
        </w:rPr>
        <w:t xml:space="preserve">, </w:t>
      </w:r>
      <w:r>
        <w:rPr>
          <w:rFonts w:ascii="Arial" w:hAnsi="Arial" w:cs="Arial"/>
          <w:b/>
          <w:bCs/>
          <w:sz w:val="24"/>
          <w:szCs w:val="24"/>
          <w:lang w:val="en-US"/>
        </w:rPr>
        <w:t>C5</w:t>
      </w:r>
      <w:r>
        <w:rPr>
          <w:rFonts w:ascii="Arial" w:hAnsi="Arial" w:cs="Arial"/>
          <w:sz w:val="24"/>
          <w:szCs w:val="24"/>
          <w:lang w:val="en-US"/>
        </w:rPr>
        <w:t xml:space="preserve">, and </w:t>
      </w:r>
      <w:r>
        <w:rPr>
          <w:rFonts w:ascii="Arial" w:hAnsi="Arial" w:cs="Arial"/>
          <w:b/>
          <w:bCs/>
          <w:sz w:val="24"/>
          <w:szCs w:val="24"/>
          <w:lang w:val="en-US"/>
        </w:rPr>
        <w:t>C6</w:t>
      </w:r>
      <w:r>
        <w:rPr>
          <w:rFonts w:ascii="Arial" w:hAnsi="Arial" w:cs="Arial"/>
          <w:sz w:val="24"/>
          <w:szCs w:val="24"/>
          <w:lang w:val="en-US"/>
        </w:rPr>
        <w:t>) were i</w:t>
      </w:r>
      <w:r>
        <w:rPr>
          <w:rFonts w:ascii="Arial" w:hAnsi="Arial" w:cs="Arial"/>
          <w:sz w:val="24"/>
          <w:szCs w:val="24"/>
          <w:lang w:val="en-US"/>
        </w:rPr>
        <w:t xml:space="preserve">dentified in the EEM regions corresponding to protein-like fluorophores (Coble, 1996; Mayer et al., 1999; Yamashita &amp; Tanoue, 2003). The fourth component, </w:t>
      </w:r>
      <w:r>
        <w:rPr>
          <w:rFonts w:ascii="Arial" w:hAnsi="Arial" w:cs="Arial"/>
          <w:b/>
          <w:bCs/>
          <w:sz w:val="24"/>
          <w:szCs w:val="24"/>
          <w:lang w:val="en-US"/>
        </w:rPr>
        <w:t>C4</w:t>
      </w:r>
      <w:r>
        <w:rPr>
          <w:rFonts w:ascii="Arial" w:hAnsi="Arial" w:cs="Arial"/>
          <w:sz w:val="24"/>
          <w:szCs w:val="24"/>
          <w:lang w:val="en-US"/>
        </w:rPr>
        <w:t xml:space="preserve"> in Fig. 6d, accounting for 9% of the variance, showed two excitation maxima at &lt;240 nm and 300 nm,</w:t>
      </w:r>
      <w:r>
        <w:rPr>
          <w:rFonts w:ascii="Arial" w:hAnsi="Arial" w:cs="Arial"/>
          <w:sz w:val="24"/>
          <w:szCs w:val="24"/>
          <w:lang w:val="en-US"/>
        </w:rPr>
        <w:t xml:space="preserve"> with an emission maximum at 354 nm (</w:t>
      </w:r>
      <w:r>
        <w:rPr>
          <w:rFonts w:ascii="Arial" w:hAnsi="Arial" w:cs="Arial"/>
          <w:iCs/>
          <w:sz w:val="24"/>
          <w:szCs w:val="24"/>
          <w:lang w:val="en-US"/>
        </w:rPr>
        <w:t>Supplementary Fig. 1d</w:t>
      </w:r>
      <w:r>
        <w:rPr>
          <w:rFonts w:ascii="Arial" w:hAnsi="Arial" w:cs="Arial"/>
          <w:sz w:val="24"/>
          <w:szCs w:val="24"/>
          <w:lang w:val="en-US"/>
        </w:rPr>
        <w:t xml:space="preserve">). In contrast, the </w:t>
      </w:r>
      <w:r>
        <w:rPr>
          <w:rFonts w:ascii="Arial" w:hAnsi="Arial" w:cs="Arial"/>
          <w:b/>
          <w:bCs/>
          <w:sz w:val="24"/>
          <w:szCs w:val="24"/>
          <w:lang w:val="en-US"/>
        </w:rPr>
        <w:t>C5</w:t>
      </w:r>
      <w:r>
        <w:rPr>
          <w:rFonts w:ascii="Arial" w:hAnsi="Arial" w:cs="Arial"/>
          <w:sz w:val="24"/>
          <w:szCs w:val="24"/>
          <w:lang w:val="en-US"/>
        </w:rPr>
        <w:t xml:space="preserve"> peak was located at &lt;240 and 280-nm excitation maxima, with an emission maximum at 338nm, as shown in </w:t>
      </w:r>
      <w:r>
        <w:rPr>
          <w:rFonts w:ascii="Arial" w:hAnsi="Arial" w:cs="Arial"/>
          <w:iCs/>
          <w:sz w:val="24"/>
          <w:szCs w:val="24"/>
          <w:lang w:val="en-US"/>
        </w:rPr>
        <w:t>Supplementary Fig. 1e</w:t>
      </w:r>
      <w:r>
        <w:rPr>
          <w:rFonts w:ascii="Arial" w:hAnsi="Arial" w:cs="Arial"/>
          <w:sz w:val="24"/>
          <w:szCs w:val="24"/>
          <w:lang w:val="en-US"/>
        </w:rPr>
        <w:t>. This fraction accounted for less than 16% across a</w:t>
      </w:r>
      <w:r>
        <w:rPr>
          <w:rFonts w:ascii="Arial" w:hAnsi="Arial" w:cs="Arial"/>
          <w:sz w:val="24"/>
          <w:szCs w:val="24"/>
          <w:lang w:val="en-US"/>
        </w:rPr>
        <w:t xml:space="preserve">ll water matrices.  Based on the literature, both components can be attributed to protein-like fractions within DOM, with fluorescence characteristics similar to those produced by tryptophan. These protein-like fractions were predominantly found in R8 and </w:t>
      </w:r>
      <w:r>
        <w:rPr>
          <w:rFonts w:ascii="Arial" w:hAnsi="Arial" w:cs="Arial"/>
          <w:sz w:val="24"/>
          <w:szCs w:val="24"/>
          <w:lang w:val="en-US"/>
        </w:rPr>
        <w:t xml:space="preserve">R9, suggesting that water quality was significantly impacted by anthropogenic and agricultural activities in the low-altitude rivers (see Fig. 7e). Interestingly, </w:t>
      </w:r>
      <w:r>
        <w:rPr>
          <w:rFonts w:ascii="Arial" w:hAnsi="Arial" w:cs="Arial"/>
          <w:b/>
          <w:bCs/>
          <w:sz w:val="24"/>
          <w:szCs w:val="24"/>
          <w:lang w:val="en-US"/>
        </w:rPr>
        <w:t>C5</w:t>
      </w:r>
      <w:r>
        <w:rPr>
          <w:rFonts w:ascii="Arial" w:hAnsi="Arial" w:cs="Arial"/>
          <w:sz w:val="24"/>
          <w:szCs w:val="24"/>
          <w:lang w:val="en-US"/>
        </w:rPr>
        <w:t xml:space="preserve"> was also prominent in R3, suggesting anthropogenic contamination.</w:t>
      </w:r>
    </w:p>
    <w:p w:rsidR="006F0224" w:rsidRDefault="006A5689">
      <w:pPr>
        <w:spacing w:line="360" w:lineRule="auto"/>
        <w:ind w:firstLine="561"/>
        <w:jc w:val="both"/>
        <w:rPr>
          <w:rFonts w:ascii="Arial" w:hAnsi="Arial" w:cs="Arial"/>
          <w:sz w:val="24"/>
          <w:szCs w:val="24"/>
          <w:lang w:val="en-US"/>
        </w:rPr>
      </w:pPr>
      <w:r>
        <w:rPr>
          <w:rFonts w:ascii="Arial" w:hAnsi="Arial" w:cs="Arial"/>
          <w:sz w:val="24"/>
          <w:szCs w:val="24"/>
          <w:lang w:val="en-US"/>
        </w:rPr>
        <w:t xml:space="preserve">Similarly, </w:t>
      </w:r>
      <w:r>
        <w:rPr>
          <w:rFonts w:ascii="Arial" w:hAnsi="Arial" w:cs="Arial"/>
          <w:b/>
          <w:bCs/>
          <w:sz w:val="24"/>
          <w:szCs w:val="24"/>
          <w:lang w:val="en-US"/>
        </w:rPr>
        <w:t>C6</w:t>
      </w:r>
      <w:r>
        <w:rPr>
          <w:rFonts w:ascii="Arial" w:hAnsi="Arial" w:cs="Arial"/>
          <w:sz w:val="24"/>
          <w:szCs w:val="24"/>
          <w:lang w:val="en-US"/>
        </w:rPr>
        <w:t xml:space="preserve"> (8% explai</w:t>
      </w:r>
      <w:r>
        <w:rPr>
          <w:rFonts w:ascii="Arial" w:hAnsi="Arial" w:cs="Arial"/>
          <w:sz w:val="24"/>
          <w:szCs w:val="24"/>
          <w:lang w:val="en-US"/>
        </w:rPr>
        <w:t xml:space="preserve">ned variance) had excitation and emission characteristics similar to those of an autochthonous protein-like, tyrosine-like </w:t>
      </w:r>
      <w:r>
        <w:rPr>
          <w:rFonts w:ascii="Arial" w:hAnsi="Arial" w:cs="Arial"/>
          <w:sz w:val="24"/>
          <w:szCs w:val="24"/>
          <w:lang w:val="en-US"/>
        </w:rPr>
        <w:lastRenderedPageBreak/>
        <w:t>fraction. This component presented excitation maxima at &lt;240nm and 270 nm, both associated with a common emission maximum at 294 nm (</w:t>
      </w:r>
      <w:r>
        <w:rPr>
          <w:rFonts w:ascii="Arial" w:hAnsi="Arial" w:cs="Arial"/>
          <w:iCs/>
          <w:sz w:val="24"/>
          <w:szCs w:val="24"/>
          <w:lang w:val="en-US"/>
        </w:rPr>
        <w:t>Supplementary Fig. 1f</w:t>
      </w:r>
      <w:r>
        <w:rPr>
          <w:rFonts w:ascii="Arial" w:hAnsi="Arial" w:cs="Arial"/>
          <w:sz w:val="24"/>
          <w:szCs w:val="24"/>
          <w:lang w:val="en-US"/>
        </w:rPr>
        <w:t xml:space="preserve">). Since this DOM fraction is typical for the autochthonous habitat, it was well distributed across all rivers. Obviously, it was in highest concentrations in both Ter rives samples, but </w:t>
      </w:r>
      <w:r>
        <w:rPr>
          <w:rFonts w:ascii="Arial" w:hAnsi="Arial" w:cs="Arial"/>
          <w:b/>
          <w:bCs/>
          <w:sz w:val="24"/>
          <w:szCs w:val="24"/>
          <w:lang w:val="en-US"/>
        </w:rPr>
        <w:t>C6</w:t>
      </w:r>
      <w:r>
        <w:rPr>
          <w:rFonts w:ascii="Arial" w:hAnsi="Arial" w:cs="Arial"/>
          <w:sz w:val="24"/>
          <w:szCs w:val="24"/>
          <w:lang w:val="en-US"/>
        </w:rPr>
        <w:t xml:space="preserve"> was also found in the mountains at high altit</w:t>
      </w:r>
      <w:r>
        <w:rPr>
          <w:rFonts w:ascii="Arial" w:hAnsi="Arial" w:cs="Arial"/>
          <w:sz w:val="24"/>
          <w:szCs w:val="24"/>
          <w:lang w:val="en-US"/>
        </w:rPr>
        <w:t>udes (Fig. 7f).</w:t>
      </w:r>
      <w:r>
        <w:rPr>
          <w:rFonts w:ascii="Arial" w:hAnsi="Arial" w:cs="Arial"/>
          <w:b/>
          <w:sz w:val="24"/>
          <w:szCs w:val="24"/>
          <w:lang w:val="en-US"/>
        </w:rPr>
        <w:br w:type="page"/>
      </w:r>
    </w:p>
    <w:tbl>
      <w:tblPr>
        <w:tblpPr w:leftFromText="141" w:rightFromText="141" w:vertAnchor="text" w:horzAnchor="margin" w:tblpY="1705"/>
        <w:tblW w:w="0" w:type="auto"/>
        <w:tblCellMar>
          <w:top w:w="15" w:type="dxa"/>
          <w:left w:w="15" w:type="dxa"/>
          <w:bottom w:w="15" w:type="dxa"/>
          <w:right w:w="15" w:type="dxa"/>
        </w:tblCellMar>
        <w:tblLook w:val="04A0" w:firstRow="1" w:lastRow="0" w:firstColumn="1" w:lastColumn="0" w:noHBand="0" w:noVBand="1"/>
      </w:tblPr>
      <w:tblGrid>
        <w:gridCol w:w="2159"/>
        <w:gridCol w:w="1177"/>
        <w:gridCol w:w="1178"/>
        <w:gridCol w:w="1178"/>
        <w:gridCol w:w="1178"/>
        <w:gridCol w:w="1178"/>
        <w:gridCol w:w="1178"/>
      </w:tblGrid>
      <w:tr w:rsidR="006F0224">
        <w:trPr>
          <w:trHeight w:val="654"/>
        </w:trPr>
        <w:tc>
          <w:tcPr>
            <w:tcW w:w="0" w:type="auto"/>
            <w:tcBorders>
              <w:top w:val="single" w:sz="6" w:space="0" w:color="000000"/>
              <w:left w:val="single" w:sz="6" w:space="0" w:color="FFFFFF"/>
              <w:bottom w:val="single" w:sz="6" w:space="0" w:color="000000"/>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lastRenderedPageBreak/>
              <w:t>River Water Sample</w:t>
            </w:r>
          </w:p>
        </w:tc>
        <w:tc>
          <w:tcPr>
            <w:tcW w:w="0" w:type="auto"/>
            <w:tcBorders>
              <w:top w:val="single" w:sz="6" w:space="0" w:color="000000"/>
              <w:left w:val="single" w:sz="6" w:space="0" w:color="FFFFFF"/>
              <w:bottom w:val="single" w:sz="4" w:space="0" w:color="000000"/>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Fraction 1</w:t>
            </w:r>
          </w:p>
        </w:tc>
        <w:tc>
          <w:tcPr>
            <w:tcW w:w="0" w:type="auto"/>
            <w:tcBorders>
              <w:top w:val="single" w:sz="6" w:space="0" w:color="000000"/>
              <w:left w:val="single" w:sz="6" w:space="0" w:color="FFFFFF"/>
              <w:bottom w:val="single" w:sz="4" w:space="0" w:color="000000"/>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Fraction 2</w:t>
            </w:r>
          </w:p>
        </w:tc>
        <w:tc>
          <w:tcPr>
            <w:tcW w:w="0" w:type="auto"/>
            <w:tcBorders>
              <w:top w:val="single" w:sz="6" w:space="0" w:color="000000"/>
              <w:left w:val="single" w:sz="6" w:space="0" w:color="FFFFFF"/>
              <w:bottom w:val="single" w:sz="4" w:space="0" w:color="000000"/>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Fraction 3</w:t>
            </w:r>
          </w:p>
        </w:tc>
        <w:tc>
          <w:tcPr>
            <w:tcW w:w="0" w:type="auto"/>
            <w:tcBorders>
              <w:top w:val="single" w:sz="6" w:space="0" w:color="000000"/>
              <w:left w:val="single" w:sz="6" w:space="0" w:color="FFFFFF"/>
              <w:bottom w:val="single" w:sz="4" w:space="0" w:color="000000"/>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Fraction 4</w:t>
            </w:r>
          </w:p>
        </w:tc>
        <w:tc>
          <w:tcPr>
            <w:tcW w:w="0" w:type="auto"/>
            <w:tcBorders>
              <w:top w:val="single" w:sz="6" w:space="0" w:color="000000"/>
              <w:left w:val="single" w:sz="6" w:space="0" w:color="FFFFFF"/>
              <w:bottom w:val="single" w:sz="4" w:space="0" w:color="000000"/>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Fraction 5</w:t>
            </w:r>
          </w:p>
        </w:tc>
        <w:tc>
          <w:tcPr>
            <w:tcW w:w="0" w:type="auto"/>
            <w:tcBorders>
              <w:top w:val="single" w:sz="6" w:space="0" w:color="000000"/>
              <w:left w:val="single" w:sz="6" w:space="0" w:color="FFFFFF"/>
              <w:bottom w:val="single" w:sz="4" w:space="0" w:color="000000"/>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Fraction 6</w:t>
            </w:r>
          </w:p>
        </w:tc>
      </w:tr>
      <w:tr w:rsidR="006F0224">
        <w:tc>
          <w:tcPr>
            <w:tcW w:w="0" w:type="auto"/>
            <w:tcBorders>
              <w:top w:val="single" w:sz="6" w:space="0" w:color="000000"/>
              <w:left w:val="single" w:sz="6" w:space="0" w:color="FFFFFF"/>
              <w:bottom w:val="single" w:sz="6" w:space="0" w:color="FFFFFF"/>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MilliQ</w:t>
            </w:r>
          </w:p>
        </w:tc>
        <w:tc>
          <w:tcPr>
            <w:tcW w:w="0" w:type="auto"/>
            <w:tcBorders>
              <w:top w:val="single" w:sz="4" w:space="0" w:color="000000"/>
              <w:left w:val="single" w:sz="6" w:space="0" w:color="FFFFFF"/>
              <w:bottom w:val="single" w:sz="4" w:space="0" w:color="FFFFFF"/>
              <w:right w:val="single" w:sz="4" w:space="0" w:color="FFFFFF"/>
            </w:tcBorders>
            <w:tcMar>
              <w:top w:w="40" w:type="dxa"/>
              <w:left w:w="40" w:type="dxa"/>
              <w:bottom w:w="40" w:type="dxa"/>
              <w:right w:w="40" w:type="dxa"/>
            </w:tcMar>
            <w:hideMark/>
          </w:tcPr>
          <w:p w:rsidR="006F0224" w:rsidRDefault="006A5689">
            <w:pPr>
              <w:rPr>
                <w:rFonts w:ascii="Arial" w:hAnsi="Arial" w:cs="Arial"/>
              </w:rPr>
            </w:pPr>
            <w:r>
              <w:rPr>
                <w:rFonts w:ascii="Arial" w:hAnsi="Arial" w:cs="Arial"/>
              </w:rPr>
              <w:t>3.447</w:t>
            </w:r>
          </w:p>
        </w:tc>
        <w:tc>
          <w:tcPr>
            <w:tcW w:w="0" w:type="auto"/>
            <w:tcBorders>
              <w:top w:val="single" w:sz="4" w:space="0" w:color="000000"/>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0.318</w:t>
            </w:r>
          </w:p>
        </w:tc>
        <w:tc>
          <w:tcPr>
            <w:tcW w:w="0" w:type="auto"/>
            <w:tcBorders>
              <w:top w:val="single" w:sz="4" w:space="0" w:color="000000"/>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0.707</w:t>
            </w:r>
          </w:p>
        </w:tc>
        <w:tc>
          <w:tcPr>
            <w:tcW w:w="0" w:type="auto"/>
            <w:tcBorders>
              <w:top w:val="single" w:sz="4" w:space="0" w:color="000000"/>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0.548</w:t>
            </w:r>
          </w:p>
        </w:tc>
        <w:tc>
          <w:tcPr>
            <w:tcW w:w="0" w:type="auto"/>
            <w:tcBorders>
              <w:top w:val="single" w:sz="4" w:space="0" w:color="000000"/>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3.837</w:t>
            </w:r>
          </w:p>
        </w:tc>
        <w:tc>
          <w:tcPr>
            <w:tcW w:w="0" w:type="auto"/>
            <w:tcBorders>
              <w:top w:val="single" w:sz="4" w:space="0" w:color="000000"/>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2.807</w:t>
            </w:r>
          </w:p>
        </w:tc>
      </w:tr>
      <w:tr w:rsidR="006F0224">
        <w:tc>
          <w:tcPr>
            <w:tcW w:w="0" w:type="auto"/>
            <w:tcBorders>
              <w:top w:val="single" w:sz="6" w:space="0" w:color="FFFFFF"/>
              <w:left w:val="single" w:sz="6" w:space="0" w:color="FFFFFF"/>
              <w:bottom w:val="single" w:sz="6" w:space="0" w:color="FFFFFF"/>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R1</w:t>
            </w:r>
          </w:p>
        </w:tc>
        <w:tc>
          <w:tcPr>
            <w:tcW w:w="0" w:type="auto"/>
            <w:tcBorders>
              <w:top w:val="single" w:sz="4" w:space="0" w:color="FFFFFF"/>
              <w:left w:val="single" w:sz="6" w:space="0" w:color="FFFFFF"/>
              <w:bottom w:val="single" w:sz="4" w:space="0" w:color="FFFFFF"/>
              <w:right w:val="single" w:sz="4" w:space="0" w:color="FFFFFF"/>
            </w:tcBorders>
            <w:tcMar>
              <w:top w:w="40" w:type="dxa"/>
              <w:left w:w="40" w:type="dxa"/>
              <w:bottom w:w="40" w:type="dxa"/>
              <w:right w:w="40" w:type="dxa"/>
            </w:tcMar>
            <w:hideMark/>
          </w:tcPr>
          <w:p w:rsidR="006F0224" w:rsidRDefault="006A5689">
            <w:pPr>
              <w:rPr>
                <w:rFonts w:ascii="Arial" w:hAnsi="Arial" w:cs="Arial"/>
              </w:rPr>
            </w:pPr>
            <w:r>
              <w:rPr>
                <w:rFonts w:ascii="Arial" w:hAnsi="Arial" w:cs="Arial"/>
              </w:rPr>
              <w:t>56.256</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16.400</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31.775</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0.000</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9.638</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2.624</w:t>
            </w:r>
          </w:p>
        </w:tc>
      </w:tr>
      <w:tr w:rsidR="006F0224">
        <w:tc>
          <w:tcPr>
            <w:tcW w:w="0" w:type="auto"/>
            <w:tcBorders>
              <w:top w:val="single" w:sz="6" w:space="0" w:color="FFFFFF"/>
              <w:left w:val="single" w:sz="6" w:space="0" w:color="FFFFFF"/>
              <w:bottom w:val="single" w:sz="6" w:space="0" w:color="FFFFFF"/>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R2</w:t>
            </w:r>
          </w:p>
        </w:tc>
        <w:tc>
          <w:tcPr>
            <w:tcW w:w="0" w:type="auto"/>
            <w:tcBorders>
              <w:top w:val="single" w:sz="4" w:space="0" w:color="FFFFFF"/>
              <w:left w:val="single" w:sz="6" w:space="0" w:color="FFFFFF"/>
              <w:bottom w:val="single" w:sz="4" w:space="0" w:color="FFFFFF"/>
              <w:right w:val="single" w:sz="4" w:space="0" w:color="FFFFFF"/>
            </w:tcBorders>
            <w:tcMar>
              <w:top w:w="40" w:type="dxa"/>
              <w:left w:w="40" w:type="dxa"/>
              <w:bottom w:w="40" w:type="dxa"/>
              <w:right w:w="40" w:type="dxa"/>
            </w:tcMar>
            <w:hideMark/>
          </w:tcPr>
          <w:p w:rsidR="006F0224" w:rsidRDefault="006A5689">
            <w:pPr>
              <w:rPr>
                <w:rFonts w:ascii="Arial" w:hAnsi="Arial" w:cs="Arial"/>
              </w:rPr>
            </w:pPr>
            <w:r>
              <w:rPr>
                <w:rFonts w:ascii="Arial" w:hAnsi="Arial" w:cs="Arial"/>
              </w:rPr>
              <w:t>5.982</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2.869</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6.916</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0.674</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7.946</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2.994</w:t>
            </w:r>
          </w:p>
        </w:tc>
      </w:tr>
      <w:tr w:rsidR="006F0224">
        <w:tc>
          <w:tcPr>
            <w:tcW w:w="0" w:type="auto"/>
            <w:tcBorders>
              <w:top w:val="single" w:sz="6" w:space="0" w:color="FFFFFF"/>
              <w:left w:val="single" w:sz="6" w:space="0" w:color="FFFFFF"/>
              <w:bottom w:val="single" w:sz="6" w:space="0" w:color="FFFFFF"/>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R3</w:t>
            </w:r>
          </w:p>
        </w:tc>
        <w:tc>
          <w:tcPr>
            <w:tcW w:w="0" w:type="auto"/>
            <w:tcBorders>
              <w:top w:val="single" w:sz="4" w:space="0" w:color="FFFFFF"/>
              <w:left w:val="single" w:sz="6" w:space="0" w:color="FFFFFF"/>
              <w:bottom w:val="single" w:sz="4" w:space="0" w:color="FFFFFF"/>
              <w:right w:val="single" w:sz="4" w:space="0" w:color="FFFFFF"/>
            </w:tcBorders>
            <w:tcMar>
              <w:top w:w="40" w:type="dxa"/>
              <w:left w:w="40" w:type="dxa"/>
              <w:bottom w:w="40" w:type="dxa"/>
              <w:right w:w="40" w:type="dxa"/>
            </w:tcMar>
            <w:hideMark/>
          </w:tcPr>
          <w:p w:rsidR="006F0224" w:rsidRDefault="006A5689">
            <w:pPr>
              <w:rPr>
                <w:rFonts w:ascii="Arial" w:hAnsi="Arial" w:cs="Arial"/>
              </w:rPr>
            </w:pPr>
            <w:r>
              <w:rPr>
                <w:rFonts w:ascii="Arial" w:hAnsi="Arial" w:cs="Arial"/>
              </w:rPr>
              <w:t>63.648</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15.912</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42.849</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2.073</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75.887</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10.893</w:t>
            </w:r>
          </w:p>
        </w:tc>
      </w:tr>
      <w:tr w:rsidR="006F0224">
        <w:tc>
          <w:tcPr>
            <w:tcW w:w="0" w:type="auto"/>
            <w:tcBorders>
              <w:top w:val="single" w:sz="6" w:space="0" w:color="FFFFFF"/>
              <w:left w:val="single" w:sz="6" w:space="0" w:color="FFFFFF"/>
              <w:bottom w:val="single" w:sz="6" w:space="0" w:color="FFFFFF"/>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R4</w:t>
            </w:r>
          </w:p>
        </w:tc>
        <w:tc>
          <w:tcPr>
            <w:tcW w:w="0" w:type="auto"/>
            <w:tcBorders>
              <w:top w:val="single" w:sz="4" w:space="0" w:color="FFFFFF"/>
              <w:left w:val="single" w:sz="6" w:space="0" w:color="FFFFFF"/>
              <w:bottom w:val="single" w:sz="4" w:space="0" w:color="FFFFFF"/>
              <w:right w:val="single" w:sz="4" w:space="0" w:color="FFFFFF"/>
            </w:tcBorders>
            <w:tcMar>
              <w:top w:w="40" w:type="dxa"/>
              <w:left w:w="40" w:type="dxa"/>
              <w:bottom w:w="40" w:type="dxa"/>
              <w:right w:w="40" w:type="dxa"/>
            </w:tcMar>
            <w:hideMark/>
          </w:tcPr>
          <w:p w:rsidR="006F0224" w:rsidRDefault="006A5689">
            <w:pPr>
              <w:rPr>
                <w:rFonts w:ascii="Arial" w:hAnsi="Arial" w:cs="Arial"/>
              </w:rPr>
            </w:pPr>
            <w:r>
              <w:rPr>
                <w:rFonts w:ascii="Arial" w:hAnsi="Arial" w:cs="Arial"/>
              </w:rPr>
              <w:t>16.561</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0.603</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7.744</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0.120</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11.716</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7.233</w:t>
            </w:r>
          </w:p>
        </w:tc>
      </w:tr>
      <w:tr w:rsidR="006F0224">
        <w:tc>
          <w:tcPr>
            <w:tcW w:w="0" w:type="auto"/>
            <w:tcBorders>
              <w:top w:val="single" w:sz="6" w:space="0" w:color="FFFFFF"/>
              <w:left w:val="single" w:sz="6" w:space="0" w:color="FFFFFF"/>
              <w:bottom w:val="single" w:sz="6" w:space="0" w:color="FFFFFF"/>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R5</w:t>
            </w:r>
          </w:p>
        </w:tc>
        <w:tc>
          <w:tcPr>
            <w:tcW w:w="0" w:type="auto"/>
            <w:tcBorders>
              <w:top w:val="single" w:sz="4" w:space="0" w:color="FFFFFF"/>
              <w:left w:val="single" w:sz="6" w:space="0" w:color="FFFFFF"/>
              <w:bottom w:val="single" w:sz="4" w:space="0" w:color="FFFFFF"/>
              <w:right w:val="single" w:sz="4" w:space="0" w:color="FFFFFF"/>
            </w:tcBorders>
            <w:tcMar>
              <w:top w:w="40" w:type="dxa"/>
              <w:left w:w="40" w:type="dxa"/>
              <w:bottom w:w="40" w:type="dxa"/>
              <w:right w:w="40" w:type="dxa"/>
            </w:tcMar>
            <w:hideMark/>
          </w:tcPr>
          <w:p w:rsidR="006F0224" w:rsidRDefault="006A5689">
            <w:pPr>
              <w:rPr>
                <w:rFonts w:ascii="Arial" w:hAnsi="Arial" w:cs="Arial"/>
              </w:rPr>
            </w:pPr>
            <w:r>
              <w:rPr>
                <w:rFonts w:ascii="Arial" w:hAnsi="Arial" w:cs="Arial"/>
              </w:rPr>
              <w:t>36.803</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5.292</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28.413</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0.511</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14.216</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7.128</w:t>
            </w:r>
          </w:p>
        </w:tc>
      </w:tr>
      <w:tr w:rsidR="006F0224">
        <w:tc>
          <w:tcPr>
            <w:tcW w:w="0" w:type="auto"/>
            <w:tcBorders>
              <w:top w:val="single" w:sz="6" w:space="0" w:color="FFFFFF"/>
              <w:left w:val="single" w:sz="6" w:space="0" w:color="FFFFFF"/>
              <w:bottom w:val="single" w:sz="6" w:space="0" w:color="FFFFFF"/>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R6</w:t>
            </w:r>
          </w:p>
        </w:tc>
        <w:tc>
          <w:tcPr>
            <w:tcW w:w="0" w:type="auto"/>
            <w:tcBorders>
              <w:top w:val="single" w:sz="4" w:space="0" w:color="FFFFFF"/>
              <w:left w:val="single" w:sz="6" w:space="0" w:color="FFFFFF"/>
              <w:bottom w:val="single" w:sz="4" w:space="0" w:color="FFFFFF"/>
              <w:right w:val="single" w:sz="4" w:space="0" w:color="FFFFFF"/>
            </w:tcBorders>
            <w:tcMar>
              <w:top w:w="40" w:type="dxa"/>
              <w:left w:w="40" w:type="dxa"/>
              <w:bottom w:w="40" w:type="dxa"/>
              <w:right w:w="40" w:type="dxa"/>
            </w:tcMar>
            <w:hideMark/>
          </w:tcPr>
          <w:p w:rsidR="006F0224" w:rsidRDefault="006A5689">
            <w:pPr>
              <w:rPr>
                <w:rFonts w:ascii="Arial" w:hAnsi="Arial" w:cs="Arial"/>
              </w:rPr>
            </w:pPr>
            <w:r>
              <w:rPr>
                <w:rFonts w:ascii="Arial" w:hAnsi="Arial" w:cs="Arial"/>
              </w:rPr>
              <w:t>19.903</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2.747</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13.892</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1.861</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21.332</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6.236</w:t>
            </w:r>
          </w:p>
        </w:tc>
      </w:tr>
      <w:tr w:rsidR="006F0224">
        <w:tc>
          <w:tcPr>
            <w:tcW w:w="0" w:type="auto"/>
            <w:tcBorders>
              <w:top w:val="single" w:sz="6" w:space="0" w:color="FFFFFF"/>
              <w:left w:val="single" w:sz="6" w:space="0" w:color="FFFFFF"/>
              <w:bottom w:val="single" w:sz="6" w:space="0" w:color="FFFFFF"/>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R7</w:t>
            </w:r>
          </w:p>
        </w:tc>
        <w:tc>
          <w:tcPr>
            <w:tcW w:w="0" w:type="auto"/>
            <w:tcBorders>
              <w:top w:val="single" w:sz="4" w:space="0" w:color="FFFFFF"/>
              <w:left w:val="single" w:sz="6" w:space="0" w:color="FFFFFF"/>
              <w:bottom w:val="single" w:sz="4" w:space="0" w:color="FFFFFF"/>
              <w:right w:val="single" w:sz="4" w:space="0" w:color="FFFFFF"/>
            </w:tcBorders>
            <w:tcMar>
              <w:top w:w="40" w:type="dxa"/>
              <w:left w:w="40" w:type="dxa"/>
              <w:bottom w:w="40" w:type="dxa"/>
              <w:right w:w="40" w:type="dxa"/>
            </w:tcMar>
            <w:hideMark/>
          </w:tcPr>
          <w:p w:rsidR="006F0224" w:rsidRDefault="006A5689">
            <w:pPr>
              <w:rPr>
                <w:rFonts w:ascii="Arial" w:hAnsi="Arial" w:cs="Arial"/>
              </w:rPr>
            </w:pPr>
            <w:r>
              <w:rPr>
                <w:rFonts w:ascii="Arial" w:hAnsi="Arial" w:cs="Arial"/>
              </w:rPr>
              <w:t>22.441</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7.047</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15.297</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0.978</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11.014</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6.107</w:t>
            </w:r>
          </w:p>
        </w:tc>
      </w:tr>
      <w:tr w:rsidR="006F0224">
        <w:tc>
          <w:tcPr>
            <w:tcW w:w="0" w:type="auto"/>
            <w:tcBorders>
              <w:top w:val="single" w:sz="6" w:space="0" w:color="FFFFFF"/>
              <w:left w:val="single" w:sz="6" w:space="0" w:color="FFFFFF"/>
              <w:bottom w:val="single" w:sz="6" w:space="0" w:color="FFFFFF"/>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R8</w:t>
            </w:r>
          </w:p>
        </w:tc>
        <w:tc>
          <w:tcPr>
            <w:tcW w:w="0" w:type="auto"/>
            <w:tcBorders>
              <w:top w:val="single" w:sz="4" w:space="0" w:color="FFFFFF"/>
              <w:left w:val="single" w:sz="6" w:space="0" w:color="FFFFFF"/>
              <w:bottom w:val="single" w:sz="4" w:space="0" w:color="FFFFFF"/>
              <w:right w:val="single" w:sz="4" w:space="0" w:color="FFFFFF"/>
            </w:tcBorders>
            <w:tcMar>
              <w:top w:w="40" w:type="dxa"/>
              <w:left w:w="40" w:type="dxa"/>
              <w:bottom w:w="40" w:type="dxa"/>
              <w:right w:w="40" w:type="dxa"/>
            </w:tcMar>
            <w:hideMark/>
          </w:tcPr>
          <w:p w:rsidR="006F0224" w:rsidRDefault="006A5689">
            <w:pPr>
              <w:rPr>
                <w:rFonts w:ascii="Arial" w:hAnsi="Arial" w:cs="Arial"/>
              </w:rPr>
            </w:pPr>
            <w:r>
              <w:rPr>
                <w:rFonts w:ascii="Arial" w:hAnsi="Arial" w:cs="Arial"/>
              </w:rPr>
              <w:t>246.136</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178.767</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265.636</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101.585</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152.366</w:t>
            </w:r>
          </w:p>
        </w:tc>
        <w:tc>
          <w:tcPr>
            <w:tcW w:w="0" w:type="auto"/>
            <w:tcBorders>
              <w:top w:val="single" w:sz="4" w:space="0" w:color="FFFFFF"/>
              <w:left w:val="single" w:sz="4" w:space="0" w:color="FFFFFF"/>
              <w:bottom w:val="single" w:sz="4" w:space="0" w:color="FFFFFF"/>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65.630</w:t>
            </w:r>
          </w:p>
        </w:tc>
      </w:tr>
      <w:tr w:rsidR="006F0224">
        <w:tc>
          <w:tcPr>
            <w:tcW w:w="0" w:type="auto"/>
            <w:tcBorders>
              <w:top w:val="single" w:sz="6" w:space="0" w:color="FFFFFF"/>
              <w:left w:val="single" w:sz="6" w:space="0" w:color="FFFFFF"/>
              <w:bottom w:val="single" w:sz="6" w:space="0" w:color="000000"/>
              <w:right w:val="single" w:sz="6" w:space="0" w:color="FFFFFF"/>
            </w:tcBorders>
            <w:tcMar>
              <w:top w:w="100" w:type="dxa"/>
              <w:left w:w="100" w:type="dxa"/>
              <w:bottom w:w="100" w:type="dxa"/>
              <w:right w:w="100" w:type="dxa"/>
            </w:tcMar>
            <w:vAlign w:val="center"/>
            <w:hideMark/>
          </w:tcPr>
          <w:p w:rsidR="006F0224" w:rsidRDefault="006A5689">
            <w:pPr>
              <w:jc w:val="center"/>
              <w:rPr>
                <w:rFonts w:ascii="Arial" w:eastAsia="Times New Roman" w:hAnsi="Arial" w:cs="Arial"/>
              </w:rPr>
            </w:pPr>
            <w:r>
              <w:rPr>
                <w:rFonts w:ascii="Arial" w:eastAsia="Times New Roman" w:hAnsi="Arial" w:cs="Arial"/>
              </w:rPr>
              <w:t>R9</w:t>
            </w:r>
          </w:p>
        </w:tc>
        <w:tc>
          <w:tcPr>
            <w:tcW w:w="0" w:type="auto"/>
            <w:tcBorders>
              <w:top w:val="single" w:sz="4" w:space="0" w:color="FFFFFF"/>
              <w:left w:val="single" w:sz="6" w:space="0" w:color="FFFFFF"/>
              <w:bottom w:val="single" w:sz="4" w:space="0" w:color="000000"/>
              <w:right w:val="single" w:sz="4" w:space="0" w:color="FFFFFF"/>
            </w:tcBorders>
            <w:tcMar>
              <w:top w:w="40" w:type="dxa"/>
              <w:left w:w="40" w:type="dxa"/>
              <w:bottom w:w="40" w:type="dxa"/>
              <w:right w:w="40" w:type="dxa"/>
            </w:tcMar>
            <w:hideMark/>
          </w:tcPr>
          <w:p w:rsidR="006F0224" w:rsidRDefault="006A5689">
            <w:pPr>
              <w:rPr>
                <w:rFonts w:ascii="Arial" w:hAnsi="Arial" w:cs="Arial"/>
              </w:rPr>
            </w:pPr>
            <w:r>
              <w:rPr>
                <w:rFonts w:ascii="Arial" w:hAnsi="Arial" w:cs="Arial"/>
              </w:rPr>
              <w:t>195.792</w:t>
            </w:r>
          </w:p>
        </w:tc>
        <w:tc>
          <w:tcPr>
            <w:tcW w:w="0" w:type="auto"/>
            <w:tcBorders>
              <w:top w:val="single" w:sz="4" w:space="0" w:color="FFFFFF"/>
              <w:left w:val="single" w:sz="4" w:space="0" w:color="FFFFFF"/>
              <w:bottom w:val="single" w:sz="4" w:space="0" w:color="000000"/>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149.368</w:t>
            </w:r>
          </w:p>
        </w:tc>
        <w:tc>
          <w:tcPr>
            <w:tcW w:w="0" w:type="auto"/>
            <w:tcBorders>
              <w:top w:val="single" w:sz="4" w:space="0" w:color="FFFFFF"/>
              <w:left w:val="single" w:sz="4" w:space="0" w:color="FFFFFF"/>
              <w:bottom w:val="single" w:sz="4" w:space="0" w:color="000000"/>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210.486</w:t>
            </w:r>
          </w:p>
        </w:tc>
        <w:tc>
          <w:tcPr>
            <w:tcW w:w="0" w:type="auto"/>
            <w:tcBorders>
              <w:top w:val="single" w:sz="4" w:space="0" w:color="FFFFFF"/>
              <w:left w:val="single" w:sz="4" w:space="0" w:color="FFFFFF"/>
              <w:bottom w:val="single" w:sz="4" w:space="0" w:color="000000"/>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40.773</w:t>
            </w:r>
          </w:p>
        </w:tc>
        <w:tc>
          <w:tcPr>
            <w:tcW w:w="0" w:type="auto"/>
            <w:tcBorders>
              <w:top w:val="single" w:sz="4" w:space="0" w:color="FFFFFF"/>
              <w:left w:val="single" w:sz="4" w:space="0" w:color="FFFFFF"/>
              <w:bottom w:val="single" w:sz="4" w:space="0" w:color="000000"/>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40.679</w:t>
            </w:r>
          </w:p>
        </w:tc>
        <w:tc>
          <w:tcPr>
            <w:tcW w:w="0" w:type="auto"/>
            <w:tcBorders>
              <w:top w:val="single" w:sz="4" w:space="0" w:color="FFFFFF"/>
              <w:left w:val="single" w:sz="4" w:space="0" w:color="FFFFFF"/>
              <w:bottom w:val="single" w:sz="4" w:space="0" w:color="000000"/>
              <w:right w:val="single" w:sz="4" w:space="0" w:color="FFFFFF"/>
            </w:tcBorders>
            <w:tcMar>
              <w:top w:w="40" w:type="dxa"/>
              <w:left w:w="40" w:type="dxa"/>
              <w:bottom w:w="40" w:type="dxa"/>
              <w:right w:w="40" w:type="dxa"/>
            </w:tcMar>
            <w:vAlign w:val="bottom"/>
            <w:hideMark/>
          </w:tcPr>
          <w:p w:rsidR="006F0224" w:rsidRDefault="006A5689">
            <w:pPr>
              <w:jc w:val="right"/>
              <w:rPr>
                <w:rFonts w:ascii="Arial" w:hAnsi="Arial" w:cs="Arial"/>
              </w:rPr>
            </w:pPr>
            <w:r>
              <w:rPr>
                <w:rFonts w:ascii="Arial" w:hAnsi="Arial" w:cs="Arial"/>
              </w:rPr>
              <w:t>22.275</w:t>
            </w:r>
          </w:p>
        </w:tc>
      </w:tr>
    </w:tbl>
    <w:p w:rsidR="006F0224" w:rsidRDefault="006A5689">
      <w:pPr>
        <w:rPr>
          <w:rFonts w:ascii="Arial" w:hAnsi="Arial" w:cs="Arial"/>
          <w:iCs/>
          <w:lang w:val="en-US"/>
        </w:rPr>
      </w:pPr>
      <w:r>
        <w:rPr>
          <w:rFonts w:ascii="Arial" w:hAnsi="Arial" w:cs="Arial"/>
          <w:b/>
          <w:sz w:val="24"/>
          <w:szCs w:val="24"/>
          <w:lang w:val="en-US"/>
        </w:rPr>
        <w:t xml:space="preserve">Supplementary Table 2, </w:t>
      </w:r>
      <w:r>
        <w:rPr>
          <w:rFonts w:ascii="Arial" w:hAnsi="Arial" w:cs="Arial"/>
          <w:iCs/>
          <w:lang w:val="en-US"/>
        </w:rPr>
        <w:t>Resolved MCR-ALS relative contributions (concentrations) for the six DOM fractions in the ten river water samples</w:t>
      </w:r>
    </w:p>
    <w:p w:rsidR="006F0224" w:rsidRDefault="006F0224">
      <w:pPr>
        <w:rPr>
          <w:rFonts w:ascii="Arial" w:hAnsi="Arial" w:cs="Arial"/>
          <w:iCs/>
          <w:lang w:val="en-US"/>
        </w:rPr>
      </w:pPr>
    </w:p>
    <w:p w:rsidR="006F0224" w:rsidRDefault="006F0224">
      <w:pPr>
        <w:rPr>
          <w:rFonts w:ascii="Arial" w:hAnsi="Arial" w:cs="Arial"/>
          <w:iCs/>
          <w:lang w:val="en-US"/>
        </w:rPr>
      </w:pPr>
    </w:p>
    <w:p w:rsidR="00CF4C73" w:rsidRDefault="00CF4C73">
      <w:pPr>
        <w:rPr>
          <w:rFonts w:ascii="Arial" w:hAnsi="Arial" w:cs="Arial"/>
          <w:iCs/>
          <w:lang w:val="en-US"/>
        </w:rPr>
      </w:pPr>
    </w:p>
    <w:p w:rsidR="00CF4C73" w:rsidRPr="00CF4C73" w:rsidRDefault="00CF4C73" w:rsidP="00CF4C73">
      <w:pPr>
        <w:rPr>
          <w:rFonts w:ascii="Arial" w:hAnsi="Arial" w:cs="Arial"/>
          <w:b/>
          <w:sz w:val="24"/>
          <w:szCs w:val="24"/>
        </w:rPr>
      </w:pPr>
      <w:r w:rsidRPr="00CF4C73">
        <w:rPr>
          <w:rFonts w:ascii="Arial" w:hAnsi="Arial" w:cs="Arial"/>
          <w:b/>
          <w:sz w:val="24"/>
          <w:szCs w:val="24"/>
        </w:rPr>
        <w:t>References</w:t>
      </w:r>
    </w:p>
    <w:p w:rsidR="00CF4C73" w:rsidRDefault="00CF4C73" w:rsidP="00CF4C73">
      <w:pPr>
        <w:rPr>
          <w:rFonts w:ascii="Arial" w:hAnsi="Arial" w:cs="Arial"/>
          <w:sz w:val="24"/>
          <w:szCs w:val="24"/>
        </w:rPr>
      </w:pPr>
    </w:p>
    <w:p w:rsidR="00CF4C73" w:rsidRDefault="00CF4C73" w:rsidP="00CF4C73">
      <w:pPr>
        <w:ind w:left="709" w:hanging="709"/>
        <w:rPr>
          <w:rFonts w:ascii="Arial" w:hAnsi="Arial" w:cs="Arial"/>
          <w:sz w:val="24"/>
          <w:szCs w:val="24"/>
        </w:rPr>
      </w:pPr>
      <w:r w:rsidRPr="00914199">
        <w:rPr>
          <w:rFonts w:ascii="Arial" w:hAnsi="Arial" w:cs="Arial"/>
          <w:sz w:val="24"/>
          <w:szCs w:val="24"/>
        </w:rPr>
        <w:t xml:space="preserve">Baghoth, S., Sharma, S., </w:t>
      </w:r>
      <w:r>
        <w:rPr>
          <w:rFonts w:ascii="Arial" w:hAnsi="Arial" w:cs="Arial"/>
          <w:sz w:val="24"/>
          <w:szCs w:val="24"/>
        </w:rPr>
        <w:t xml:space="preserve">&amp; </w:t>
      </w:r>
      <w:r w:rsidRPr="00914199">
        <w:rPr>
          <w:rFonts w:ascii="Arial" w:hAnsi="Arial" w:cs="Arial"/>
          <w:sz w:val="24"/>
          <w:szCs w:val="24"/>
        </w:rPr>
        <w:t xml:space="preserve">Amy, G. </w:t>
      </w:r>
      <w:r>
        <w:rPr>
          <w:rFonts w:ascii="Arial" w:hAnsi="Arial" w:cs="Arial"/>
          <w:sz w:val="24"/>
          <w:szCs w:val="24"/>
        </w:rPr>
        <w:t>(</w:t>
      </w:r>
      <w:r w:rsidRPr="00914199">
        <w:rPr>
          <w:rFonts w:ascii="Arial" w:hAnsi="Arial" w:cs="Arial"/>
          <w:sz w:val="24"/>
          <w:szCs w:val="24"/>
        </w:rPr>
        <w:t>2011</w:t>
      </w:r>
      <w:r>
        <w:rPr>
          <w:rFonts w:ascii="Arial" w:hAnsi="Arial" w:cs="Arial"/>
          <w:sz w:val="24"/>
          <w:szCs w:val="24"/>
        </w:rPr>
        <w:t>)</w:t>
      </w:r>
      <w:r w:rsidRPr="00914199">
        <w:rPr>
          <w:rFonts w:ascii="Arial" w:hAnsi="Arial" w:cs="Arial"/>
          <w:sz w:val="24"/>
          <w:szCs w:val="24"/>
        </w:rPr>
        <w:t xml:space="preserve">. Tracking natural organic matter (NOM) in a drinking water treatment plant using fluorescence excitation–emission matrices and PARAFAC. </w:t>
      </w:r>
      <w:r w:rsidRPr="001E6817">
        <w:rPr>
          <w:rFonts w:ascii="Arial" w:hAnsi="Arial" w:cs="Arial"/>
          <w:i/>
          <w:iCs/>
          <w:sz w:val="24"/>
          <w:szCs w:val="24"/>
        </w:rPr>
        <w:t>Water Research, 45</w:t>
      </w:r>
      <w:r w:rsidRPr="00914199">
        <w:rPr>
          <w:rFonts w:ascii="Arial" w:hAnsi="Arial" w:cs="Arial"/>
          <w:sz w:val="24"/>
          <w:szCs w:val="24"/>
        </w:rPr>
        <w:t>, 797-809.</w:t>
      </w:r>
      <w:r w:rsidRPr="00C732BA">
        <w:t xml:space="preserve"> </w:t>
      </w:r>
      <w:r w:rsidRPr="00C732BA">
        <w:rPr>
          <w:rStyle w:val="anchor-text"/>
          <w:rFonts w:ascii="Arial" w:hAnsi="Arial" w:cs="Arial"/>
          <w:sz w:val="21"/>
          <w:szCs w:val="21"/>
        </w:rPr>
        <w:t>https://doi.org/10.1016/j.watres.2010.09.005</w:t>
      </w:r>
    </w:p>
    <w:p w:rsidR="00CF4C73" w:rsidRPr="006037C8" w:rsidRDefault="00CF4C73" w:rsidP="00CF4C73">
      <w:pPr>
        <w:ind w:left="709" w:hanging="709"/>
        <w:rPr>
          <w:rFonts w:ascii="Arial" w:hAnsi="Arial" w:cs="Arial"/>
          <w:sz w:val="24"/>
          <w:szCs w:val="24"/>
        </w:rPr>
      </w:pPr>
      <w:r w:rsidRPr="00914199">
        <w:rPr>
          <w:rFonts w:ascii="Arial" w:hAnsi="Arial" w:cs="Arial"/>
          <w:sz w:val="24"/>
          <w:szCs w:val="24"/>
        </w:rPr>
        <w:t xml:space="preserve">Coble, P.G. </w:t>
      </w:r>
      <w:r>
        <w:rPr>
          <w:rFonts w:ascii="Arial" w:hAnsi="Arial" w:cs="Arial"/>
          <w:sz w:val="24"/>
          <w:szCs w:val="24"/>
        </w:rPr>
        <w:t>(</w:t>
      </w:r>
      <w:r w:rsidRPr="00914199">
        <w:rPr>
          <w:rFonts w:ascii="Arial" w:hAnsi="Arial" w:cs="Arial"/>
          <w:sz w:val="24"/>
          <w:szCs w:val="24"/>
        </w:rPr>
        <w:t>1996</w:t>
      </w:r>
      <w:r>
        <w:rPr>
          <w:rFonts w:ascii="Arial" w:hAnsi="Arial" w:cs="Arial"/>
          <w:sz w:val="24"/>
          <w:szCs w:val="24"/>
        </w:rPr>
        <w:t>)</w:t>
      </w:r>
      <w:r w:rsidRPr="00914199">
        <w:rPr>
          <w:rFonts w:ascii="Arial" w:hAnsi="Arial" w:cs="Arial"/>
          <w:sz w:val="24"/>
          <w:szCs w:val="24"/>
        </w:rPr>
        <w:t xml:space="preserve">. Characterization of marine and terrestrial DOM in seawater using excitation-emission matrix spectroscopy. </w:t>
      </w:r>
      <w:r w:rsidRPr="00725565">
        <w:rPr>
          <w:rFonts w:ascii="Arial" w:hAnsi="Arial" w:cs="Arial"/>
          <w:i/>
          <w:iCs/>
          <w:sz w:val="24"/>
          <w:szCs w:val="24"/>
        </w:rPr>
        <w:t>Marine Chemistry, 51</w:t>
      </w:r>
      <w:r w:rsidRPr="00914199">
        <w:rPr>
          <w:rFonts w:ascii="Arial" w:hAnsi="Arial" w:cs="Arial"/>
          <w:sz w:val="24"/>
          <w:szCs w:val="24"/>
        </w:rPr>
        <w:t>, 325-346.</w:t>
      </w:r>
      <w:r>
        <w:rPr>
          <w:rFonts w:ascii="Arial" w:hAnsi="Arial" w:cs="Arial"/>
          <w:sz w:val="24"/>
          <w:szCs w:val="24"/>
        </w:rPr>
        <w:t xml:space="preserve"> </w:t>
      </w:r>
      <w:hyperlink r:id="rId8" w:history="1">
        <w:r w:rsidRPr="0041424D">
          <w:rPr>
            <w:rStyle w:val="Hyperlink"/>
            <w:rFonts w:ascii="Arial" w:hAnsi="Arial" w:cs="Arial"/>
            <w:sz w:val="24"/>
            <w:szCs w:val="24"/>
          </w:rPr>
          <w:t>https://doi.org/10.1016/0304-4203(95)00062-3</w:t>
        </w:r>
      </w:hyperlink>
    </w:p>
    <w:p w:rsidR="00CF4C73" w:rsidRDefault="00CF4C73" w:rsidP="00CF4C73">
      <w:pPr>
        <w:ind w:left="709" w:hanging="709"/>
        <w:rPr>
          <w:rFonts w:ascii="Arial" w:hAnsi="Arial" w:cs="Arial"/>
          <w:color w:val="212121"/>
          <w:sz w:val="24"/>
          <w:szCs w:val="24"/>
          <w:shd w:val="clear" w:color="auto" w:fill="FFFFFF"/>
        </w:rPr>
      </w:pPr>
      <w:r w:rsidRPr="004C0133">
        <w:rPr>
          <w:rFonts w:ascii="Arial" w:hAnsi="Arial" w:cs="Arial"/>
          <w:color w:val="212121"/>
          <w:sz w:val="24"/>
          <w:szCs w:val="24"/>
          <w:shd w:val="clear" w:color="auto" w:fill="FFFFFF"/>
        </w:rPr>
        <w:lastRenderedPageBreak/>
        <w:t>Cory</w:t>
      </w:r>
      <w:r>
        <w:rPr>
          <w:rFonts w:ascii="Arial" w:hAnsi="Arial" w:cs="Arial"/>
          <w:color w:val="212121"/>
          <w:sz w:val="24"/>
          <w:szCs w:val="24"/>
          <w:shd w:val="clear" w:color="auto" w:fill="FFFFFF"/>
        </w:rPr>
        <w:t>,</w:t>
      </w:r>
      <w:r w:rsidRPr="004C0133">
        <w:rPr>
          <w:rFonts w:ascii="Arial" w:hAnsi="Arial" w:cs="Arial"/>
          <w:color w:val="212121"/>
          <w:sz w:val="24"/>
          <w:szCs w:val="24"/>
          <w:shd w:val="clear" w:color="auto" w:fill="FFFFFF"/>
        </w:rPr>
        <w:t xml:space="preserve"> R</w:t>
      </w:r>
      <w:r>
        <w:rPr>
          <w:rFonts w:ascii="Arial" w:hAnsi="Arial" w:cs="Arial"/>
          <w:color w:val="212121"/>
          <w:sz w:val="24"/>
          <w:szCs w:val="24"/>
          <w:shd w:val="clear" w:color="auto" w:fill="FFFFFF"/>
        </w:rPr>
        <w:t>.</w:t>
      </w:r>
      <w:r w:rsidRPr="004C0133">
        <w:rPr>
          <w:rFonts w:ascii="Arial" w:hAnsi="Arial" w:cs="Arial"/>
          <w:color w:val="212121"/>
          <w:sz w:val="24"/>
          <w:szCs w:val="24"/>
          <w:shd w:val="clear" w:color="auto" w:fill="FFFFFF"/>
        </w:rPr>
        <w:t>M</w:t>
      </w:r>
      <w:r>
        <w:rPr>
          <w:rFonts w:ascii="Arial" w:hAnsi="Arial" w:cs="Arial"/>
          <w:color w:val="212121"/>
          <w:sz w:val="24"/>
          <w:szCs w:val="24"/>
          <w:shd w:val="clear" w:color="auto" w:fill="FFFFFF"/>
        </w:rPr>
        <w:t>.</w:t>
      </w:r>
      <w:r w:rsidRPr="004C0133">
        <w:rPr>
          <w:rFonts w:ascii="Arial" w:hAnsi="Arial" w:cs="Arial"/>
          <w:color w:val="212121"/>
          <w:sz w:val="24"/>
          <w:szCs w:val="24"/>
          <w:shd w:val="clear" w:color="auto" w:fill="FFFFFF"/>
        </w:rPr>
        <w:t xml:space="preserve">, </w:t>
      </w:r>
      <w:r>
        <w:rPr>
          <w:rFonts w:ascii="Arial" w:hAnsi="Arial" w:cs="Arial"/>
          <w:color w:val="212121"/>
          <w:sz w:val="24"/>
          <w:szCs w:val="24"/>
          <w:shd w:val="clear" w:color="auto" w:fill="FFFFFF"/>
        </w:rPr>
        <w:t xml:space="preserve">&amp; </w:t>
      </w:r>
      <w:r w:rsidRPr="004C0133">
        <w:rPr>
          <w:rFonts w:ascii="Arial" w:hAnsi="Arial" w:cs="Arial"/>
          <w:color w:val="212121"/>
          <w:sz w:val="24"/>
          <w:szCs w:val="24"/>
          <w:shd w:val="clear" w:color="auto" w:fill="FFFFFF"/>
        </w:rPr>
        <w:t>McKnight</w:t>
      </w:r>
      <w:r>
        <w:rPr>
          <w:rFonts w:ascii="Arial" w:hAnsi="Arial" w:cs="Arial"/>
          <w:color w:val="212121"/>
          <w:sz w:val="24"/>
          <w:szCs w:val="24"/>
          <w:shd w:val="clear" w:color="auto" w:fill="FFFFFF"/>
        </w:rPr>
        <w:t>,</w:t>
      </w:r>
      <w:r w:rsidRPr="004C0133">
        <w:rPr>
          <w:rFonts w:ascii="Arial" w:hAnsi="Arial" w:cs="Arial"/>
          <w:color w:val="212121"/>
          <w:sz w:val="24"/>
          <w:szCs w:val="24"/>
          <w:shd w:val="clear" w:color="auto" w:fill="FFFFFF"/>
        </w:rPr>
        <w:t xml:space="preserve"> D</w:t>
      </w:r>
      <w:r>
        <w:rPr>
          <w:rFonts w:ascii="Arial" w:hAnsi="Arial" w:cs="Arial"/>
          <w:color w:val="212121"/>
          <w:sz w:val="24"/>
          <w:szCs w:val="24"/>
          <w:shd w:val="clear" w:color="auto" w:fill="FFFFFF"/>
        </w:rPr>
        <w:t>.</w:t>
      </w:r>
      <w:r w:rsidRPr="004C0133">
        <w:rPr>
          <w:rFonts w:ascii="Arial" w:hAnsi="Arial" w:cs="Arial"/>
          <w:color w:val="212121"/>
          <w:sz w:val="24"/>
          <w:szCs w:val="24"/>
          <w:shd w:val="clear" w:color="auto" w:fill="FFFFFF"/>
        </w:rPr>
        <w:t xml:space="preserve">M. </w:t>
      </w:r>
      <w:r>
        <w:rPr>
          <w:rFonts w:ascii="Arial" w:hAnsi="Arial" w:cs="Arial"/>
          <w:color w:val="212121"/>
          <w:sz w:val="24"/>
          <w:szCs w:val="24"/>
          <w:shd w:val="clear" w:color="auto" w:fill="FFFFFF"/>
        </w:rPr>
        <w:t xml:space="preserve">(2005). </w:t>
      </w:r>
      <w:r w:rsidRPr="004C0133">
        <w:rPr>
          <w:rFonts w:ascii="Arial" w:hAnsi="Arial" w:cs="Arial"/>
          <w:color w:val="212121"/>
          <w:sz w:val="24"/>
          <w:szCs w:val="24"/>
          <w:shd w:val="clear" w:color="auto" w:fill="FFFFFF"/>
        </w:rPr>
        <w:t xml:space="preserve">Fluorescence spectroscopy reveals ubiquitous presence of oxidized and reduced quinones in dissolved organic matter. </w:t>
      </w:r>
      <w:r w:rsidRPr="00725565">
        <w:rPr>
          <w:rFonts w:ascii="Arial" w:hAnsi="Arial" w:cs="Arial"/>
          <w:i/>
          <w:iCs/>
          <w:color w:val="212121"/>
          <w:sz w:val="24"/>
          <w:szCs w:val="24"/>
          <w:shd w:val="clear" w:color="auto" w:fill="FFFFFF"/>
        </w:rPr>
        <w:t>Environmental Science and Technology, 39</w:t>
      </w:r>
      <w:r w:rsidRPr="00725565">
        <w:rPr>
          <w:rFonts w:ascii="Arial" w:hAnsi="Arial" w:cs="Arial"/>
          <w:color w:val="212121"/>
          <w:sz w:val="24"/>
          <w:szCs w:val="24"/>
          <w:shd w:val="clear" w:color="auto" w:fill="FFFFFF"/>
        </w:rPr>
        <w:t xml:space="preserve">(21), 8142-8149. doi:10.1021/es0506962. </w:t>
      </w:r>
    </w:p>
    <w:p w:rsidR="00CF4C73" w:rsidRPr="006037C8" w:rsidRDefault="00CF4C73" w:rsidP="00CF4C73">
      <w:pPr>
        <w:ind w:left="709" w:hanging="709"/>
        <w:rPr>
          <w:rFonts w:ascii="Arial" w:hAnsi="Arial" w:cs="Arial"/>
          <w:color w:val="131313"/>
          <w:sz w:val="24"/>
          <w:szCs w:val="24"/>
        </w:rPr>
      </w:pPr>
      <w:r w:rsidRPr="00914199">
        <w:rPr>
          <w:rFonts w:ascii="Arial" w:hAnsi="Arial" w:cs="Arial"/>
          <w:color w:val="131313"/>
          <w:sz w:val="24"/>
          <w:szCs w:val="24"/>
        </w:rPr>
        <w:t>Mayer</w:t>
      </w:r>
      <w:r>
        <w:rPr>
          <w:rFonts w:ascii="Arial" w:hAnsi="Arial" w:cs="Arial"/>
          <w:color w:val="131313"/>
          <w:sz w:val="24"/>
          <w:szCs w:val="24"/>
        </w:rPr>
        <w:t>,</w:t>
      </w:r>
      <w:r w:rsidRPr="00914199">
        <w:rPr>
          <w:rFonts w:ascii="Arial" w:hAnsi="Arial" w:cs="Arial"/>
          <w:color w:val="131313"/>
          <w:sz w:val="24"/>
          <w:szCs w:val="24"/>
        </w:rPr>
        <w:t xml:space="preserve"> L</w:t>
      </w:r>
      <w:r>
        <w:rPr>
          <w:rFonts w:ascii="Arial" w:hAnsi="Arial" w:cs="Arial"/>
          <w:color w:val="131313"/>
          <w:sz w:val="24"/>
          <w:szCs w:val="24"/>
        </w:rPr>
        <w:t>.</w:t>
      </w:r>
      <w:r w:rsidRPr="00914199">
        <w:rPr>
          <w:rFonts w:ascii="Arial" w:hAnsi="Arial" w:cs="Arial"/>
          <w:color w:val="131313"/>
          <w:sz w:val="24"/>
          <w:szCs w:val="24"/>
        </w:rPr>
        <w:t>M</w:t>
      </w:r>
      <w:r>
        <w:rPr>
          <w:rFonts w:ascii="Arial" w:hAnsi="Arial" w:cs="Arial"/>
          <w:color w:val="131313"/>
          <w:sz w:val="24"/>
          <w:szCs w:val="24"/>
        </w:rPr>
        <w:t>.</w:t>
      </w:r>
      <w:r w:rsidRPr="00914199">
        <w:rPr>
          <w:rFonts w:ascii="Arial" w:hAnsi="Arial" w:cs="Arial"/>
          <w:color w:val="131313"/>
          <w:sz w:val="24"/>
          <w:szCs w:val="24"/>
        </w:rPr>
        <w:t>, Schick</w:t>
      </w:r>
      <w:r>
        <w:rPr>
          <w:rFonts w:ascii="Arial" w:hAnsi="Arial" w:cs="Arial"/>
          <w:color w:val="131313"/>
          <w:sz w:val="24"/>
          <w:szCs w:val="24"/>
        </w:rPr>
        <w:t>,</w:t>
      </w:r>
      <w:r w:rsidRPr="00914199">
        <w:rPr>
          <w:rFonts w:ascii="Arial" w:hAnsi="Arial" w:cs="Arial"/>
          <w:color w:val="131313"/>
          <w:sz w:val="24"/>
          <w:szCs w:val="24"/>
        </w:rPr>
        <w:t xml:space="preserve"> L</w:t>
      </w:r>
      <w:r>
        <w:rPr>
          <w:rFonts w:ascii="Arial" w:hAnsi="Arial" w:cs="Arial"/>
          <w:color w:val="131313"/>
          <w:sz w:val="24"/>
          <w:szCs w:val="24"/>
        </w:rPr>
        <w:t>.</w:t>
      </w:r>
      <w:r w:rsidRPr="00914199">
        <w:rPr>
          <w:rFonts w:ascii="Arial" w:hAnsi="Arial" w:cs="Arial"/>
          <w:color w:val="131313"/>
          <w:sz w:val="24"/>
          <w:szCs w:val="24"/>
        </w:rPr>
        <w:t>L</w:t>
      </w:r>
      <w:r>
        <w:rPr>
          <w:rFonts w:ascii="Arial" w:hAnsi="Arial" w:cs="Arial"/>
          <w:color w:val="131313"/>
          <w:sz w:val="24"/>
          <w:szCs w:val="24"/>
        </w:rPr>
        <w:t>.</w:t>
      </w:r>
      <w:r w:rsidRPr="00914199">
        <w:rPr>
          <w:rFonts w:ascii="Arial" w:hAnsi="Arial" w:cs="Arial"/>
          <w:color w:val="131313"/>
          <w:sz w:val="24"/>
          <w:szCs w:val="24"/>
        </w:rPr>
        <w:t xml:space="preserve">, </w:t>
      </w:r>
      <w:r>
        <w:rPr>
          <w:rFonts w:ascii="Arial" w:hAnsi="Arial" w:cs="Arial"/>
          <w:color w:val="131313"/>
          <w:sz w:val="24"/>
          <w:szCs w:val="24"/>
        </w:rPr>
        <w:t xml:space="preserve">&amp; </w:t>
      </w:r>
      <w:r w:rsidRPr="00914199">
        <w:rPr>
          <w:rFonts w:ascii="Arial" w:hAnsi="Arial" w:cs="Arial"/>
          <w:color w:val="131313"/>
          <w:sz w:val="24"/>
          <w:szCs w:val="24"/>
        </w:rPr>
        <w:t>Loder</w:t>
      </w:r>
      <w:r w:rsidRPr="00C66DA9">
        <w:rPr>
          <w:rFonts w:ascii="Arial" w:hAnsi="Arial" w:cs="Arial"/>
          <w:color w:val="131313"/>
          <w:sz w:val="24"/>
          <w:szCs w:val="24"/>
        </w:rPr>
        <w:t xml:space="preserve"> </w:t>
      </w:r>
      <w:r w:rsidRPr="00914199">
        <w:rPr>
          <w:rFonts w:ascii="Arial" w:hAnsi="Arial" w:cs="Arial"/>
          <w:color w:val="131313"/>
          <w:sz w:val="24"/>
          <w:szCs w:val="24"/>
        </w:rPr>
        <w:t>III</w:t>
      </w:r>
      <w:r>
        <w:rPr>
          <w:rFonts w:ascii="Arial" w:hAnsi="Arial" w:cs="Arial"/>
          <w:color w:val="131313"/>
          <w:sz w:val="24"/>
          <w:szCs w:val="24"/>
        </w:rPr>
        <w:t>,</w:t>
      </w:r>
      <w:r w:rsidRPr="00914199">
        <w:rPr>
          <w:rFonts w:ascii="Arial" w:hAnsi="Arial" w:cs="Arial"/>
          <w:color w:val="131313"/>
          <w:sz w:val="24"/>
          <w:szCs w:val="24"/>
        </w:rPr>
        <w:t xml:space="preserve"> T</w:t>
      </w:r>
      <w:r>
        <w:rPr>
          <w:rFonts w:ascii="Arial" w:hAnsi="Arial" w:cs="Arial"/>
          <w:color w:val="131313"/>
          <w:sz w:val="24"/>
          <w:szCs w:val="24"/>
        </w:rPr>
        <w:t>.</w:t>
      </w:r>
      <w:r w:rsidRPr="00914199">
        <w:rPr>
          <w:rFonts w:ascii="Arial" w:hAnsi="Arial" w:cs="Arial"/>
          <w:color w:val="131313"/>
          <w:sz w:val="24"/>
          <w:szCs w:val="24"/>
        </w:rPr>
        <w:t>C</w:t>
      </w:r>
      <w:r>
        <w:rPr>
          <w:rFonts w:ascii="Arial" w:hAnsi="Arial" w:cs="Arial"/>
          <w:color w:val="131313"/>
          <w:sz w:val="24"/>
          <w:szCs w:val="24"/>
        </w:rPr>
        <w:t>.</w:t>
      </w:r>
      <w:r w:rsidRPr="00914199">
        <w:rPr>
          <w:rFonts w:ascii="Arial" w:hAnsi="Arial" w:cs="Arial"/>
          <w:color w:val="131313"/>
          <w:sz w:val="24"/>
          <w:szCs w:val="24"/>
        </w:rPr>
        <w:t xml:space="preserve"> (1999)</w:t>
      </w:r>
      <w:r>
        <w:rPr>
          <w:rFonts w:ascii="Arial" w:hAnsi="Arial" w:cs="Arial"/>
          <w:color w:val="131313"/>
          <w:sz w:val="24"/>
          <w:szCs w:val="24"/>
        </w:rPr>
        <w:t>.</w:t>
      </w:r>
      <w:r w:rsidRPr="00914199">
        <w:rPr>
          <w:rFonts w:ascii="Arial" w:hAnsi="Arial" w:cs="Arial"/>
          <w:color w:val="131313"/>
          <w:sz w:val="24"/>
          <w:szCs w:val="24"/>
        </w:rPr>
        <w:t xml:space="preserve"> Dissolved protein fluorescence in two </w:t>
      </w:r>
      <w:r w:rsidRPr="008C2B1C">
        <w:rPr>
          <w:rFonts w:ascii="Arial" w:hAnsi="Arial" w:cs="Arial"/>
          <w:color w:val="131313"/>
          <w:sz w:val="24"/>
          <w:szCs w:val="24"/>
        </w:rPr>
        <w:t xml:space="preserve">Maine estuaries. </w:t>
      </w:r>
      <w:r w:rsidRPr="00C66DA9">
        <w:rPr>
          <w:rFonts w:ascii="Arial" w:hAnsi="Arial" w:cs="Arial"/>
          <w:i/>
          <w:iCs/>
          <w:color w:val="131313"/>
          <w:sz w:val="24"/>
          <w:szCs w:val="24"/>
        </w:rPr>
        <w:t>Marine Chemistry, 64,</w:t>
      </w:r>
      <w:r>
        <w:rPr>
          <w:rFonts w:ascii="Arial" w:hAnsi="Arial" w:cs="Arial"/>
          <w:color w:val="131313"/>
          <w:sz w:val="24"/>
          <w:szCs w:val="24"/>
        </w:rPr>
        <w:t xml:space="preserve"> </w:t>
      </w:r>
      <w:r w:rsidRPr="008C2B1C">
        <w:rPr>
          <w:rFonts w:ascii="Arial" w:hAnsi="Arial" w:cs="Arial"/>
          <w:color w:val="131313"/>
          <w:sz w:val="24"/>
          <w:szCs w:val="24"/>
        </w:rPr>
        <w:t>171</w:t>
      </w:r>
      <w:r w:rsidRPr="008C2B1C">
        <w:rPr>
          <w:rFonts w:ascii="Arial" w:eastAsia="AdvTT2acb703b+20" w:hAnsi="Arial" w:cs="Arial"/>
          <w:color w:val="131313"/>
          <w:sz w:val="24"/>
          <w:szCs w:val="24"/>
        </w:rPr>
        <w:t>–</w:t>
      </w:r>
      <w:r w:rsidRPr="008C2B1C">
        <w:rPr>
          <w:rFonts w:ascii="Arial" w:hAnsi="Arial" w:cs="Arial"/>
          <w:color w:val="131313"/>
          <w:sz w:val="24"/>
          <w:szCs w:val="24"/>
        </w:rPr>
        <w:t>179.</w:t>
      </w:r>
      <w:r>
        <w:rPr>
          <w:rFonts w:ascii="Arial" w:hAnsi="Arial" w:cs="Arial"/>
          <w:color w:val="131313"/>
          <w:sz w:val="24"/>
          <w:szCs w:val="24"/>
        </w:rPr>
        <w:t xml:space="preserve"> </w:t>
      </w:r>
      <w:r w:rsidRPr="00C66DA9">
        <w:rPr>
          <w:rFonts w:ascii="Arial" w:hAnsi="Arial" w:cs="Arial"/>
          <w:color w:val="131313"/>
        </w:rPr>
        <w:t>https://doi.org/10.1016/S0304-4203(98)00072-3</w:t>
      </w:r>
    </w:p>
    <w:p w:rsidR="00CF4C73" w:rsidRPr="006037C8" w:rsidRDefault="00CF4C73" w:rsidP="00CF4C73">
      <w:pPr>
        <w:ind w:left="709" w:hanging="709"/>
        <w:rPr>
          <w:rFonts w:ascii="Arial" w:hAnsi="Arial" w:cs="Arial"/>
          <w:sz w:val="24"/>
          <w:szCs w:val="24"/>
          <w:shd w:val="clear" w:color="auto" w:fill="FFFFFF"/>
        </w:rPr>
      </w:pPr>
      <w:r w:rsidRPr="00914199">
        <w:rPr>
          <w:rFonts w:ascii="Arial" w:hAnsi="Arial" w:cs="Arial"/>
          <w:sz w:val="24"/>
          <w:szCs w:val="24"/>
        </w:rPr>
        <w:t xml:space="preserve">Murphy , K., Hambly, A., Singh, S., Henderson, R., Baker, A., Stuetz, R., </w:t>
      </w:r>
      <w:r>
        <w:rPr>
          <w:rFonts w:ascii="Arial" w:hAnsi="Arial" w:cs="Arial"/>
          <w:sz w:val="24"/>
          <w:szCs w:val="24"/>
        </w:rPr>
        <w:t xml:space="preserve">&amp; </w:t>
      </w:r>
      <w:r w:rsidRPr="00914199">
        <w:rPr>
          <w:rFonts w:ascii="Arial" w:hAnsi="Arial" w:cs="Arial"/>
          <w:sz w:val="24"/>
          <w:szCs w:val="24"/>
        </w:rPr>
        <w:t>Khan, S. 2011. Toward a Unified PARAFAC Model.</w:t>
      </w:r>
      <w:r>
        <w:rPr>
          <w:rFonts w:ascii="Arial" w:hAnsi="Arial" w:cs="Arial"/>
          <w:sz w:val="24"/>
          <w:szCs w:val="24"/>
        </w:rPr>
        <w:t xml:space="preserve"> </w:t>
      </w:r>
      <w:r w:rsidRPr="00C66DA9">
        <w:rPr>
          <w:rFonts w:ascii="Arial" w:hAnsi="Arial" w:cs="Arial"/>
          <w:i/>
          <w:iCs/>
          <w:sz w:val="24"/>
          <w:szCs w:val="24"/>
        </w:rPr>
        <w:t>Environmental Science and Technology, 45</w:t>
      </w:r>
      <w:r w:rsidRPr="00914199">
        <w:rPr>
          <w:rFonts w:ascii="Arial" w:hAnsi="Arial" w:cs="Arial"/>
          <w:sz w:val="24"/>
          <w:szCs w:val="24"/>
        </w:rPr>
        <w:t>, 2909-2916.</w:t>
      </w:r>
      <w:r w:rsidRPr="002B00CA">
        <w:rPr>
          <w:rFonts w:ascii="Arial" w:hAnsi="Arial" w:cs="Arial"/>
          <w:sz w:val="24"/>
          <w:szCs w:val="24"/>
        </w:rPr>
        <w:t xml:space="preserve"> </w:t>
      </w:r>
      <w:hyperlink r:id="rId9" w:history="1">
        <w:r w:rsidRPr="00D11615">
          <w:rPr>
            <w:rStyle w:val="Hyperlink"/>
            <w:rFonts w:ascii="Arial" w:hAnsi="Arial" w:cs="Arial"/>
            <w:sz w:val="24"/>
            <w:szCs w:val="24"/>
            <w:shd w:val="clear" w:color="auto" w:fill="FFFFFF"/>
          </w:rPr>
          <w:t>https://doi.org/10.1021/es103015e</w:t>
        </w:r>
      </w:hyperlink>
    </w:p>
    <w:p w:rsidR="00CF4C73" w:rsidRDefault="00CF4C73" w:rsidP="00CF4C73">
      <w:pPr>
        <w:ind w:left="709" w:hanging="709"/>
        <w:rPr>
          <w:rFonts w:ascii="Arial" w:hAnsi="Arial" w:cs="Arial"/>
          <w:sz w:val="24"/>
          <w:szCs w:val="24"/>
        </w:rPr>
      </w:pPr>
      <w:r w:rsidRPr="002B00CA">
        <w:rPr>
          <w:rFonts w:ascii="Arial" w:hAnsi="Arial" w:cs="Arial"/>
          <w:sz w:val="24"/>
          <w:szCs w:val="24"/>
        </w:rPr>
        <w:t xml:space="preserve">Ohno, T. </w:t>
      </w:r>
      <w:r>
        <w:rPr>
          <w:rFonts w:ascii="Arial" w:hAnsi="Arial" w:cs="Arial"/>
          <w:sz w:val="24"/>
          <w:szCs w:val="24"/>
        </w:rPr>
        <w:t>(</w:t>
      </w:r>
      <w:r w:rsidRPr="002B00CA">
        <w:rPr>
          <w:rFonts w:ascii="Arial" w:hAnsi="Arial" w:cs="Arial"/>
          <w:sz w:val="24"/>
          <w:szCs w:val="24"/>
        </w:rPr>
        <w:t>2002</w:t>
      </w:r>
      <w:r>
        <w:rPr>
          <w:rFonts w:ascii="Arial" w:hAnsi="Arial" w:cs="Arial"/>
          <w:sz w:val="24"/>
          <w:szCs w:val="24"/>
        </w:rPr>
        <w:t>)</w:t>
      </w:r>
      <w:r w:rsidRPr="002B00CA">
        <w:rPr>
          <w:rFonts w:ascii="Arial" w:hAnsi="Arial" w:cs="Arial"/>
          <w:sz w:val="24"/>
          <w:szCs w:val="24"/>
        </w:rPr>
        <w:t xml:space="preserve">. Fluorescence inner-filtering correction for determining the humification index of dissolved organic matter. </w:t>
      </w:r>
      <w:r w:rsidRPr="00C66DA9">
        <w:rPr>
          <w:rFonts w:ascii="Arial" w:hAnsi="Arial" w:cs="Arial"/>
          <w:i/>
          <w:iCs/>
          <w:sz w:val="24"/>
          <w:szCs w:val="24"/>
        </w:rPr>
        <w:t>Environmental Science and Technology, 36</w:t>
      </w:r>
      <w:r w:rsidRPr="002B00CA">
        <w:rPr>
          <w:rFonts w:ascii="Arial" w:hAnsi="Arial" w:cs="Arial"/>
          <w:sz w:val="24"/>
          <w:szCs w:val="24"/>
        </w:rPr>
        <w:t>, 742–746. https://doi. org/10.1021/es0155276.</w:t>
      </w:r>
    </w:p>
    <w:p w:rsidR="00CF4C73" w:rsidRPr="006037C8" w:rsidRDefault="00CF4C73" w:rsidP="00CF4C73">
      <w:pPr>
        <w:ind w:left="709" w:hanging="709"/>
        <w:rPr>
          <w:rFonts w:ascii="Arial" w:hAnsi="Arial" w:cs="Arial"/>
          <w:sz w:val="24"/>
          <w:szCs w:val="24"/>
        </w:rPr>
      </w:pPr>
      <w:r w:rsidRPr="004C0133">
        <w:rPr>
          <w:rFonts w:ascii="Arial" w:hAnsi="Arial" w:cs="Arial"/>
          <w:sz w:val="24"/>
          <w:szCs w:val="24"/>
        </w:rPr>
        <w:t xml:space="preserve">Huguet, A., Vacher, L., Relexans, S., Saubusse, S., Froidefond, J.M., </w:t>
      </w:r>
      <w:r>
        <w:rPr>
          <w:rFonts w:ascii="Arial" w:hAnsi="Arial" w:cs="Arial"/>
          <w:sz w:val="24"/>
          <w:szCs w:val="24"/>
        </w:rPr>
        <w:t xml:space="preserve">&amp; </w:t>
      </w:r>
      <w:r w:rsidRPr="004C0133">
        <w:rPr>
          <w:rFonts w:ascii="Arial" w:hAnsi="Arial" w:cs="Arial"/>
          <w:sz w:val="24"/>
          <w:szCs w:val="24"/>
        </w:rPr>
        <w:t xml:space="preserve">Parlanti, E. </w:t>
      </w:r>
      <w:r>
        <w:rPr>
          <w:rFonts w:ascii="Arial" w:hAnsi="Arial" w:cs="Arial"/>
          <w:sz w:val="24"/>
          <w:szCs w:val="24"/>
        </w:rPr>
        <w:t>(</w:t>
      </w:r>
      <w:r w:rsidRPr="004C0133">
        <w:rPr>
          <w:rFonts w:ascii="Arial" w:hAnsi="Arial" w:cs="Arial"/>
          <w:sz w:val="24"/>
          <w:szCs w:val="24"/>
        </w:rPr>
        <w:t>2009</w:t>
      </w:r>
      <w:r>
        <w:rPr>
          <w:rFonts w:ascii="Arial" w:hAnsi="Arial" w:cs="Arial"/>
          <w:sz w:val="24"/>
          <w:szCs w:val="24"/>
        </w:rPr>
        <w:t>)</w:t>
      </w:r>
      <w:r w:rsidRPr="004C0133">
        <w:rPr>
          <w:rFonts w:ascii="Arial" w:hAnsi="Arial" w:cs="Arial"/>
          <w:sz w:val="24"/>
          <w:szCs w:val="24"/>
        </w:rPr>
        <w:t>. Properties of fluorescent dissolve</w:t>
      </w:r>
      <w:r>
        <w:rPr>
          <w:rFonts w:ascii="Arial" w:hAnsi="Arial" w:cs="Arial"/>
          <w:sz w:val="24"/>
          <w:szCs w:val="24"/>
        </w:rPr>
        <w:t xml:space="preserve">d organic matter in the Gironde </w:t>
      </w:r>
      <w:r w:rsidRPr="004C0133">
        <w:rPr>
          <w:rFonts w:ascii="Arial" w:hAnsi="Arial" w:cs="Arial"/>
          <w:sz w:val="24"/>
          <w:szCs w:val="24"/>
        </w:rPr>
        <w:t>Estu</w:t>
      </w:r>
      <w:r>
        <w:rPr>
          <w:rFonts w:ascii="Arial" w:hAnsi="Arial" w:cs="Arial"/>
          <w:sz w:val="24"/>
          <w:szCs w:val="24"/>
        </w:rPr>
        <w:t xml:space="preserve">ary. </w:t>
      </w:r>
      <w:r w:rsidRPr="00532601">
        <w:rPr>
          <w:rFonts w:ascii="Arial" w:hAnsi="Arial" w:cs="Arial"/>
          <w:i/>
          <w:iCs/>
          <w:sz w:val="24"/>
          <w:szCs w:val="24"/>
        </w:rPr>
        <w:t>Organic Geochemistry, 40</w:t>
      </w:r>
      <w:r>
        <w:rPr>
          <w:rFonts w:ascii="Arial" w:hAnsi="Arial" w:cs="Arial"/>
          <w:sz w:val="24"/>
          <w:szCs w:val="24"/>
        </w:rPr>
        <w:t xml:space="preserve">, 706–719. </w:t>
      </w:r>
      <w:hyperlink r:id="rId10" w:history="1">
        <w:r w:rsidRPr="007B2710">
          <w:rPr>
            <w:rStyle w:val="Hyperlink"/>
            <w:rFonts w:ascii="Arial" w:hAnsi="Arial" w:cs="Arial"/>
            <w:sz w:val="24"/>
            <w:szCs w:val="24"/>
          </w:rPr>
          <w:t>https://doi.org/10.1016/j.orggeochem.2009.03.002</w:t>
        </w:r>
      </w:hyperlink>
    </w:p>
    <w:p w:rsidR="00CF4C73" w:rsidRDefault="00CF4C73" w:rsidP="00CF4C73">
      <w:pPr>
        <w:ind w:left="709" w:hanging="709"/>
        <w:rPr>
          <w:rFonts w:ascii="Arial" w:hAnsi="Arial" w:cs="Arial"/>
          <w:color w:val="000000" w:themeColor="text1"/>
          <w:sz w:val="24"/>
          <w:szCs w:val="24"/>
        </w:rPr>
      </w:pPr>
      <w:r w:rsidRPr="00914199">
        <w:rPr>
          <w:rFonts w:ascii="Arial" w:hAnsi="Arial" w:cs="Arial"/>
          <w:color w:val="000000" w:themeColor="text1"/>
          <w:sz w:val="24"/>
          <w:szCs w:val="24"/>
        </w:rPr>
        <w:t xml:space="preserve">Stedmon, C.A., </w:t>
      </w:r>
      <w:r>
        <w:rPr>
          <w:rFonts w:ascii="Arial" w:hAnsi="Arial" w:cs="Arial"/>
          <w:color w:val="000000" w:themeColor="text1"/>
          <w:sz w:val="24"/>
          <w:szCs w:val="24"/>
        </w:rPr>
        <w:t xml:space="preserve">&amp; </w:t>
      </w:r>
      <w:r w:rsidRPr="00914199">
        <w:rPr>
          <w:rFonts w:ascii="Arial" w:hAnsi="Arial" w:cs="Arial"/>
          <w:color w:val="000000" w:themeColor="text1"/>
          <w:sz w:val="24"/>
          <w:szCs w:val="24"/>
        </w:rPr>
        <w:t xml:space="preserve">Markager, S. </w:t>
      </w:r>
      <w:r>
        <w:rPr>
          <w:rFonts w:ascii="Arial" w:hAnsi="Arial" w:cs="Arial"/>
          <w:color w:val="000000" w:themeColor="text1"/>
          <w:sz w:val="24"/>
          <w:szCs w:val="24"/>
        </w:rPr>
        <w:t>(</w:t>
      </w:r>
      <w:r w:rsidRPr="00914199">
        <w:rPr>
          <w:rFonts w:ascii="Arial" w:hAnsi="Arial" w:cs="Arial"/>
          <w:color w:val="000000" w:themeColor="text1"/>
          <w:sz w:val="24"/>
          <w:szCs w:val="24"/>
        </w:rPr>
        <w:t>2005</w:t>
      </w:r>
      <w:r>
        <w:rPr>
          <w:rFonts w:ascii="Arial" w:hAnsi="Arial" w:cs="Arial"/>
          <w:color w:val="000000" w:themeColor="text1"/>
          <w:sz w:val="24"/>
          <w:szCs w:val="24"/>
        </w:rPr>
        <w:t>)</w:t>
      </w:r>
      <w:r w:rsidRPr="00914199">
        <w:rPr>
          <w:rFonts w:ascii="Arial" w:hAnsi="Arial" w:cs="Arial"/>
          <w:color w:val="000000" w:themeColor="text1"/>
          <w:sz w:val="24"/>
          <w:szCs w:val="24"/>
        </w:rPr>
        <w:t xml:space="preserve">. Tracing the production and degradation of autochthonous fractions of dissolved organic matter by fluorescence analysis. </w:t>
      </w:r>
      <w:r w:rsidRPr="009C0DE5">
        <w:rPr>
          <w:rFonts w:ascii="Arial" w:hAnsi="Arial" w:cs="Arial"/>
          <w:i/>
          <w:iCs/>
          <w:color w:val="000000" w:themeColor="text1"/>
          <w:sz w:val="24"/>
          <w:szCs w:val="24"/>
        </w:rPr>
        <w:t>Limnology and Oceanography 50</w:t>
      </w:r>
      <w:r w:rsidRPr="00914199">
        <w:rPr>
          <w:rFonts w:ascii="Arial" w:hAnsi="Arial" w:cs="Arial"/>
          <w:color w:val="000000" w:themeColor="text1"/>
          <w:sz w:val="24"/>
          <w:szCs w:val="24"/>
        </w:rPr>
        <w:t xml:space="preserve"> (5), 1415</w:t>
      </w:r>
      <w:r>
        <w:rPr>
          <w:rFonts w:ascii="Arial" w:hAnsi="Arial" w:cs="Arial"/>
          <w:color w:val="000000" w:themeColor="text1"/>
          <w:sz w:val="24"/>
          <w:szCs w:val="24"/>
        </w:rPr>
        <w:t>-</w:t>
      </w:r>
      <w:r w:rsidRPr="00914199">
        <w:rPr>
          <w:rFonts w:ascii="Arial" w:hAnsi="Arial" w:cs="Arial"/>
          <w:color w:val="000000" w:themeColor="text1"/>
          <w:sz w:val="24"/>
          <w:szCs w:val="24"/>
        </w:rPr>
        <w:t>1426.</w:t>
      </w:r>
    </w:p>
    <w:p w:rsidR="00CF4C73" w:rsidRDefault="00CF4C73" w:rsidP="00CF4C73">
      <w:pPr>
        <w:ind w:left="709" w:hanging="709"/>
        <w:rPr>
          <w:rFonts w:ascii="Arial" w:hAnsi="Arial" w:cs="Arial"/>
          <w:color w:val="FFFFFF" w:themeColor="background1"/>
          <w:sz w:val="24"/>
          <w:szCs w:val="24"/>
        </w:rPr>
      </w:pPr>
      <w:r w:rsidRPr="00914199">
        <w:rPr>
          <w:rFonts w:ascii="Arial" w:hAnsi="Arial" w:cs="Arial"/>
          <w:sz w:val="24"/>
          <w:szCs w:val="24"/>
        </w:rPr>
        <w:t xml:space="preserve">Stedmon, C.A., Markager, S., </w:t>
      </w:r>
      <w:r>
        <w:rPr>
          <w:rFonts w:ascii="Arial" w:hAnsi="Arial" w:cs="Arial"/>
          <w:sz w:val="24"/>
          <w:szCs w:val="24"/>
        </w:rPr>
        <w:t xml:space="preserve">&amp; </w:t>
      </w:r>
      <w:r w:rsidRPr="00914199">
        <w:rPr>
          <w:rFonts w:ascii="Arial" w:hAnsi="Arial" w:cs="Arial"/>
          <w:sz w:val="24"/>
          <w:szCs w:val="24"/>
        </w:rPr>
        <w:t>Bro, R.</w:t>
      </w:r>
      <w:r>
        <w:rPr>
          <w:rFonts w:ascii="Arial" w:hAnsi="Arial" w:cs="Arial"/>
          <w:sz w:val="24"/>
          <w:szCs w:val="24"/>
        </w:rPr>
        <w:t xml:space="preserve"> (</w:t>
      </w:r>
      <w:r w:rsidRPr="00914199">
        <w:rPr>
          <w:rFonts w:ascii="Arial" w:hAnsi="Arial" w:cs="Arial"/>
          <w:sz w:val="24"/>
          <w:szCs w:val="24"/>
        </w:rPr>
        <w:t>2003</w:t>
      </w:r>
      <w:r>
        <w:rPr>
          <w:rFonts w:ascii="Arial" w:hAnsi="Arial" w:cs="Arial"/>
          <w:sz w:val="24"/>
          <w:szCs w:val="24"/>
        </w:rPr>
        <w:t>)</w:t>
      </w:r>
      <w:r w:rsidRPr="00914199">
        <w:rPr>
          <w:rFonts w:ascii="Arial" w:hAnsi="Arial" w:cs="Arial"/>
          <w:sz w:val="24"/>
          <w:szCs w:val="24"/>
        </w:rPr>
        <w:t>. Tracing dissolved organic matter in aquatic environments using a new approach to fluorescence spectroscopy.</w:t>
      </w:r>
      <w:r>
        <w:rPr>
          <w:rFonts w:ascii="Arial" w:hAnsi="Arial" w:cs="Arial"/>
          <w:sz w:val="24"/>
          <w:szCs w:val="24"/>
        </w:rPr>
        <w:t xml:space="preserve"> </w:t>
      </w:r>
      <w:r w:rsidRPr="009C0DE5">
        <w:rPr>
          <w:rFonts w:ascii="Arial" w:hAnsi="Arial" w:cs="Arial"/>
          <w:i/>
          <w:iCs/>
          <w:sz w:val="24"/>
          <w:szCs w:val="24"/>
        </w:rPr>
        <w:t>Marine Chemistry, 82</w:t>
      </w:r>
      <w:r>
        <w:rPr>
          <w:rFonts w:ascii="Arial" w:hAnsi="Arial" w:cs="Arial"/>
          <w:sz w:val="24"/>
          <w:szCs w:val="24"/>
        </w:rPr>
        <w:t xml:space="preserve"> (3-4), 239-254. </w:t>
      </w:r>
      <w:r w:rsidRPr="009C0DE5">
        <w:rPr>
          <w:rFonts w:ascii="Arial" w:hAnsi="Arial" w:cs="Arial"/>
          <w:sz w:val="24"/>
          <w:szCs w:val="24"/>
        </w:rPr>
        <w:t>https://doi.org/10.1016/S0304-4203(03)00072-0</w:t>
      </w:r>
      <w:r w:rsidRPr="00914199">
        <w:rPr>
          <w:rFonts w:ascii="Arial" w:hAnsi="Arial" w:cs="Arial"/>
          <w:sz w:val="24"/>
          <w:szCs w:val="24"/>
        </w:rPr>
        <w:t xml:space="preserve"> </w:t>
      </w:r>
      <w:r w:rsidRPr="00C33D76">
        <w:rPr>
          <w:rFonts w:ascii="Arial" w:hAnsi="Arial" w:cs="Arial"/>
          <w:color w:val="FFFFFF" w:themeColor="background1"/>
          <w:sz w:val="24"/>
          <w:szCs w:val="24"/>
        </w:rPr>
        <w:t xml:space="preserve">Mar. </w:t>
      </w:r>
    </w:p>
    <w:p w:rsidR="00CF4C73" w:rsidRPr="00830CAC" w:rsidRDefault="00CF4C73" w:rsidP="00CF4C73">
      <w:pPr>
        <w:ind w:left="709" w:hanging="709"/>
        <w:rPr>
          <w:rFonts w:ascii="Arial" w:hAnsi="Arial" w:cs="Arial"/>
          <w:sz w:val="24"/>
          <w:szCs w:val="24"/>
        </w:rPr>
      </w:pPr>
      <w:r w:rsidRPr="00CF4C73">
        <w:rPr>
          <w:rStyle w:val="Strong"/>
          <w:rFonts w:ascii="Arial" w:hAnsi="Arial" w:cs="Arial"/>
          <w:b w:val="0"/>
          <w:sz w:val="24"/>
          <w:szCs w:val="24"/>
        </w:rPr>
        <w:t>Zhang, Y., et al. (2009).</w:t>
      </w:r>
      <w:r w:rsidRPr="00830CAC">
        <w:rPr>
          <w:rFonts w:ascii="Arial" w:hAnsi="Arial" w:cs="Arial"/>
          <w:sz w:val="24"/>
          <w:szCs w:val="24"/>
        </w:rPr>
        <w:t xml:space="preserve"> </w:t>
      </w:r>
      <w:r w:rsidRPr="00830CAC">
        <w:rPr>
          <w:rStyle w:val="Emphasis"/>
          <w:rFonts w:ascii="Arial" w:hAnsi="Arial" w:cs="Arial"/>
          <w:sz w:val="24"/>
          <w:szCs w:val="24"/>
        </w:rPr>
        <w:t>Characterization of dissolved organic matter in urban stormwater runoff by UV–Vis absorbance and fluorescence spectroscopy.</w:t>
      </w:r>
      <w:r w:rsidRPr="00830CAC">
        <w:rPr>
          <w:rFonts w:ascii="Arial" w:hAnsi="Arial" w:cs="Arial"/>
          <w:sz w:val="24"/>
          <w:szCs w:val="24"/>
        </w:rPr>
        <w:t xml:space="preserve"> </w:t>
      </w:r>
      <w:r w:rsidRPr="00830CAC">
        <w:rPr>
          <w:rFonts w:ascii="Arial" w:hAnsi="Arial" w:cs="Arial"/>
          <w:i/>
          <w:iCs/>
          <w:sz w:val="24"/>
          <w:szCs w:val="24"/>
        </w:rPr>
        <w:t>Water Research</w:t>
      </w:r>
      <w:r w:rsidRPr="00830CAC">
        <w:rPr>
          <w:rFonts w:ascii="Arial" w:hAnsi="Arial" w:cs="Arial"/>
          <w:sz w:val="24"/>
          <w:szCs w:val="24"/>
        </w:rPr>
        <w:t xml:space="preserve">, </w:t>
      </w:r>
      <w:r w:rsidRPr="00CF4C73">
        <w:rPr>
          <w:rStyle w:val="Strong"/>
          <w:rFonts w:ascii="Arial" w:hAnsi="Arial" w:cs="Arial"/>
          <w:b w:val="0"/>
          <w:sz w:val="24"/>
          <w:szCs w:val="24"/>
        </w:rPr>
        <w:t>43</w:t>
      </w:r>
      <w:r w:rsidRPr="00CF4C73">
        <w:rPr>
          <w:rFonts w:ascii="Arial" w:hAnsi="Arial" w:cs="Arial"/>
          <w:b/>
          <w:sz w:val="24"/>
          <w:szCs w:val="24"/>
        </w:rPr>
        <w:t>,</w:t>
      </w:r>
      <w:r w:rsidRPr="00830CAC">
        <w:rPr>
          <w:rFonts w:ascii="Arial" w:hAnsi="Arial" w:cs="Arial"/>
          <w:sz w:val="24"/>
          <w:szCs w:val="24"/>
        </w:rPr>
        <w:t xml:space="preserve"> 2498–2506.</w:t>
      </w:r>
    </w:p>
    <w:p w:rsidR="00CF4C73" w:rsidRPr="006037C8" w:rsidRDefault="00CF4C73" w:rsidP="00CF4C73">
      <w:pPr>
        <w:rPr>
          <w:rFonts w:ascii="Arial" w:hAnsi="Arial" w:cs="Arial"/>
          <w:sz w:val="24"/>
          <w:szCs w:val="24"/>
        </w:rPr>
      </w:pPr>
      <w:r w:rsidRPr="00B35A5F">
        <w:rPr>
          <w:rFonts w:ascii="Arial" w:hAnsi="Arial" w:cs="Arial"/>
          <w:sz w:val="24"/>
          <w:szCs w:val="24"/>
        </w:rPr>
        <w:t xml:space="preserve">Yamashita, Y.,  </w:t>
      </w:r>
      <w:r>
        <w:rPr>
          <w:rFonts w:ascii="Arial" w:hAnsi="Arial" w:cs="Arial"/>
          <w:sz w:val="24"/>
          <w:szCs w:val="24"/>
        </w:rPr>
        <w:t xml:space="preserve">&amp; </w:t>
      </w:r>
      <w:r w:rsidRPr="00B35A5F">
        <w:rPr>
          <w:rFonts w:ascii="Arial" w:hAnsi="Arial" w:cs="Arial"/>
          <w:sz w:val="24"/>
          <w:szCs w:val="24"/>
        </w:rPr>
        <w:t xml:space="preserve"> Tanoue, E. (2003). Chemical characterization of protein-like fluorophores in DOM in relation to aromatic amino acids. Marine Chemistry, 82,  255-271. https://doi.org/10.1016/S0304-4203(03)00073-2</w:t>
      </w:r>
      <w:bookmarkStart w:id="0" w:name="_GoBack"/>
      <w:bookmarkEnd w:id="0"/>
    </w:p>
    <w:p w:rsidR="00CF4C73" w:rsidRDefault="00CF4C73">
      <w:pPr>
        <w:rPr>
          <w:rFonts w:ascii="Arial" w:hAnsi="Arial" w:cs="Arial"/>
          <w:iCs/>
          <w:lang w:val="en-US"/>
        </w:rPr>
      </w:pPr>
    </w:p>
    <w:p w:rsidR="00CF4C73" w:rsidRDefault="00CF4C73">
      <w:pPr>
        <w:rPr>
          <w:rFonts w:ascii="Arial" w:hAnsi="Arial" w:cs="Arial"/>
          <w:iCs/>
          <w:lang w:val="en-US"/>
        </w:rPr>
      </w:pPr>
    </w:p>
    <w:p w:rsidR="00CF4C73" w:rsidRDefault="00CF4C73">
      <w:pPr>
        <w:rPr>
          <w:rFonts w:ascii="Arial" w:hAnsi="Arial" w:cs="Arial"/>
          <w:iCs/>
          <w:lang w:val="en-US"/>
        </w:rPr>
      </w:pPr>
    </w:p>
    <w:p w:rsidR="00CF4C73" w:rsidRDefault="00CF4C73">
      <w:pPr>
        <w:rPr>
          <w:rFonts w:ascii="Arial" w:hAnsi="Arial" w:cs="Arial"/>
          <w:iCs/>
          <w:lang w:val="en-US"/>
        </w:rPr>
      </w:pPr>
    </w:p>
    <w:p w:rsidR="00CF4C73" w:rsidRDefault="00CF4C73">
      <w:pPr>
        <w:rPr>
          <w:rFonts w:ascii="Arial" w:hAnsi="Arial" w:cs="Arial"/>
          <w:iCs/>
          <w:lang w:val="en-US"/>
        </w:rPr>
      </w:pPr>
    </w:p>
    <w:sectPr w:rsidR="00CF4C73">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689" w:rsidRDefault="006A5689">
      <w:pPr>
        <w:spacing w:after="0" w:line="240" w:lineRule="auto"/>
      </w:pPr>
      <w:r>
        <w:separator/>
      </w:r>
    </w:p>
  </w:endnote>
  <w:endnote w:type="continuationSeparator" w:id="0">
    <w:p w:rsidR="006A5689" w:rsidRDefault="006A5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vTT2acb703b+20">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689" w:rsidRDefault="006A5689">
      <w:pPr>
        <w:spacing w:after="0" w:line="240" w:lineRule="auto"/>
      </w:pPr>
      <w:r>
        <w:separator/>
      </w:r>
    </w:p>
  </w:footnote>
  <w:footnote w:type="continuationSeparator" w:id="0">
    <w:p w:rsidR="006A5689" w:rsidRDefault="006A56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85647C"/>
    <w:multiLevelType w:val="hybridMultilevel"/>
    <w:tmpl w:val="CFFA4146"/>
    <w:lvl w:ilvl="0" w:tplc="0F1E3698">
      <w:numFmt w:val="bullet"/>
      <w:lvlText w:val=""/>
      <w:lvlJc w:val="left"/>
      <w:pPr>
        <w:ind w:left="1431" w:hanging="360"/>
      </w:pPr>
      <w:rPr>
        <w:rFonts w:ascii="Symbol" w:eastAsiaTheme="minorHAnsi" w:hAnsi="Symbol" w:cs="Arial" w:hint="default"/>
      </w:rPr>
    </w:lvl>
    <w:lvl w:ilvl="1" w:tplc="0C0A0003" w:tentative="1">
      <w:start w:val="1"/>
      <w:numFmt w:val="bullet"/>
      <w:lvlText w:val="o"/>
      <w:lvlJc w:val="left"/>
      <w:pPr>
        <w:ind w:left="2151" w:hanging="360"/>
      </w:pPr>
      <w:rPr>
        <w:rFonts w:ascii="Courier New" w:hAnsi="Courier New" w:cs="Courier New" w:hint="default"/>
      </w:rPr>
    </w:lvl>
    <w:lvl w:ilvl="2" w:tplc="0C0A0005" w:tentative="1">
      <w:start w:val="1"/>
      <w:numFmt w:val="bullet"/>
      <w:lvlText w:val=""/>
      <w:lvlJc w:val="left"/>
      <w:pPr>
        <w:ind w:left="2871" w:hanging="360"/>
      </w:pPr>
      <w:rPr>
        <w:rFonts w:ascii="Wingdings" w:hAnsi="Wingdings" w:hint="default"/>
      </w:rPr>
    </w:lvl>
    <w:lvl w:ilvl="3" w:tplc="0C0A0001" w:tentative="1">
      <w:start w:val="1"/>
      <w:numFmt w:val="bullet"/>
      <w:lvlText w:val=""/>
      <w:lvlJc w:val="left"/>
      <w:pPr>
        <w:ind w:left="3591" w:hanging="360"/>
      </w:pPr>
      <w:rPr>
        <w:rFonts w:ascii="Symbol" w:hAnsi="Symbol" w:hint="default"/>
      </w:rPr>
    </w:lvl>
    <w:lvl w:ilvl="4" w:tplc="0C0A0003" w:tentative="1">
      <w:start w:val="1"/>
      <w:numFmt w:val="bullet"/>
      <w:lvlText w:val="o"/>
      <w:lvlJc w:val="left"/>
      <w:pPr>
        <w:ind w:left="4311" w:hanging="360"/>
      </w:pPr>
      <w:rPr>
        <w:rFonts w:ascii="Courier New" w:hAnsi="Courier New" w:cs="Courier New" w:hint="default"/>
      </w:rPr>
    </w:lvl>
    <w:lvl w:ilvl="5" w:tplc="0C0A0005" w:tentative="1">
      <w:start w:val="1"/>
      <w:numFmt w:val="bullet"/>
      <w:lvlText w:val=""/>
      <w:lvlJc w:val="left"/>
      <w:pPr>
        <w:ind w:left="5031" w:hanging="360"/>
      </w:pPr>
      <w:rPr>
        <w:rFonts w:ascii="Wingdings" w:hAnsi="Wingdings" w:hint="default"/>
      </w:rPr>
    </w:lvl>
    <w:lvl w:ilvl="6" w:tplc="0C0A0001" w:tentative="1">
      <w:start w:val="1"/>
      <w:numFmt w:val="bullet"/>
      <w:lvlText w:val=""/>
      <w:lvlJc w:val="left"/>
      <w:pPr>
        <w:ind w:left="5751" w:hanging="360"/>
      </w:pPr>
      <w:rPr>
        <w:rFonts w:ascii="Symbol" w:hAnsi="Symbol" w:hint="default"/>
      </w:rPr>
    </w:lvl>
    <w:lvl w:ilvl="7" w:tplc="0C0A0003" w:tentative="1">
      <w:start w:val="1"/>
      <w:numFmt w:val="bullet"/>
      <w:lvlText w:val="o"/>
      <w:lvlJc w:val="left"/>
      <w:pPr>
        <w:ind w:left="6471" w:hanging="360"/>
      </w:pPr>
      <w:rPr>
        <w:rFonts w:ascii="Courier New" w:hAnsi="Courier New" w:cs="Courier New" w:hint="default"/>
      </w:rPr>
    </w:lvl>
    <w:lvl w:ilvl="8" w:tplc="0C0A0005" w:tentative="1">
      <w:start w:val="1"/>
      <w:numFmt w:val="bullet"/>
      <w:lvlText w:val=""/>
      <w:lvlJc w:val="left"/>
      <w:pPr>
        <w:ind w:left="7191" w:hanging="360"/>
      </w:pPr>
      <w:rPr>
        <w:rFonts w:ascii="Wingdings" w:hAnsi="Wingdings" w:hint="default"/>
      </w:rPr>
    </w:lvl>
  </w:abstractNum>
  <w:abstractNum w:abstractNumId="1" w15:restartNumberingAfterBreak="0">
    <w:nsid w:val="33406E56"/>
    <w:multiLevelType w:val="hybridMultilevel"/>
    <w:tmpl w:val="A724BE9C"/>
    <w:lvl w:ilvl="0" w:tplc="D06A33C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B543A5D"/>
    <w:multiLevelType w:val="hybridMultilevel"/>
    <w:tmpl w:val="078E2896"/>
    <w:lvl w:ilvl="0" w:tplc="4CB8B2EE">
      <w:numFmt w:val="bullet"/>
      <w:lvlText w:val=""/>
      <w:lvlJc w:val="left"/>
      <w:pPr>
        <w:ind w:left="1071" w:hanging="360"/>
      </w:pPr>
      <w:rPr>
        <w:rFonts w:ascii="Symbol" w:eastAsiaTheme="minorHAnsi" w:hAnsi="Symbol" w:cs="Arial" w:hint="default"/>
      </w:rPr>
    </w:lvl>
    <w:lvl w:ilvl="1" w:tplc="0C0A0003" w:tentative="1">
      <w:start w:val="1"/>
      <w:numFmt w:val="bullet"/>
      <w:lvlText w:val="o"/>
      <w:lvlJc w:val="left"/>
      <w:pPr>
        <w:ind w:left="1791" w:hanging="360"/>
      </w:pPr>
      <w:rPr>
        <w:rFonts w:ascii="Courier New" w:hAnsi="Courier New" w:cs="Courier New" w:hint="default"/>
      </w:rPr>
    </w:lvl>
    <w:lvl w:ilvl="2" w:tplc="0C0A0005" w:tentative="1">
      <w:start w:val="1"/>
      <w:numFmt w:val="bullet"/>
      <w:lvlText w:val=""/>
      <w:lvlJc w:val="left"/>
      <w:pPr>
        <w:ind w:left="2511" w:hanging="360"/>
      </w:pPr>
      <w:rPr>
        <w:rFonts w:ascii="Wingdings" w:hAnsi="Wingdings" w:hint="default"/>
      </w:rPr>
    </w:lvl>
    <w:lvl w:ilvl="3" w:tplc="0C0A0001" w:tentative="1">
      <w:start w:val="1"/>
      <w:numFmt w:val="bullet"/>
      <w:lvlText w:val=""/>
      <w:lvlJc w:val="left"/>
      <w:pPr>
        <w:ind w:left="3231" w:hanging="360"/>
      </w:pPr>
      <w:rPr>
        <w:rFonts w:ascii="Symbol" w:hAnsi="Symbol" w:hint="default"/>
      </w:rPr>
    </w:lvl>
    <w:lvl w:ilvl="4" w:tplc="0C0A0003" w:tentative="1">
      <w:start w:val="1"/>
      <w:numFmt w:val="bullet"/>
      <w:lvlText w:val="o"/>
      <w:lvlJc w:val="left"/>
      <w:pPr>
        <w:ind w:left="3951" w:hanging="360"/>
      </w:pPr>
      <w:rPr>
        <w:rFonts w:ascii="Courier New" w:hAnsi="Courier New" w:cs="Courier New" w:hint="default"/>
      </w:rPr>
    </w:lvl>
    <w:lvl w:ilvl="5" w:tplc="0C0A0005" w:tentative="1">
      <w:start w:val="1"/>
      <w:numFmt w:val="bullet"/>
      <w:lvlText w:val=""/>
      <w:lvlJc w:val="left"/>
      <w:pPr>
        <w:ind w:left="4671" w:hanging="360"/>
      </w:pPr>
      <w:rPr>
        <w:rFonts w:ascii="Wingdings" w:hAnsi="Wingdings" w:hint="default"/>
      </w:rPr>
    </w:lvl>
    <w:lvl w:ilvl="6" w:tplc="0C0A0001" w:tentative="1">
      <w:start w:val="1"/>
      <w:numFmt w:val="bullet"/>
      <w:lvlText w:val=""/>
      <w:lvlJc w:val="left"/>
      <w:pPr>
        <w:ind w:left="5391" w:hanging="360"/>
      </w:pPr>
      <w:rPr>
        <w:rFonts w:ascii="Symbol" w:hAnsi="Symbol" w:hint="default"/>
      </w:rPr>
    </w:lvl>
    <w:lvl w:ilvl="7" w:tplc="0C0A0003" w:tentative="1">
      <w:start w:val="1"/>
      <w:numFmt w:val="bullet"/>
      <w:lvlText w:val="o"/>
      <w:lvlJc w:val="left"/>
      <w:pPr>
        <w:ind w:left="6111" w:hanging="360"/>
      </w:pPr>
      <w:rPr>
        <w:rFonts w:ascii="Courier New" w:hAnsi="Courier New" w:cs="Courier New" w:hint="default"/>
      </w:rPr>
    </w:lvl>
    <w:lvl w:ilvl="8" w:tplc="0C0A0005" w:tentative="1">
      <w:start w:val="1"/>
      <w:numFmt w:val="bullet"/>
      <w:lvlText w:val=""/>
      <w:lvlJc w:val="left"/>
      <w:pPr>
        <w:ind w:left="6831" w:hanging="360"/>
      </w:pPr>
      <w:rPr>
        <w:rFonts w:ascii="Wingdings" w:hAnsi="Wingdings" w:hint="default"/>
      </w:rPr>
    </w:lvl>
  </w:abstractNum>
  <w:abstractNum w:abstractNumId="3" w15:restartNumberingAfterBreak="0">
    <w:nsid w:val="46FA338D"/>
    <w:multiLevelType w:val="multilevel"/>
    <w:tmpl w:val="CA221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FA7B09"/>
    <w:multiLevelType w:val="hybridMultilevel"/>
    <w:tmpl w:val="7EA854D8"/>
    <w:lvl w:ilvl="0" w:tplc="EFB2156E">
      <w:start w:val="2"/>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F4116B6"/>
    <w:multiLevelType w:val="multilevel"/>
    <w:tmpl w:val="12F22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9A2717"/>
    <w:multiLevelType w:val="hybridMultilevel"/>
    <w:tmpl w:val="24FC3194"/>
    <w:lvl w:ilvl="0" w:tplc="7C986DB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40157B"/>
    <w:multiLevelType w:val="multilevel"/>
    <w:tmpl w:val="85DC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0"/>
  </w:num>
  <w:num w:numId="5">
    <w:abstractNumId w:val="7"/>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t7QwMDQzMDA1tDA3MTBU0lEKTi0uzszPAykwrwUA/bmTmSwAAAA="/>
    <w:docVar w:name="PMS_Route" w:val="Done"/>
    <w:docVar w:name="Total_Editing_Time" w:val="29"/>
  </w:docVars>
  <w:rsids>
    <w:rsidRoot w:val="006F0224"/>
    <w:rsid w:val="006A5689"/>
    <w:rsid w:val="006F0224"/>
    <w:rsid w:val="00CF4C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DE084"/>
  <w15:docId w15:val="{4341160A-43F7-4D58-B168-B7717FF78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Emphasis">
    <w:name w:val="Emphasis"/>
    <w:basedOn w:val="DefaultParagraphFont"/>
    <w:uiPriority w:val="20"/>
    <w:qFormat/>
    <w:rPr>
      <w:i/>
      <w:iC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nchor-text">
    <w:name w:val="anchor-text"/>
    <w:basedOn w:val="DefaultParagraphFont"/>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pPr>
      <w:spacing w:after="160" w:line="259" w:lineRule="auto"/>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Caption">
    <w:name w:val="caption"/>
    <w:basedOn w:val="Normal"/>
    <w:next w:val="Normal"/>
    <w:uiPriority w:val="35"/>
    <w:unhideWhenUsed/>
    <w:qFormat/>
    <w:pPr>
      <w:spacing w:line="240" w:lineRule="auto"/>
    </w:pPr>
    <w:rPr>
      <w:rFonts w:eastAsiaTheme="minorEastAsia"/>
      <w:i/>
      <w:iCs/>
      <w:color w:val="1F497D" w:themeColor="text2"/>
      <w:sz w:val="18"/>
      <w:szCs w:val="18"/>
      <w:lang w:val="en-US" w:eastAsia="es-E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pPr>
      <w:spacing w:after="0" w:line="240" w:lineRule="auto"/>
      <w:jc w:val="both"/>
    </w:pPr>
    <w:rPr>
      <w:rFonts w:ascii="Times New Roman" w:eastAsia="Times New Roman" w:hAnsi="Times New Roman" w:cs="Times New Roman"/>
      <w:sz w:val="20"/>
      <w:szCs w:val="20"/>
      <w:lang w:val="en-GB" w:eastAsia="es-ES"/>
    </w:rPr>
  </w:style>
  <w:style w:type="character" w:customStyle="1" w:styleId="BodyTextChar">
    <w:name w:val="Body Text Char"/>
    <w:basedOn w:val="DefaultParagraphFont"/>
    <w:link w:val="BodyText"/>
    <w:uiPriority w:val="99"/>
    <w:rPr>
      <w:rFonts w:ascii="Times New Roman" w:eastAsia="Times New Roman" w:hAnsi="Times New Roman" w:cs="Times New Roman"/>
      <w:sz w:val="20"/>
      <w:szCs w:val="20"/>
      <w:lang w:val="en-GB" w:eastAsia="es-ES"/>
    </w:rPr>
  </w:style>
  <w:style w:type="character" w:customStyle="1" w:styleId="hps">
    <w:name w:val="hps"/>
    <w:basedOn w:val="DefaultParagraphFont"/>
    <w:uiPriority w:val="99"/>
    <w:rPr>
      <w:rFonts w:cs="Times New Roma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es-ES"/>
    </w:rPr>
  </w:style>
  <w:style w:type="character" w:customStyle="1" w:styleId="CommentTextChar">
    <w:name w:val="Comment Text Char"/>
    <w:basedOn w:val="DefaultParagraphFont"/>
    <w:link w:val="CommentText"/>
    <w:uiPriority w:val="99"/>
    <w:rPr>
      <w:rFonts w:eastAsiaTheme="minorEastAsia"/>
      <w:sz w:val="20"/>
      <w:szCs w:val="20"/>
      <w:lang w:eastAsia="es-ES"/>
    </w:rPr>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es-ES"/>
    </w:rPr>
  </w:style>
  <w:style w:type="character" w:customStyle="1" w:styleId="Mencinsinresolver1">
    <w:name w:val="Mención sin resolver1"/>
    <w:basedOn w:val="DefaultParagraphFont"/>
    <w:uiPriority w:val="99"/>
    <w:semiHidden/>
    <w:unhideWhenUsed/>
    <w:rPr>
      <w:color w:val="605E5C"/>
      <w:shd w:val="clear" w:color="auto" w:fill="E1DFDD"/>
    </w:rPr>
  </w:style>
  <w:style w:type="character" w:customStyle="1" w:styleId="hpsatn">
    <w:name w:val="hps atn"/>
    <w:basedOn w:val="DefaultParagraphFont"/>
  </w:style>
  <w:style w:type="character" w:customStyle="1" w:styleId="html-italic">
    <w:name w:val="html-italic"/>
    <w:basedOn w:val="DefaultParagraphFont"/>
  </w:style>
  <w:style w:type="paragraph" w:styleId="Revision">
    <w:name w:val="Revision"/>
    <w:hidden/>
    <w:uiPriority w:val="99"/>
    <w:semiHidden/>
    <w:pPr>
      <w:spacing w:after="0" w:line="240" w:lineRule="auto"/>
    </w:pPr>
  </w:style>
  <w:style w:type="character" w:customStyle="1" w:styleId="Mencinsinresolver2">
    <w:name w:val="Mención sin resolver2"/>
    <w:basedOn w:val="DefaultParagraphFont"/>
    <w:uiPriority w:val="99"/>
    <w:semiHidden/>
    <w:unhideWhenUsed/>
    <w:rPr>
      <w:color w:val="605E5C"/>
      <w:shd w:val="clear" w:color="auto" w:fill="E1DFDD"/>
    </w:rPr>
  </w:style>
  <w:style w:type="character" w:styleId="LineNumber">
    <w:name w:val="line number"/>
    <w:basedOn w:val="DefaultParagraphFont"/>
    <w:uiPriority w:val="99"/>
    <w:semiHidden/>
    <w:unhideWhenUsed/>
  </w:style>
  <w:style w:type="paragraph" w:customStyle="1" w:styleId="u-mb-16">
    <w:name w:val="u-mb-16"/>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u-mb-24">
    <w:name w:val="u-mb-24"/>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TMLCite">
    <w:name w:val="HTML Cite"/>
    <w:basedOn w:val="DefaultParagraphFont"/>
    <w:uiPriority w:val="99"/>
    <w:semiHidden/>
    <w:unhideWhenUsed/>
    <w:rPr>
      <w:i/>
      <w:iCs/>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relative">
    <w:name w:val="relative"/>
    <w:basedOn w:val="DefaultParagraphFont"/>
  </w:style>
  <w:style w:type="character" w:customStyle="1" w:styleId="ms-1">
    <w:name w:val="ms-1"/>
    <w:basedOn w:val="DefaultParagraphFont"/>
  </w:style>
  <w:style w:type="character" w:customStyle="1" w:styleId="max-w-full">
    <w:name w:val="max-w-full"/>
    <w:basedOn w:val="DefaultParagraphFont"/>
  </w:style>
  <w:style w:type="character" w:customStyle="1" w:styleId="-me-1">
    <w:name w:val="-me-1"/>
    <w:basedOn w:val="DefaultParagraphFont"/>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author">
    <w:name w:val="author"/>
    <w:basedOn w:val="DefaultParagraphFont"/>
  </w:style>
  <w:style w:type="character" w:customStyle="1" w:styleId="pubyear">
    <w:name w:val="pubyear"/>
    <w:basedOn w:val="DefaultParagraphFont"/>
  </w:style>
  <w:style w:type="character" w:customStyle="1" w:styleId="articletitle">
    <w:name w:val="articletitle"/>
    <w:basedOn w:val="DefaultParagraphFont"/>
  </w:style>
  <w:style w:type="character" w:customStyle="1" w:styleId="vol">
    <w:name w:val="vol"/>
    <w:basedOn w:val="DefaultParagraphFont"/>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title-text">
    <w:name w:val="title-text"/>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93961">
      <w:bodyDiv w:val="1"/>
      <w:marLeft w:val="0"/>
      <w:marRight w:val="0"/>
      <w:marTop w:val="0"/>
      <w:marBottom w:val="0"/>
      <w:divBdr>
        <w:top w:val="none" w:sz="0" w:space="0" w:color="auto"/>
        <w:left w:val="none" w:sz="0" w:space="0" w:color="auto"/>
        <w:bottom w:val="none" w:sz="0" w:space="0" w:color="auto"/>
        <w:right w:val="none" w:sz="0" w:space="0" w:color="auto"/>
      </w:divBdr>
    </w:div>
    <w:div w:id="185952051">
      <w:bodyDiv w:val="1"/>
      <w:marLeft w:val="0"/>
      <w:marRight w:val="0"/>
      <w:marTop w:val="0"/>
      <w:marBottom w:val="0"/>
      <w:divBdr>
        <w:top w:val="none" w:sz="0" w:space="0" w:color="auto"/>
        <w:left w:val="none" w:sz="0" w:space="0" w:color="auto"/>
        <w:bottom w:val="none" w:sz="0" w:space="0" w:color="auto"/>
        <w:right w:val="none" w:sz="0" w:space="0" w:color="auto"/>
      </w:divBdr>
    </w:div>
    <w:div w:id="235825096">
      <w:bodyDiv w:val="1"/>
      <w:marLeft w:val="0"/>
      <w:marRight w:val="0"/>
      <w:marTop w:val="0"/>
      <w:marBottom w:val="0"/>
      <w:divBdr>
        <w:top w:val="none" w:sz="0" w:space="0" w:color="auto"/>
        <w:left w:val="none" w:sz="0" w:space="0" w:color="auto"/>
        <w:bottom w:val="none" w:sz="0" w:space="0" w:color="auto"/>
        <w:right w:val="none" w:sz="0" w:space="0" w:color="auto"/>
      </w:divBdr>
    </w:div>
    <w:div w:id="272202884">
      <w:bodyDiv w:val="1"/>
      <w:marLeft w:val="0"/>
      <w:marRight w:val="0"/>
      <w:marTop w:val="0"/>
      <w:marBottom w:val="0"/>
      <w:divBdr>
        <w:top w:val="none" w:sz="0" w:space="0" w:color="auto"/>
        <w:left w:val="none" w:sz="0" w:space="0" w:color="auto"/>
        <w:bottom w:val="none" w:sz="0" w:space="0" w:color="auto"/>
        <w:right w:val="none" w:sz="0" w:space="0" w:color="auto"/>
      </w:divBdr>
    </w:div>
    <w:div w:id="272523391">
      <w:bodyDiv w:val="1"/>
      <w:marLeft w:val="0"/>
      <w:marRight w:val="0"/>
      <w:marTop w:val="0"/>
      <w:marBottom w:val="0"/>
      <w:divBdr>
        <w:top w:val="none" w:sz="0" w:space="0" w:color="auto"/>
        <w:left w:val="none" w:sz="0" w:space="0" w:color="auto"/>
        <w:bottom w:val="none" w:sz="0" w:space="0" w:color="auto"/>
        <w:right w:val="none" w:sz="0" w:space="0" w:color="auto"/>
      </w:divBdr>
    </w:div>
    <w:div w:id="360321160">
      <w:bodyDiv w:val="1"/>
      <w:marLeft w:val="0"/>
      <w:marRight w:val="0"/>
      <w:marTop w:val="0"/>
      <w:marBottom w:val="0"/>
      <w:divBdr>
        <w:top w:val="none" w:sz="0" w:space="0" w:color="auto"/>
        <w:left w:val="none" w:sz="0" w:space="0" w:color="auto"/>
        <w:bottom w:val="none" w:sz="0" w:space="0" w:color="auto"/>
        <w:right w:val="none" w:sz="0" w:space="0" w:color="auto"/>
      </w:divBdr>
    </w:div>
    <w:div w:id="386614806">
      <w:bodyDiv w:val="1"/>
      <w:marLeft w:val="0"/>
      <w:marRight w:val="0"/>
      <w:marTop w:val="0"/>
      <w:marBottom w:val="0"/>
      <w:divBdr>
        <w:top w:val="none" w:sz="0" w:space="0" w:color="auto"/>
        <w:left w:val="none" w:sz="0" w:space="0" w:color="auto"/>
        <w:bottom w:val="none" w:sz="0" w:space="0" w:color="auto"/>
        <w:right w:val="none" w:sz="0" w:space="0" w:color="auto"/>
      </w:divBdr>
    </w:div>
    <w:div w:id="410665054">
      <w:bodyDiv w:val="1"/>
      <w:marLeft w:val="0"/>
      <w:marRight w:val="0"/>
      <w:marTop w:val="0"/>
      <w:marBottom w:val="0"/>
      <w:divBdr>
        <w:top w:val="none" w:sz="0" w:space="0" w:color="auto"/>
        <w:left w:val="none" w:sz="0" w:space="0" w:color="auto"/>
        <w:bottom w:val="none" w:sz="0" w:space="0" w:color="auto"/>
        <w:right w:val="none" w:sz="0" w:space="0" w:color="auto"/>
      </w:divBdr>
    </w:div>
    <w:div w:id="417824404">
      <w:bodyDiv w:val="1"/>
      <w:marLeft w:val="0"/>
      <w:marRight w:val="0"/>
      <w:marTop w:val="0"/>
      <w:marBottom w:val="0"/>
      <w:divBdr>
        <w:top w:val="none" w:sz="0" w:space="0" w:color="auto"/>
        <w:left w:val="none" w:sz="0" w:space="0" w:color="auto"/>
        <w:bottom w:val="none" w:sz="0" w:space="0" w:color="auto"/>
        <w:right w:val="none" w:sz="0" w:space="0" w:color="auto"/>
      </w:divBdr>
    </w:div>
    <w:div w:id="523521011">
      <w:bodyDiv w:val="1"/>
      <w:marLeft w:val="0"/>
      <w:marRight w:val="0"/>
      <w:marTop w:val="0"/>
      <w:marBottom w:val="0"/>
      <w:divBdr>
        <w:top w:val="none" w:sz="0" w:space="0" w:color="auto"/>
        <w:left w:val="none" w:sz="0" w:space="0" w:color="auto"/>
        <w:bottom w:val="none" w:sz="0" w:space="0" w:color="auto"/>
        <w:right w:val="none" w:sz="0" w:space="0" w:color="auto"/>
      </w:divBdr>
    </w:div>
    <w:div w:id="555895686">
      <w:bodyDiv w:val="1"/>
      <w:marLeft w:val="0"/>
      <w:marRight w:val="0"/>
      <w:marTop w:val="0"/>
      <w:marBottom w:val="0"/>
      <w:divBdr>
        <w:top w:val="none" w:sz="0" w:space="0" w:color="auto"/>
        <w:left w:val="none" w:sz="0" w:space="0" w:color="auto"/>
        <w:bottom w:val="none" w:sz="0" w:space="0" w:color="auto"/>
        <w:right w:val="none" w:sz="0" w:space="0" w:color="auto"/>
      </w:divBdr>
    </w:div>
    <w:div w:id="646203987">
      <w:bodyDiv w:val="1"/>
      <w:marLeft w:val="0"/>
      <w:marRight w:val="0"/>
      <w:marTop w:val="0"/>
      <w:marBottom w:val="0"/>
      <w:divBdr>
        <w:top w:val="none" w:sz="0" w:space="0" w:color="auto"/>
        <w:left w:val="none" w:sz="0" w:space="0" w:color="auto"/>
        <w:bottom w:val="none" w:sz="0" w:space="0" w:color="auto"/>
        <w:right w:val="none" w:sz="0" w:space="0" w:color="auto"/>
      </w:divBdr>
    </w:div>
    <w:div w:id="664668339">
      <w:bodyDiv w:val="1"/>
      <w:marLeft w:val="0"/>
      <w:marRight w:val="0"/>
      <w:marTop w:val="0"/>
      <w:marBottom w:val="0"/>
      <w:divBdr>
        <w:top w:val="none" w:sz="0" w:space="0" w:color="auto"/>
        <w:left w:val="none" w:sz="0" w:space="0" w:color="auto"/>
        <w:bottom w:val="none" w:sz="0" w:space="0" w:color="auto"/>
        <w:right w:val="none" w:sz="0" w:space="0" w:color="auto"/>
      </w:divBdr>
    </w:div>
    <w:div w:id="727461272">
      <w:bodyDiv w:val="1"/>
      <w:marLeft w:val="0"/>
      <w:marRight w:val="0"/>
      <w:marTop w:val="0"/>
      <w:marBottom w:val="0"/>
      <w:divBdr>
        <w:top w:val="none" w:sz="0" w:space="0" w:color="auto"/>
        <w:left w:val="none" w:sz="0" w:space="0" w:color="auto"/>
        <w:bottom w:val="none" w:sz="0" w:space="0" w:color="auto"/>
        <w:right w:val="none" w:sz="0" w:space="0" w:color="auto"/>
      </w:divBdr>
    </w:div>
    <w:div w:id="735666505">
      <w:bodyDiv w:val="1"/>
      <w:marLeft w:val="0"/>
      <w:marRight w:val="0"/>
      <w:marTop w:val="0"/>
      <w:marBottom w:val="0"/>
      <w:divBdr>
        <w:top w:val="none" w:sz="0" w:space="0" w:color="auto"/>
        <w:left w:val="none" w:sz="0" w:space="0" w:color="auto"/>
        <w:bottom w:val="none" w:sz="0" w:space="0" w:color="auto"/>
        <w:right w:val="none" w:sz="0" w:space="0" w:color="auto"/>
      </w:divBdr>
    </w:div>
    <w:div w:id="807285994">
      <w:bodyDiv w:val="1"/>
      <w:marLeft w:val="0"/>
      <w:marRight w:val="0"/>
      <w:marTop w:val="0"/>
      <w:marBottom w:val="0"/>
      <w:divBdr>
        <w:top w:val="none" w:sz="0" w:space="0" w:color="auto"/>
        <w:left w:val="none" w:sz="0" w:space="0" w:color="auto"/>
        <w:bottom w:val="none" w:sz="0" w:space="0" w:color="auto"/>
        <w:right w:val="none" w:sz="0" w:space="0" w:color="auto"/>
      </w:divBdr>
    </w:div>
    <w:div w:id="807816664">
      <w:bodyDiv w:val="1"/>
      <w:marLeft w:val="0"/>
      <w:marRight w:val="0"/>
      <w:marTop w:val="0"/>
      <w:marBottom w:val="0"/>
      <w:divBdr>
        <w:top w:val="none" w:sz="0" w:space="0" w:color="auto"/>
        <w:left w:val="none" w:sz="0" w:space="0" w:color="auto"/>
        <w:bottom w:val="none" w:sz="0" w:space="0" w:color="auto"/>
        <w:right w:val="none" w:sz="0" w:space="0" w:color="auto"/>
      </w:divBdr>
      <w:divsChild>
        <w:div w:id="1421411652">
          <w:marLeft w:val="90"/>
          <w:marRight w:val="90"/>
          <w:marTop w:val="120"/>
          <w:marBottom w:val="120"/>
          <w:divBdr>
            <w:top w:val="none" w:sz="0" w:space="0" w:color="auto"/>
            <w:left w:val="none" w:sz="0" w:space="0" w:color="auto"/>
            <w:bottom w:val="none" w:sz="0" w:space="0" w:color="auto"/>
            <w:right w:val="none" w:sz="0" w:space="0" w:color="auto"/>
          </w:divBdr>
          <w:divsChild>
            <w:div w:id="126807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005464">
      <w:bodyDiv w:val="1"/>
      <w:marLeft w:val="0"/>
      <w:marRight w:val="0"/>
      <w:marTop w:val="0"/>
      <w:marBottom w:val="0"/>
      <w:divBdr>
        <w:top w:val="none" w:sz="0" w:space="0" w:color="auto"/>
        <w:left w:val="none" w:sz="0" w:space="0" w:color="auto"/>
        <w:bottom w:val="none" w:sz="0" w:space="0" w:color="auto"/>
        <w:right w:val="none" w:sz="0" w:space="0" w:color="auto"/>
      </w:divBdr>
    </w:div>
    <w:div w:id="832254728">
      <w:bodyDiv w:val="1"/>
      <w:marLeft w:val="0"/>
      <w:marRight w:val="0"/>
      <w:marTop w:val="0"/>
      <w:marBottom w:val="0"/>
      <w:divBdr>
        <w:top w:val="none" w:sz="0" w:space="0" w:color="auto"/>
        <w:left w:val="none" w:sz="0" w:space="0" w:color="auto"/>
        <w:bottom w:val="none" w:sz="0" w:space="0" w:color="auto"/>
        <w:right w:val="none" w:sz="0" w:space="0" w:color="auto"/>
      </w:divBdr>
    </w:div>
    <w:div w:id="835460501">
      <w:bodyDiv w:val="1"/>
      <w:marLeft w:val="0"/>
      <w:marRight w:val="0"/>
      <w:marTop w:val="0"/>
      <w:marBottom w:val="0"/>
      <w:divBdr>
        <w:top w:val="none" w:sz="0" w:space="0" w:color="auto"/>
        <w:left w:val="none" w:sz="0" w:space="0" w:color="auto"/>
        <w:bottom w:val="none" w:sz="0" w:space="0" w:color="auto"/>
        <w:right w:val="none" w:sz="0" w:space="0" w:color="auto"/>
      </w:divBdr>
    </w:div>
    <w:div w:id="844831825">
      <w:bodyDiv w:val="1"/>
      <w:marLeft w:val="0"/>
      <w:marRight w:val="0"/>
      <w:marTop w:val="0"/>
      <w:marBottom w:val="0"/>
      <w:divBdr>
        <w:top w:val="none" w:sz="0" w:space="0" w:color="auto"/>
        <w:left w:val="none" w:sz="0" w:space="0" w:color="auto"/>
        <w:bottom w:val="none" w:sz="0" w:space="0" w:color="auto"/>
        <w:right w:val="none" w:sz="0" w:space="0" w:color="auto"/>
      </w:divBdr>
    </w:div>
    <w:div w:id="943000621">
      <w:bodyDiv w:val="1"/>
      <w:marLeft w:val="0"/>
      <w:marRight w:val="0"/>
      <w:marTop w:val="0"/>
      <w:marBottom w:val="0"/>
      <w:divBdr>
        <w:top w:val="none" w:sz="0" w:space="0" w:color="auto"/>
        <w:left w:val="none" w:sz="0" w:space="0" w:color="auto"/>
        <w:bottom w:val="none" w:sz="0" w:space="0" w:color="auto"/>
        <w:right w:val="none" w:sz="0" w:space="0" w:color="auto"/>
      </w:divBdr>
    </w:div>
    <w:div w:id="947196189">
      <w:bodyDiv w:val="1"/>
      <w:marLeft w:val="0"/>
      <w:marRight w:val="0"/>
      <w:marTop w:val="0"/>
      <w:marBottom w:val="0"/>
      <w:divBdr>
        <w:top w:val="none" w:sz="0" w:space="0" w:color="auto"/>
        <w:left w:val="none" w:sz="0" w:space="0" w:color="auto"/>
        <w:bottom w:val="none" w:sz="0" w:space="0" w:color="auto"/>
        <w:right w:val="none" w:sz="0" w:space="0" w:color="auto"/>
      </w:divBdr>
    </w:div>
    <w:div w:id="980623173">
      <w:bodyDiv w:val="1"/>
      <w:marLeft w:val="0"/>
      <w:marRight w:val="0"/>
      <w:marTop w:val="0"/>
      <w:marBottom w:val="0"/>
      <w:divBdr>
        <w:top w:val="none" w:sz="0" w:space="0" w:color="auto"/>
        <w:left w:val="none" w:sz="0" w:space="0" w:color="auto"/>
        <w:bottom w:val="none" w:sz="0" w:space="0" w:color="auto"/>
        <w:right w:val="none" w:sz="0" w:space="0" w:color="auto"/>
      </w:divBdr>
    </w:div>
    <w:div w:id="1029836178">
      <w:bodyDiv w:val="1"/>
      <w:marLeft w:val="0"/>
      <w:marRight w:val="0"/>
      <w:marTop w:val="0"/>
      <w:marBottom w:val="0"/>
      <w:divBdr>
        <w:top w:val="none" w:sz="0" w:space="0" w:color="auto"/>
        <w:left w:val="none" w:sz="0" w:space="0" w:color="auto"/>
        <w:bottom w:val="none" w:sz="0" w:space="0" w:color="auto"/>
        <w:right w:val="none" w:sz="0" w:space="0" w:color="auto"/>
      </w:divBdr>
    </w:div>
    <w:div w:id="1057436858">
      <w:bodyDiv w:val="1"/>
      <w:marLeft w:val="0"/>
      <w:marRight w:val="0"/>
      <w:marTop w:val="0"/>
      <w:marBottom w:val="0"/>
      <w:divBdr>
        <w:top w:val="none" w:sz="0" w:space="0" w:color="auto"/>
        <w:left w:val="none" w:sz="0" w:space="0" w:color="auto"/>
        <w:bottom w:val="none" w:sz="0" w:space="0" w:color="auto"/>
        <w:right w:val="none" w:sz="0" w:space="0" w:color="auto"/>
      </w:divBdr>
    </w:div>
    <w:div w:id="1066493507">
      <w:bodyDiv w:val="1"/>
      <w:marLeft w:val="0"/>
      <w:marRight w:val="0"/>
      <w:marTop w:val="0"/>
      <w:marBottom w:val="0"/>
      <w:divBdr>
        <w:top w:val="none" w:sz="0" w:space="0" w:color="auto"/>
        <w:left w:val="none" w:sz="0" w:space="0" w:color="auto"/>
        <w:bottom w:val="none" w:sz="0" w:space="0" w:color="auto"/>
        <w:right w:val="none" w:sz="0" w:space="0" w:color="auto"/>
      </w:divBdr>
    </w:div>
    <w:div w:id="1078137258">
      <w:bodyDiv w:val="1"/>
      <w:marLeft w:val="0"/>
      <w:marRight w:val="0"/>
      <w:marTop w:val="0"/>
      <w:marBottom w:val="0"/>
      <w:divBdr>
        <w:top w:val="none" w:sz="0" w:space="0" w:color="auto"/>
        <w:left w:val="none" w:sz="0" w:space="0" w:color="auto"/>
        <w:bottom w:val="none" w:sz="0" w:space="0" w:color="auto"/>
        <w:right w:val="none" w:sz="0" w:space="0" w:color="auto"/>
      </w:divBdr>
    </w:div>
    <w:div w:id="1191797779">
      <w:bodyDiv w:val="1"/>
      <w:marLeft w:val="0"/>
      <w:marRight w:val="0"/>
      <w:marTop w:val="0"/>
      <w:marBottom w:val="0"/>
      <w:divBdr>
        <w:top w:val="none" w:sz="0" w:space="0" w:color="auto"/>
        <w:left w:val="none" w:sz="0" w:space="0" w:color="auto"/>
        <w:bottom w:val="none" w:sz="0" w:space="0" w:color="auto"/>
        <w:right w:val="none" w:sz="0" w:space="0" w:color="auto"/>
      </w:divBdr>
    </w:div>
    <w:div w:id="1230534654">
      <w:bodyDiv w:val="1"/>
      <w:marLeft w:val="0"/>
      <w:marRight w:val="0"/>
      <w:marTop w:val="0"/>
      <w:marBottom w:val="0"/>
      <w:divBdr>
        <w:top w:val="none" w:sz="0" w:space="0" w:color="auto"/>
        <w:left w:val="none" w:sz="0" w:space="0" w:color="auto"/>
        <w:bottom w:val="none" w:sz="0" w:space="0" w:color="auto"/>
        <w:right w:val="none" w:sz="0" w:space="0" w:color="auto"/>
      </w:divBdr>
    </w:div>
    <w:div w:id="1252273124">
      <w:bodyDiv w:val="1"/>
      <w:marLeft w:val="0"/>
      <w:marRight w:val="0"/>
      <w:marTop w:val="0"/>
      <w:marBottom w:val="0"/>
      <w:divBdr>
        <w:top w:val="none" w:sz="0" w:space="0" w:color="auto"/>
        <w:left w:val="none" w:sz="0" w:space="0" w:color="auto"/>
        <w:bottom w:val="none" w:sz="0" w:space="0" w:color="auto"/>
        <w:right w:val="none" w:sz="0" w:space="0" w:color="auto"/>
      </w:divBdr>
    </w:div>
    <w:div w:id="1291285411">
      <w:bodyDiv w:val="1"/>
      <w:marLeft w:val="0"/>
      <w:marRight w:val="0"/>
      <w:marTop w:val="0"/>
      <w:marBottom w:val="0"/>
      <w:divBdr>
        <w:top w:val="none" w:sz="0" w:space="0" w:color="auto"/>
        <w:left w:val="none" w:sz="0" w:space="0" w:color="auto"/>
        <w:bottom w:val="none" w:sz="0" w:space="0" w:color="auto"/>
        <w:right w:val="none" w:sz="0" w:space="0" w:color="auto"/>
      </w:divBdr>
    </w:div>
    <w:div w:id="1344089947">
      <w:bodyDiv w:val="1"/>
      <w:marLeft w:val="0"/>
      <w:marRight w:val="0"/>
      <w:marTop w:val="0"/>
      <w:marBottom w:val="0"/>
      <w:divBdr>
        <w:top w:val="none" w:sz="0" w:space="0" w:color="auto"/>
        <w:left w:val="none" w:sz="0" w:space="0" w:color="auto"/>
        <w:bottom w:val="none" w:sz="0" w:space="0" w:color="auto"/>
        <w:right w:val="none" w:sz="0" w:space="0" w:color="auto"/>
      </w:divBdr>
    </w:div>
    <w:div w:id="1397319033">
      <w:bodyDiv w:val="1"/>
      <w:marLeft w:val="0"/>
      <w:marRight w:val="0"/>
      <w:marTop w:val="0"/>
      <w:marBottom w:val="0"/>
      <w:divBdr>
        <w:top w:val="none" w:sz="0" w:space="0" w:color="auto"/>
        <w:left w:val="none" w:sz="0" w:space="0" w:color="auto"/>
        <w:bottom w:val="none" w:sz="0" w:space="0" w:color="auto"/>
        <w:right w:val="none" w:sz="0" w:space="0" w:color="auto"/>
      </w:divBdr>
    </w:div>
    <w:div w:id="1464542877">
      <w:bodyDiv w:val="1"/>
      <w:marLeft w:val="0"/>
      <w:marRight w:val="0"/>
      <w:marTop w:val="0"/>
      <w:marBottom w:val="0"/>
      <w:divBdr>
        <w:top w:val="none" w:sz="0" w:space="0" w:color="auto"/>
        <w:left w:val="none" w:sz="0" w:space="0" w:color="auto"/>
        <w:bottom w:val="none" w:sz="0" w:space="0" w:color="auto"/>
        <w:right w:val="none" w:sz="0" w:space="0" w:color="auto"/>
      </w:divBdr>
    </w:div>
    <w:div w:id="1526214195">
      <w:bodyDiv w:val="1"/>
      <w:marLeft w:val="0"/>
      <w:marRight w:val="0"/>
      <w:marTop w:val="0"/>
      <w:marBottom w:val="0"/>
      <w:divBdr>
        <w:top w:val="none" w:sz="0" w:space="0" w:color="auto"/>
        <w:left w:val="none" w:sz="0" w:space="0" w:color="auto"/>
        <w:bottom w:val="none" w:sz="0" w:space="0" w:color="auto"/>
        <w:right w:val="none" w:sz="0" w:space="0" w:color="auto"/>
      </w:divBdr>
    </w:div>
    <w:div w:id="1546747785">
      <w:bodyDiv w:val="1"/>
      <w:marLeft w:val="0"/>
      <w:marRight w:val="0"/>
      <w:marTop w:val="0"/>
      <w:marBottom w:val="0"/>
      <w:divBdr>
        <w:top w:val="none" w:sz="0" w:space="0" w:color="auto"/>
        <w:left w:val="none" w:sz="0" w:space="0" w:color="auto"/>
        <w:bottom w:val="none" w:sz="0" w:space="0" w:color="auto"/>
        <w:right w:val="none" w:sz="0" w:space="0" w:color="auto"/>
      </w:divBdr>
    </w:div>
    <w:div w:id="1558858345">
      <w:bodyDiv w:val="1"/>
      <w:marLeft w:val="0"/>
      <w:marRight w:val="0"/>
      <w:marTop w:val="0"/>
      <w:marBottom w:val="0"/>
      <w:divBdr>
        <w:top w:val="none" w:sz="0" w:space="0" w:color="auto"/>
        <w:left w:val="none" w:sz="0" w:space="0" w:color="auto"/>
        <w:bottom w:val="none" w:sz="0" w:space="0" w:color="auto"/>
        <w:right w:val="none" w:sz="0" w:space="0" w:color="auto"/>
      </w:divBdr>
    </w:div>
    <w:div w:id="1647394654">
      <w:bodyDiv w:val="1"/>
      <w:marLeft w:val="0"/>
      <w:marRight w:val="0"/>
      <w:marTop w:val="0"/>
      <w:marBottom w:val="0"/>
      <w:divBdr>
        <w:top w:val="none" w:sz="0" w:space="0" w:color="auto"/>
        <w:left w:val="none" w:sz="0" w:space="0" w:color="auto"/>
        <w:bottom w:val="none" w:sz="0" w:space="0" w:color="auto"/>
        <w:right w:val="none" w:sz="0" w:space="0" w:color="auto"/>
      </w:divBdr>
    </w:div>
    <w:div w:id="1674645567">
      <w:bodyDiv w:val="1"/>
      <w:marLeft w:val="0"/>
      <w:marRight w:val="0"/>
      <w:marTop w:val="0"/>
      <w:marBottom w:val="0"/>
      <w:divBdr>
        <w:top w:val="none" w:sz="0" w:space="0" w:color="auto"/>
        <w:left w:val="none" w:sz="0" w:space="0" w:color="auto"/>
        <w:bottom w:val="none" w:sz="0" w:space="0" w:color="auto"/>
        <w:right w:val="none" w:sz="0" w:space="0" w:color="auto"/>
      </w:divBdr>
    </w:div>
    <w:div w:id="1832326730">
      <w:bodyDiv w:val="1"/>
      <w:marLeft w:val="0"/>
      <w:marRight w:val="0"/>
      <w:marTop w:val="0"/>
      <w:marBottom w:val="0"/>
      <w:divBdr>
        <w:top w:val="none" w:sz="0" w:space="0" w:color="auto"/>
        <w:left w:val="none" w:sz="0" w:space="0" w:color="auto"/>
        <w:bottom w:val="none" w:sz="0" w:space="0" w:color="auto"/>
        <w:right w:val="none" w:sz="0" w:space="0" w:color="auto"/>
      </w:divBdr>
    </w:div>
    <w:div w:id="1908300207">
      <w:bodyDiv w:val="1"/>
      <w:marLeft w:val="0"/>
      <w:marRight w:val="0"/>
      <w:marTop w:val="0"/>
      <w:marBottom w:val="0"/>
      <w:divBdr>
        <w:top w:val="none" w:sz="0" w:space="0" w:color="auto"/>
        <w:left w:val="none" w:sz="0" w:space="0" w:color="auto"/>
        <w:bottom w:val="none" w:sz="0" w:space="0" w:color="auto"/>
        <w:right w:val="none" w:sz="0" w:space="0" w:color="auto"/>
      </w:divBdr>
    </w:div>
    <w:div w:id="1919948276">
      <w:bodyDiv w:val="1"/>
      <w:marLeft w:val="0"/>
      <w:marRight w:val="0"/>
      <w:marTop w:val="0"/>
      <w:marBottom w:val="0"/>
      <w:divBdr>
        <w:top w:val="none" w:sz="0" w:space="0" w:color="auto"/>
        <w:left w:val="none" w:sz="0" w:space="0" w:color="auto"/>
        <w:bottom w:val="none" w:sz="0" w:space="0" w:color="auto"/>
        <w:right w:val="none" w:sz="0" w:space="0" w:color="auto"/>
      </w:divBdr>
      <w:divsChild>
        <w:div w:id="1509249833">
          <w:marLeft w:val="0"/>
          <w:marRight w:val="0"/>
          <w:marTop w:val="0"/>
          <w:marBottom w:val="0"/>
          <w:divBdr>
            <w:top w:val="none" w:sz="0" w:space="0" w:color="auto"/>
            <w:left w:val="none" w:sz="0" w:space="0" w:color="auto"/>
            <w:bottom w:val="none" w:sz="0" w:space="0" w:color="auto"/>
            <w:right w:val="none" w:sz="0" w:space="0" w:color="auto"/>
          </w:divBdr>
          <w:divsChild>
            <w:div w:id="1041249659">
              <w:marLeft w:val="0"/>
              <w:marRight w:val="0"/>
              <w:marTop w:val="0"/>
              <w:marBottom w:val="0"/>
              <w:divBdr>
                <w:top w:val="none" w:sz="0" w:space="0" w:color="auto"/>
                <w:left w:val="none" w:sz="0" w:space="0" w:color="auto"/>
                <w:bottom w:val="none" w:sz="0" w:space="0" w:color="auto"/>
                <w:right w:val="none" w:sz="0" w:space="0" w:color="auto"/>
              </w:divBdr>
              <w:divsChild>
                <w:div w:id="777337421">
                  <w:marLeft w:val="0"/>
                  <w:marRight w:val="0"/>
                  <w:marTop w:val="0"/>
                  <w:marBottom w:val="0"/>
                  <w:divBdr>
                    <w:top w:val="none" w:sz="0" w:space="0" w:color="auto"/>
                    <w:left w:val="none" w:sz="0" w:space="0" w:color="auto"/>
                    <w:bottom w:val="none" w:sz="0" w:space="0" w:color="auto"/>
                    <w:right w:val="none" w:sz="0" w:space="0" w:color="auto"/>
                  </w:divBdr>
                  <w:divsChild>
                    <w:div w:id="277296993">
                      <w:marLeft w:val="0"/>
                      <w:marRight w:val="0"/>
                      <w:marTop w:val="0"/>
                      <w:marBottom w:val="0"/>
                      <w:divBdr>
                        <w:top w:val="none" w:sz="0" w:space="0" w:color="auto"/>
                        <w:left w:val="none" w:sz="0" w:space="0" w:color="auto"/>
                        <w:bottom w:val="none" w:sz="0" w:space="0" w:color="auto"/>
                        <w:right w:val="none" w:sz="0" w:space="0" w:color="auto"/>
                      </w:divBdr>
                      <w:divsChild>
                        <w:div w:id="1301418966">
                          <w:marLeft w:val="0"/>
                          <w:marRight w:val="0"/>
                          <w:marTop w:val="0"/>
                          <w:marBottom w:val="0"/>
                          <w:divBdr>
                            <w:top w:val="none" w:sz="0" w:space="0" w:color="auto"/>
                            <w:left w:val="none" w:sz="0" w:space="0" w:color="auto"/>
                            <w:bottom w:val="none" w:sz="0" w:space="0" w:color="auto"/>
                            <w:right w:val="none" w:sz="0" w:space="0" w:color="auto"/>
                          </w:divBdr>
                          <w:divsChild>
                            <w:div w:id="42075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700765">
      <w:bodyDiv w:val="1"/>
      <w:marLeft w:val="0"/>
      <w:marRight w:val="0"/>
      <w:marTop w:val="0"/>
      <w:marBottom w:val="0"/>
      <w:divBdr>
        <w:top w:val="none" w:sz="0" w:space="0" w:color="auto"/>
        <w:left w:val="none" w:sz="0" w:space="0" w:color="auto"/>
        <w:bottom w:val="none" w:sz="0" w:space="0" w:color="auto"/>
        <w:right w:val="none" w:sz="0" w:space="0" w:color="auto"/>
      </w:divBdr>
    </w:div>
    <w:div w:id="1938899153">
      <w:bodyDiv w:val="1"/>
      <w:marLeft w:val="0"/>
      <w:marRight w:val="0"/>
      <w:marTop w:val="0"/>
      <w:marBottom w:val="0"/>
      <w:divBdr>
        <w:top w:val="none" w:sz="0" w:space="0" w:color="auto"/>
        <w:left w:val="none" w:sz="0" w:space="0" w:color="auto"/>
        <w:bottom w:val="none" w:sz="0" w:space="0" w:color="auto"/>
        <w:right w:val="none" w:sz="0" w:space="0" w:color="auto"/>
      </w:divBdr>
    </w:div>
    <w:div w:id="1964770040">
      <w:bodyDiv w:val="1"/>
      <w:marLeft w:val="0"/>
      <w:marRight w:val="0"/>
      <w:marTop w:val="0"/>
      <w:marBottom w:val="0"/>
      <w:divBdr>
        <w:top w:val="none" w:sz="0" w:space="0" w:color="auto"/>
        <w:left w:val="none" w:sz="0" w:space="0" w:color="auto"/>
        <w:bottom w:val="none" w:sz="0" w:space="0" w:color="auto"/>
        <w:right w:val="none" w:sz="0" w:space="0" w:color="auto"/>
      </w:divBdr>
    </w:div>
    <w:div w:id="1978803540">
      <w:bodyDiv w:val="1"/>
      <w:marLeft w:val="0"/>
      <w:marRight w:val="0"/>
      <w:marTop w:val="0"/>
      <w:marBottom w:val="0"/>
      <w:divBdr>
        <w:top w:val="none" w:sz="0" w:space="0" w:color="auto"/>
        <w:left w:val="none" w:sz="0" w:space="0" w:color="auto"/>
        <w:bottom w:val="none" w:sz="0" w:space="0" w:color="auto"/>
        <w:right w:val="none" w:sz="0" w:space="0" w:color="auto"/>
      </w:divBdr>
    </w:div>
    <w:div w:id="1994601185">
      <w:bodyDiv w:val="1"/>
      <w:marLeft w:val="0"/>
      <w:marRight w:val="0"/>
      <w:marTop w:val="0"/>
      <w:marBottom w:val="0"/>
      <w:divBdr>
        <w:top w:val="none" w:sz="0" w:space="0" w:color="auto"/>
        <w:left w:val="none" w:sz="0" w:space="0" w:color="auto"/>
        <w:bottom w:val="none" w:sz="0" w:space="0" w:color="auto"/>
        <w:right w:val="none" w:sz="0" w:space="0" w:color="auto"/>
      </w:divBdr>
    </w:div>
    <w:div w:id="2007438032">
      <w:bodyDiv w:val="1"/>
      <w:marLeft w:val="0"/>
      <w:marRight w:val="0"/>
      <w:marTop w:val="0"/>
      <w:marBottom w:val="0"/>
      <w:divBdr>
        <w:top w:val="none" w:sz="0" w:space="0" w:color="auto"/>
        <w:left w:val="none" w:sz="0" w:space="0" w:color="auto"/>
        <w:bottom w:val="none" w:sz="0" w:space="0" w:color="auto"/>
        <w:right w:val="none" w:sz="0" w:space="0" w:color="auto"/>
      </w:divBdr>
    </w:div>
    <w:div w:id="2035231481">
      <w:bodyDiv w:val="1"/>
      <w:marLeft w:val="0"/>
      <w:marRight w:val="0"/>
      <w:marTop w:val="0"/>
      <w:marBottom w:val="0"/>
      <w:divBdr>
        <w:top w:val="none" w:sz="0" w:space="0" w:color="auto"/>
        <w:left w:val="none" w:sz="0" w:space="0" w:color="auto"/>
        <w:bottom w:val="none" w:sz="0" w:space="0" w:color="auto"/>
        <w:right w:val="none" w:sz="0" w:space="0" w:color="auto"/>
      </w:divBdr>
    </w:div>
    <w:div w:id="2075279106">
      <w:bodyDiv w:val="1"/>
      <w:marLeft w:val="0"/>
      <w:marRight w:val="0"/>
      <w:marTop w:val="0"/>
      <w:marBottom w:val="0"/>
      <w:divBdr>
        <w:top w:val="none" w:sz="0" w:space="0" w:color="auto"/>
        <w:left w:val="none" w:sz="0" w:space="0" w:color="auto"/>
        <w:bottom w:val="none" w:sz="0" w:space="0" w:color="auto"/>
        <w:right w:val="none" w:sz="0" w:space="0" w:color="auto"/>
      </w:divBdr>
    </w:div>
    <w:div w:id="2080591438">
      <w:bodyDiv w:val="1"/>
      <w:marLeft w:val="0"/>
      <w:marRight w:val="0"/>
      <w:marTop w:val="0"/>
      <w:marBottom w:val="0"/>
      <w:divBdr>
        <w:top w:val="none" w:sz="0" w:space="0" w:color="auto"/>
        <w:left w:val="none" w:sz="0" w:space="0" w:color="auto"/>
        <w:bottom w:val="none" w:sz="0" w:space="0" w:color="auto"/>
        <w:right w:val="none" w:sz="0" w:space="0" w:color="auto"/>
      </w:divBdr>
    </w:div>
    <w:div w:id="209115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0304-4203(95)00062-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1016/j.orggeochem.2009.03.002" TargetMode="External"/><Relationship Id="rId4" Type="http://schemas.openxmlformats.org/officeDocument/2006/relationships/settings" Target="settings.xml"/><Relationship Id="rId9" Type="http://schemas.openxmlformats.org/officeDocument/2006/relationships/hyperlink" Target="https://doi.org/10.1021/es103015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23408-D446-4C7A-8948-3BA8A8229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2400</Words>
  <Characters>13683</Characters>
  <Application>Microsoft Office Word</Application>
  <DocSecurity>0</DocSecurity>
  <Lines>114</Lines>
  <Paragraphs>32</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dc:creator>
  <cp:keywords/>
  <dc:description/>
  <cp:lastModifiedBy>Michelle Jolbot</cp:lastModifiedBy>
  <cp:revision>11</cp:revision>
  <cp:lastPrinted>2025-04-01T12:58:00Z</cp:lastPrinted>
  <dcterms:created xsi:type="dcterms:W3CDTF">2025-07-31T09:53:00Z</dcterms:created>
  <dcterms:modified xsi:type="dcterms:W3CDTF">2025-08-28T00:49:00Z</dcterms:modified>
</cp:coreProperties>
</file>