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41DAE" w14:textId="3F116189" w:rsidR="001E39A0" w:rsidRPr="00BD1CC8" w:rsidRDefault="001E39A0" w:rsidP="001E39A0">
      <w:pPr>
        <w:spacing w:line="360" w:lineRule="auto"/>
        <w:jc w:val="center"/>
        <w:rPr>
          <w:rFonts w:cs="Times New Roman"/>
          <w:b/>
          <w:bCs/>
          <w:sz w:val="28"/>
          <w:szCs w:val="28"/>
          <w:u w:val="double"/>
          <w:lang w:val="en-US" w:eastAsia="en-GB"/>
        </w:rPr>
      </w:pPr>
      <w:r w:rsidRPr="00BD1CC8">
        <w:rPr>
          <w:rFonts w:cs="Times New Roman"/>
          <w:b/>
          <w:bCs/>
          <w:sz w:val="28"/>
          <w:szCs w:val="28"/>
          <w:u w:val="double"/>
          <w:lang w:val="en-US" w:eastAsia="en-GB"/>
        </w:rPr>
        <w:t>Supplementary Data</w:t>
      </w:r>
    </w:p>
    <w:tbl>
      <w:tblPr>
        <w:tblStyle w:val="GridTable1Light"/>
        <w:tblpPr w:leftFromText="180" w:rightFromText="180" w:vertAnchor="text" w:horzAnchor="margin" w:tblpXSpec="center" w:tblpY="290"/>
        <w:tblOverlap w:val="never"/>
        <w:tblW w:w="14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0"/>
        <w:gridCol w:w="1860"/>
        <w:gridCol w:w="2483"/>
        <w:gridCol w:w="1598"/>
        <w:gridCol w:w="1929"/>
        <w:gridCol w:w="1556"/>
        <w:gridCol w:w="1698"/>
        <w:gridCol w:w="1715"/>
      </w:tblGrid>
      <w:tr w:rsidR="006728F4" w:rsidRPr="006728F4" w14:paraId="410CFBFB" w14:textId="388B0302" w:rsidTr="00A37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0D3904D1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</w:rPr>
            </w:pPr>
            <w:r w:rsidRPr="006728F4">
              <w:rPr>
                <w:rFonts w:cs="Times New Roman"/>
              </w:rPr>
              <w:t>Pharmaceutical compounds</w:t>
            </w:r>
          </w:p>
        </w:tc>
        <w:tc>
          <w:tcPr>
            <w:tcW w:w="1865" w:type="dxa"/>
            <w:vAlign w:val="center"/>
          </w:tcPr>
          <w:p w14:paraId="5F7A73C8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Empirical formula</w:t>
            </w:r>
          </w:p>
        </w:tc>
        <w:tc>
          <w:tcPr>
            <w:tcW w:w="2490" w:type="dxa"/>
            <w:vAlign w:val="center"/>
          </w:tcPr>
          <w:p w14:paraId="77B89FC9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Molecular structure</w:t>
            </w:r>
          </w:p>
        </w:tc>
        <w:tc>
          <w:tcPr>
            <w:tcW w:w="1603" w:type="dxa"/>
            <w:vAlign w:val="center"/>
          </w:tcPr>
          <w:p w14:paraId="00D6E3F3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</w:rPr>
            </w:pPr>
            <w:r w:rsidRPr="006728F4">
              <w:rPr>
                <w:rFonts w:cs="Times New Roman"/>
              </w:rPr>
              <w:t xml:space="preserve">Molecular weight </w:t>
            </w:r>
          </w:p>
          <w:p w14:paraId="4EF3938E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(g mol</w:t>
            </w:r>
            <w:r w:rsidRPr="006728F4">
              <w:rPr>
                <w:rFonts w:cs="Times New Roman"/>
                <w:vertAlign w:val="superscript"/>
              </w:rPr>
              <w:t>-1</w:t>
            </w:r>
            <w:r w:rsidRPr="006728F4">
              <w:rPr>
                <w:rFonts w:cs="Times New Roman"/>
              </w:rPr>
              <w:t>)</w:t>
            </w:r>
          </w:p>
        </w:tc>
        <w:tc>
          <w:tcPr>
            <w:tcW w:w="1940" w:type="dxa"/>
            <w:vAlign w:val="center"/>
          </w:tcPr>
          <w:p w14:paraId="717083DA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</w:rPr>
            </w:pPr>
            <w:r w:rsidRPr="006728F4">
              <w:rPr>
                <w:rFonts w:cs="Times New Roman"/>
              </w:rPr>
              <w:t xml:space="preserve">Solubility in water </w:t>
            </w:r>
          </w:p>
          <w:p w14:paraId="047F42A0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 xml:space="preserve"> (mg L</w:t>
            </w:r>
            <w:r w:rsidRPr="006728F4">
              <w:rPr>
                <w:rFonts w:cs="Times New Roman"/>
                <w:vertAlign w:val="superscript"/>
              </w:rPr>
              <w:t>-1</w:t>
            </w:r>
            <w:r w:rsidRPr="006728F4">
              <w:rPr>
                <w:rFonts w:cs="Times New Roman"/>
              </w:rPr>
              <w:t>)</w:t>
            </w:r>
          </w:p>
        </w:tc>
        <w:tc>
          <w:tcPr>
            <w:tcW w:w="1504" w:type="dxa"/>
          </w:tcPr>
          <w:p w14:paraId="212BB47E" w14:textId="16EFED33" w:rsidR="000A24E1" w:rsidRPr="006728F4" w:rsidRDefault="004A610B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R</w:t>
            </w:r>
            <w:r w:rsidR="00166483" w:rsidRPr="006728F4">
              <w:rPr>
                <w:rFonts w:cs="Times New Roman"/>
              </w:rPr>
              <w:t>e</w:t>
            </w:r>
            <w:r w:rsidRPr="006728F4">
              <w:rPr>
                <w:rFonts w:cs="Times New Roman"/>
              </w:rPr>
              <w:t xml:space="preserve">ferences </w:t>
            </w:r>
          </w:p>
        </w:tc>
        <w:tc>
          <w:tcPr>
            <w:tcW w:w="1713" w:type="dxa"/>
            <w:vAlign w:val="center"/>
          </w:tcPr>
          <w:p w14:paraId="24B7FA60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6728F4">
              <w:rPr>
                <w:rFonts w:cs="Times New Roman"/>
              </w:rPr>
              <w:t>pKa</w:t>
            </w:r>
            <w:proofErr w:type="spellEnd"/>
          </w:p>
        </w:tc>
        <w:tc>
          <w:tcPr>
            <w:tcW w:w="1721" w:type="dxa"/>
          </w:tcPr>
          <w:p w14:paraId="47FF2F8E" w14:textId="053D510D" w:rsidR="000A24E1" w:rsidRPr="006728F4" w:rsidRDefault="000373CB" w:rsidP="000A24E1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References</w:t>
            </w:r>
          </w:p>
        </w:tc>
      </w:tr>
      <w:tr w:rsidR="006728F4" w:rsidRPr="006728F4" w14:paraId="5794E3ED" w14:textId="48072184" w:rsidTr="00A37F0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2A2BB47C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</w:rPr>
            </w:pPr>
            <w:r w:rsidRPr="006728F4">
              <w:rPr>
                <w:rFonts w:cs="Times New Roman"/>
              </w:rPr>
              <w:t>Trimethoprim</w:t>
            </w:r>
          </w:p>
        </w:tc>
        <w:tc>
          <w:tcPr>
            <w:tcW w:w="1865" w:type="dxa"/>
            <w:vAlign w:val="center"/>
          </w:tcPr>
          <w:p w14:paraId="69B7CCE4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</w:rPr>
              <w:t>C</w:t>
            </w:r>
            <w:r w:rsidRPr="006728F4">
              <w:rPr>
                <w:rFonts w:cs="Times New Roman"/>
                <w:position w:val="-2"/>
                <w:vertAlign w:val="subscript"/>
              </w:rPr>
              <w:t>14</w:t>
            </w:r>
            <w:r w:rsidRPr="006728F4">
              <w:rPr>
                <w:rFonts w:cs="Times New Roman"/>
              </w:rPr>
              <w:t>H</w:t>
            </w:r>
            <w:r w:rsidRPr="006728F4">
              <w:rPr>
                <w:rFonts w:cs="Times New Roman"/>
                <w:position w:val="-2"/>
                <w:vertAlign w:val="subscript"/>
              </w:rPr>
              <w:t>18</w:t>
            </w:r>
            <w:r w:rsidRPr="006728F4">
              <w:rPr>
                <w:rFonts w:cs="Times New Roman"/>
              </w:rPr>
              <w:t>N</w:t>
            </w:r>
            <w:r w:rsidRPr="006728F4">
              <w:rPr>
                <w:rFonts w:cs="Times New Roman"/>
                <w:position w:val="-2"/>
                <w:vertAlign w:val="subscript"/>
              </w:rPr>
              <w:t>4</w:t>
            </w:r>
            <w:r w:rsidRPr="006728F4">
              <w:rPr>
                <w:rFonts w:cs="Times New Roman"/>
              </w:rPr>
              <w:t>O</w:t>
            </w:r>
            <w:r w:rsidRPr="006728F4">
              <w:rPr>
                <w:rFonts w:cs="Times New Roman"/>
                <w:position w:val="-2"/>
                <w:vertAlign w:val="subscript"/>
              </w:rPr>
              <w:t>3</w:t>
            </w:r>
          </w:p>
        </w:tc>
        <w:tc>
          <w:tcPr>
            <w:tcW w:w="2490" w:type="dxa"/>
            <w:vAlign w:val="center"/>
          </w:tcPr>
          <w:p w14:paraId="4B3C2A7B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noProof/>
                <w:lang w:val="en-US"/>
              </w:rPr>
              <w:drawing>
                <wp:inline distT="0" distB="0" distL="0" distR="0" wp14:anchorId="54CB60C4" wp14:editId="194C0F14">
                  <wp:extent cx="1142869" cy="6985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79C83D-B214-1F63-A569-314B1DD558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679C83D-B214-1F63-A569-314B1DD558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65" cy="704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vAlign w:val="center"/>
          </w:tcPr>
          <w:p w14:paraId="5E36A0DA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290.32</w:t>
            </w:r>
          </w:p>
        </w:tc>
        <w:tc>
          <w:tcPr>
            <w:tcW w:w="1940" w:type="dxa"/>
            <w:vAlign w:val="center"/>
          </w:tcPr>
          <w:p w14:paraId="70C5A1CF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400</w:t>
            </w:r>
          </w:p>
        </w:tc>
        <w:tc>
          <w:tcPr>
            <w:tcW w:w="1504" w:type="dxa"/>
          </w:tcPr>
          <w:p w14:paraId="68DD8180" w14:textId="778F165B" w:rsidR="000A24E1" w:rsidRPr="006728F4" w:rsidRDefault="00A37F00" w:rsidP="00A37F00">
            <w:pPr>
              <w:pStyle w:val="ListParagraph"/>
              <w:spacing w:line="360" w:lineRule="auto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6728F4">
              <w:rPr>
                <w:rFonts w:cs="Times New Roman"/>
                <w:shd w:val="clear" w:color="auto" w:fill="FFFFFF"/>
              </w:rPr>
              <w:t>Yalkowsky</w:t>
            </w:r>
            <w:proofErr w:type="spellEnd"/>
            <w:r w:rsidRPr="006728F4">
              <w:rPr>
                <w:rFonts w:cs="Times New Roman"/>
                <w:shd w:val="clear" w:color="auto" w:fill="FFFFFF"/>
              </w:rPr>
              <w:t xml:space="preserve"> &amp; </w:t>
            </w:r>
            <w:proofErr w:type="spellStart"/>
            <w:r w:rsidRPr="006728F4">
              <w:rPr>
                <w:rFonts w:cs="Times New Roman"/>
                <w:shd w:val="clear" w:color="auto" w:fill="FFFFFF"/>
              </w:rPr>
              <w:t>Dannenfelser</w:t>
            </w:r>
            <w:proofErr w:type="spellEnd"/>
            <w:r w:rsidRPr="006728F4">
              <w:rPr>
                <w:rFonts w:cs="Times New Roman"/>
                <w:shd w:val="clear" w:color="auto" w:fill="FFFFFF"/>
              </w:rPr>
              <w:t>, 1992</w:t>
            </w:r>
          </w:p>
        </w:tc>
        <w:tc>
          <w:tcPr>
            <w:tcW w:w="1713" w:type="dxa"/>
            <w:vAlign w:val="center"/>
          </w:tcPr>
          <w:p w14:paraId="14BDFCB8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3.23; 6.76</w:t>
            </w:r>
          </w:p>
        </w:tc>
        <w:tc>
          <w:tcPr>
            <w:tcW w:w="1721" w:type="dxa"/>
          </w:tcPr>
          <w:p w14:paraId="549D9713" w14:textId="4A2FBC3F" w:rsidR="000A24E1" w:rsidRPr="006728F4" w:rsidRDefault="00BD1CC8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shd w:val="clear" w:color="auto" w:fill="FFFFFF"/>
              </w:rPr>
              <w:t>Perrin, 1965</w:t>
            </w:r>
          </w:p>
        </w:tc>
      </w:tr>
      <w:tr w:rsidR="006728F4" w:rsidRPr="006728F4" w14:paraId="7DE12C7B" w14:textId="32ECA8AE" w:rsidTr="00A37F0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05F8E713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  <w:b w:val="0"/>
                <w:bCs w:val="0"/>
              </w:rPr>
            </w:pPr>
            <w:r w:rsidRPr="006728F4">
              <w:rPr>
                <w:rFonts w:cs="Times New Roman"/>
              </w:rPr>
              <w:t>Norfloxacin</w:t>
            </w:r>
          </w:p>
        </w:tc>
        <w:tc>
          <w:tcPr>
            <w:tcW w:w="1865" w:type="dxa"/>
            <w:vAlign w:val="center"/>
          </w:tcPr>
          <w:p w14:paraId="38C56D90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</w:rPr>
              <w:t>C</w:t>
            </w:r>
            <w:r w:rsidRPr="006728F4">
              <w:rPr>
                <w:rFonts w:cs="Times New Roman"/>
                <w:position w:val="-2"/>
                <w:vertAlign w:val="subscript"/>
              </w:rPr>
              <w:t>16</w:t>
            </w:r>
            <w:r w:rsidRPr="006728F4">
              <w:rPr>
                <w:rFonts w:cs="Times New Roman"/>
              </w:rPr>
              <w:t>H</w:t>
            </w:r>
            <w:r w:rsidRPr="006728F4">
              <w:rPr>
                <w:rFonts w:cs="Times New Roman"/>
                <w:position w:val="-2"/>
                <w:vertAlign w:val="subscript"/>
              </w:rPr>
              <w:t>18</w:t>
            </w:r>
            <w:r w:rsidRPr="006728F4">
              <w:rPr>
                <w:rFonts w:cs="Times New Roman"/>
              </w:rPr>
              <w:t>FN</w:t>
            </w:r>
            <w:r w:rsidRPr="006728F4">
              <w:rPr>
                <w:rFonts w:cs="Times New Roman"/>
                <w:position w:val="-2"/>
                <w:vertAlign w:val="subscript"/>
              </w:rPr>
              <w:t>3</w:t>
            </w:r>
            <w:r w:rsidRPr="006728F4">
              <w:rPr>
                <w:rFonts w:cs="Times New Roman"/>
              </w:rPr>
              <w:t>O</w:t>
            </w:r>
            <w:r w:rsidRPr="006728F4">
              <w:rPr>
                <w:rFonts w:cs="Times New Roman"/>
                <w:position w:val="-2"/>
                <w:vertAlign w:val="subscript"/>
              </w:rPr>
              <w:t>3</w:t>
            </w:r>
          </w:p>
        </w:tc>
        <w:tc>
          <w:tcPr>
            <w:tcW w:w="2490" w:type="dxa"/>
            <w:vAlign w:val="center"/>
          </w:tcPr>
          <w:p w14:paraId="090906DB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noProof/>
                <w:lang w:val="en-US"/>
              </w:rPr>
              <w:drawing>
                <wp:inline distT="0" distB="0" distL="0" distR="0" wp14:anchorId="15EB3DDF" wp14:editId="7CB1520D">
                  <wp:extent cx="1148400" cy="635448"/>
                  <wp:effectExtent l="0" t="0" r="0" b="0"/>
                  <wp:docPr id="9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5FA60E-1E72-84BE-2E78-D13992F350B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2D5FA60E-1E72-84BE-2E78-D13992F350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63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vAlign w:val="center"/>
          </w:tcPr>
          <w:p w14:paraId="3A58B55C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319.33</w:t>
            </w:r>
          </w:p>
        </w:tc>
        <w:tc>
          <w:tcPr>
            <w:tcW w:w="1940" w:type="dxa"/>
            <w:vAlign w:val="center"/>
          </w:tcPr>
          <w:p w14:paraId="78324DEE" w14:textId="7AC04418" w:rsidR="000A24E1" w:rsidRPr="006728F4" w:rsidRDefault="00A45B1A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280</w:t>
            </w:r>
          </w:p>
        </w:tc>
        <w:tc>
          <w:tcPr>
            <w:tcW w:w="1504" w:type="dxa"/>
          </w:tcPr>
          <w:p w14:paraId="3232160F" w14:textId="54DD6513" w:rsidR="000A24E1" w:rsidRPr="006728F4" w:rsidRDefault="00E43044" w:rsidP="00E43044">
            <w:pPr>
              <w:pStyle w:val="ListParagraph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</w:rPr>
            </w:pPr>
            <w:r w:rsidRPr="006728F4">
              <w:rPr>
                <w:rFonts w:cs="Times New Roman"/>
                <w:shd w:val="clear" w:color="auto" w:fill="FFFFFF"/>
              </w:rPr>
              <w:t>O'Neil,</w:t>
            </w:r>
            <w:r w:rsidR="002A54F0" w:rsidRPr="006728F4">
              <w:rPr>
                <w:rFonts w:cs="Times New Roman"/>
                <w:shd w:val="clear" w:color="auto" w:fill="FFFFFF"/>
              </w:rPr>
              <w:t xml:space="preserve"> </w:t>
            </w:r>
            <w:r w:rsidRPr="006728F4">
              <w:rPr>
                <w:rFonts w:cs="Times New Roman"/>
                <w:shd w:val="clear" w:color="auto" w:fill="FFFFFF"/>
              </w:rPr>
              <w:t>2006</w:t>
            </w:r>
          </w:p>
          <w:p w14:paraId="3CE4968D" w14:textId="3DD606C0" w:rsidR="00E43044" w:rsidRPr="006728F4" w:rsidRDefault="00E43044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  <w:tc>
          <w:tcPr>
            <w:tcW w:w="1713" w:type="dxa"/>
            <w:vAlign w:val="center"/>
          </w:tcPr>
          <w:p w14:paraId="28707910" w14:textId="091FDB78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6.</w:t>
            </w:r>
            <w:r w:rsidR="004A11CC" w:rsidRPr="006728F4">
              <w:rPr>
                <w:rFonts w:cs="Times New Roman"/>
              </w:rPr>
              <w:t>34</w:t>
            </w:r>
            <w:r w:rsidRPr="006728F4">
              <w:rPr>
                <w:rFonts w:cs="Times New Roman"/>
              </w:rPr>
              <w:t>; 8.38</w:t>
            </w:r>
          </w:p>
        </w:tc>
        <w:tc>
          <w:tcPr>
            <w:tcW w:w="1721" w:type="dxa"/>
          </w:tcPr>
          <w:p w14:paraId="0622167A" w14:textId="2D8175B1" w:rsidR="000C5F67" w:rsidRPr="006728F4" w:rsidRDefault="000C5F67" w:rsidP="000C5F67">
            <w:pPr>
              <w:pStyle w:val="ListParagraph"/>
              <w:spacing w:line="36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</w:rPr>
            </w:pPr>
            <w:r w:rsidRPr="006728F4">
              <w:rPr>
                <w:rFonts w:cs="Times New Roman"/>
                <w:shd w:val="clear" w:color="auto" w:fill="FFFFFF"/>
              </w:rPr>
              <w:t>O'Neil</w:t>
            </w:r>
            <w:r w:rsidR="00630ADF">
              <w:rPr>
                <w:rFonts w:cs="Times New Roman"/>
                <w:shd w:val="clear" w:color="auto" w:fill="FFFFFF"/>
              </w:rPr>
              <w:t xml:space="preserve"> et. al</w:t>
            </w:r>
            <w:r w:rsidRPr="006728F4">
              <w:rPr>
                <w:rFonts w:cs="Times New Roman"/>
                <w:shd w:val="clear" w:color="auto" w:fill="FFFFFF"/>
              </w:rPr>
              <w:t>, 2006</w:t>
            </w:r>
          </w:p>
          <w:p w14:paraId="3C0FF86C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</w:p>
        </w:tc>
      </w:tr>
      <w:tr w:rsidR="006728F4" w:rsidRPr="006728F4" w14:paraId="3FAFB1A5" w14:textId="241045FB" w:rsidTr="00A37F0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42746A70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</w:rPr>
            </w:pPr>
            <w:r w:rsidRPr="006728F4">
              <w:rPr>
                <w:rFonts w:cs="Times New Roman"/>
              </w:rPr>
              <w:t>Ciprofloxacin</w:t>
            </w:r>
          </w:p>
        </w:tc>
        <w:tc>
          <w:tcPr>
            <w:tcW w:w="1865" w:type="dxa"/>
            <w:vAlign w:val="center"/>
          </w:tcPr>
          <w:p w14:paraId="072418FE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</w:rPr>
              <w:t>C</w:t>
            </w:r>
            <w:r w:rsidRPr="006728F4">
              <w:rPr>
                <w:rFonts w:cs="Times New Roman"/>
                <w:position w:val="-2"/>
                <w:vertAlign w:val="subscript"/>
              </w:rPr>
              <w:t>17</w:t>
            </w:r>
            <w:r w:rsidRPr="006728F4">
              <w:rPr>
                <w:rFonts w:cs="Times New Roman"/>
              </w:rPr>
              <w:t>H</w:t>
            </w:r>
            <w:r w:rsidRPr="006728F4">
              <w:rPr>
                <w:rFonts w:cs="Times New Roman"/>
                <w:position w:val="-2"/>
                <w:vertAlign w:val="subscript"/>
              </w:rPr>
              <w:t>18</w:t>
            </w:r>
            <w:r w:rsidRPr="006728F4">
              <w:rPr>
                <w:rFonts w:cs="Times New Roman"/>
              </w:rPr>
              <w:t>FN</w:t>
            </w:r>
            <w:r w:rsidRPr="006728F4">
              <w:rPr>
                <w:rFonts w:cs="Times New Roman"/>
                <w:position w:val="-2"/>
                <w:vertAlign w:val="subscript"/>
              </w:rPr>
              <w:t>3</w:t>
            </w:r>
            <w:r w:rsidRPr="006728F4">
              <w:rPr>
                <w:rFonts w:cs="Times New Roman"/>
              </w:rPr>
              <w:t>O</w:t>
            </w:r>
            <w:r w:rsidRPr="006728F4">
              <w:rPr>
                <w:rFonts w:cs="Times New Roman"/>
                <w:position w:val="-2"/>
                <w:vertAlign w:val="subscript"/>
              </w:rPr>
              <w:t>3</w:t>
            </w:r>
          </w:p>
        </w:tc>
        <w:tc>
          <w:tcPr>
            <w:tcW w:w="2490" w:type="dxa"/>
            <w:vAlign w:val="center"/>
          </w:tcPr>
          <w:p w14:paraId="0EDF74A2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noProof/>
                <w:lang w:val="en-US"/>
              </w:rPr>
              <w:drawing>
                <wp:inline distT="0" distB="0" distL="0" distR="0" wp14:anchorId="39A5A5D9" wp14:editId="22D849AE">
                  <wp:extent cx="1148400" cy="697736"/>
                  <wp:effectExtent l="0" t="0" r="0" b="1270"/>
                  <wp:docPr id="1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03B5A6-F9D7-C354-4C77-7C799558A05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8E03B5A6-F9D7-C354-4C77-7C799558A0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69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vAlign w:val="center"/>
          </w:tcPr>
          <w:p w14:paraId="2D8A32B6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331.35</w:t>
            </w:r>
          </w:p>
        </w:tc>
        <w:tc>
          <w:tcPr>
            <w:tcW w:w="1940" w:type="dxa"/>
            <w:vAlign w:val="center"/>
          </w:tcPr>
          <w:p w14:paraId="29C82B03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30000</w:t>
            </w:r>
          </w:p>
        </w:tc>
        <w:tc>
          <w:tcPr>
            <w:tcW w:w="1504" w:type="dxa"/>
          </w:tcPr>
          <w:p w14:paraId="7F26E315" w14:textId="678122A5" w:rsidR="000A24E1" w:rsidRPr="006728F4" w:rsidRDefault="00DA6103" w:rsidP="001F59FA">
            <w:pPr>
              <w:pStyle w:val="ListParagraph"/>
              <w:spacing w:line="360" w:lineRule="auto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6728F4">
              <w:rPr>
                <w:rFonts w:cs="Times New Roman"/>
                <w:shd w:val="clear" w:color="auto" w:fill="FFFFFF"/>
              </w:rPr>
              <w:t>Nowara</w:t>
            </w:r>
            <w:proofErr w:type="spellEnd"/>
            <w:r w:rsidRPr="006728F4">
              <w:rPr>
                <w:rFonts w:cs="Times New Roman"/>
                <w:shd w:val="clear" w:color="auto" w:fill="FFFFFF"/>
              </w:rPr>
              <w:t xml:space="preserve"> et al, </w:t>
            </w:r>
            <w:r w:rsidR="001F59FA" w:rsidRPr="006728F4">
              <w:rPr>
                <w:rFonts w:cs="Times New Roman"/>
                <w:shd w:val="clear" w:color="auto" w:fill="FFFFFF"/>
              </w:rPr>
              <w:t>1997</w:t>
            </w:r>
          </w:p>
        </w:tc>
        <w:tc>
          <w:tcPr>
            <w:tcW w:w="1713" w:type="dxa"/>
            <w:vAlign w:val="center"/>
          </w:tcPr>
          <w:p w14:paraId="11E2AA65" w14:textId="4F39DB72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6.</w:t>
            </w:r>
            <w:r w:rsidR="00E374D3" w:rsidRPr="006728F4">
              <w:rPr>
                <w:rFonts w:cs="Times New Roman"/>
              </w:rPr>
              <w:t>09</w:t>
            </w:r>
            <w:r w:rsidRPr="006728F4">
              <w:rPr>
                <w:rFonts w:cs="Times New Roman"/>
              </w:rPr>
              <w:t>; 8.</w:t>
            </w:r>
            <w:r w:rsidR="009F5481" w:rsidRPr="006728F4">
              <w:rPr>
                <w:rFonts w:cs="Times New Roman"/>
              </w:rPr>
              <w:t>74</w:t>
            </w:r>
          </w:p>
        </w:tc>
        <w:tc>
          <w:tcPr>
            <w:tcW w:w="1721" w:type="dxa"/>
          </w:tcPr>
          <w:p w14:paraId="1F5974EB" w14:textId="1EB11D3F" w:rsidR="000A24E1" w:rsidRPr="006728F4" w:rsidRDefault="00E374D3" w:rsidP="00E374D3">
            <w:pPr>
              <w:pStyle w:val="ListParagraph"/>
              <w:spacing w:line="360" w:lineRule="auto"/>
              <w:ind w:left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proofErr w:type="spellStart"/>
            <w:r w:rsidRPr="006728F4">
              <w:rPr>
                <w:rFonts w:cs="Times New Roman"/>
                <w:shd w:val="clear" w:color="auto" w:fill="FFFFFF"/>
              </w:rPr>
              <w:t>Torniainen</w:t>
            </w:r>
            <w:proofErr w:type="spellEnd"/>
            <w:r w:rsidRPr="006728F4">
              <w:rPr>
                <w:rFonts w:cs="Times New Roman"/>
                <w:shd w:val="clear" w:color="auto" w:fill="FFFFFF"/>
              </w:rPr>
              <w:t xml:space="preserve"> et al, 1996</w:t>
            </w:r>
          </w:p>
        </w:tc>
      </w:tr>
      <w:tr w:rsidR="006728F4" w:rsidRPr="006728F4" w14:paraId="1B31F2BB" w14:textId="011FB004" w:rsidTr="004417E8">
        <w:trPr>
          <w:trHeight w:val="10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523ECF52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  <w:b w:val="0"/>
                <w:bCs w:val="0"/>
              </w:rPr>
            </w:pPr>
            <w:r w:rsidRPr="006728F4">
              <w:rPr>
                <w:rFonts w:cs="Times New Roman"/>
              </w:rPr>
              <w:t>Nevirapine</w:t>
            </w:r>
          </w:p>
        </w:tc>
        <w:tc>
          <w:tcPr>
            <w:tcW w:w="1865" w:type="dxa"/>
            <w:vAlign w:val="center"/>
          </w:tcPr>
          <w:p w14:paraId="4EA46876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  <w:shd w:val="clear" w:color="auto" w:fill="FFFFFF"/>
              </w:rPr>
              <w:t>C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15</w:t>
            </w:r>
            <w:r w:rsidRPr="006728F4">
              <w:rPr>
                <w:rFonts w:cs="Times New Roman"/>
                <w:shd w:val="clear" w:color="auto" w:fill="FFFFFF"/>
              </w:rPr>
              <w:t>H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14</w:t>
            </w:r>
            <w:r w:rsidRPr="006728F4">
              <w:rPr>
                <w:rFonts w:cs="Times New Roman"/>
                <w:shd w:val="clear" w:color="auto" w:fill="FFFFFF"/>
              </w:rPr>
              <w:t>N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4</w:t>
            </w:r>
            <w:r w:rsidRPr="006728F4">
              <w:rPr>
                <w:rFonts w:cs="Times New Roman"/>
                <w:shd w:val="clear" w:color="auto" w:fill="FFFFFF"/>
              </w:rPr>
              <w:t>O</w:t>
            </w:r>
          </w:p>
        </w:tc>
        <w:tc>
          <w:tcPr>
            <w:tcW w:w="2490" w:type="dxa"/>
            <w:vAlign w:val="center"/>
          </w:tcPr>
          <w:p w14:paraId="14485162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noProof/>
                <w:lang w:val="en-US"/>
              </w:rPr>
              <w:drawing>
                <wp:inline distT="0" distB="0" distL="0" distR="0" wp14:anchorId="5E8F5580" wp14:editId="3BCFFFAB">
                  <wp:extent cx="812800" cy="725018"/>
                  <wp:effectExtent l="0" t="0" r="0" b="0"/>
                  <wp:docPr id="1026" name="Picture 2" descr="Nevirapin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8D2FEB-685C-57F8-1E3F-FE8E53B2F2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Nevirapine">
                            <a:extLst>
                              <a:ext uri="{FF2B5EF4-FFF2-40B4-BE49-F238E27FC236}">
                                <a16:creationId xmlns:a16="http://schemas.microsoft.com/office/drawing/2014/main" id="{178D2FEB-685C-57F8-1E3F-FE8E53B2F2F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24" cy="735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vAlign w:val="center"/>
          </w:tcPr>
          <w:p w14:paraId="3566E043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266.30</w:t>
            </w:r>
          </w:p>
        </w:tc>
        <w:tc>
          <w:tcPr>
            <w:tcW w:w="1940" w:type="dxa"/>
            <w:vAlign w:val="center"/>
          </w:tcPr>
          <w:p w14:paraId="46B64501" w14:textId="1BCCF179" w:rsidR="000A24E1" w:rsidRPr="006728F4" w:rsidRDefault="00A92ED4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100</w:t>
            </w:r>
            <w:r w:rsidR="00635478" w:rsidRPr="006728F4">
              <w:rPr>
                <w:rFonts w:cs="Times New Roman"/>
              </w:rPr>
              <w:t xml:space="preserve"> </w:t>
            </w:r>
          </w:p>
        </w:tc>
        <w:tc>
          <w:tcPr>
            <w:tcW w:w="1504" w:type="dxa"/>
          </w:tcPr>
          <w:p w14:paraId="598208F5" w14:textId="199D45AF" w:rsidR="000A24E1" w:rsidRPr="006728F4" w:rsidRDefault="00026226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 xml:space="preserve">Nehal et al., </w:t>
            </w:r>
            <w:r w:rsidR="003D730E" w:rsidRPr="006728F4">
              <w:rPr>
                <w:rFonts w:cs="Times New Roman"/>
              </w:rPr>
              <w:t>2003</w:t>
            </w:r>
          </w:p>
        </w:tc>
        <w:tc>
          <w:tcPr>
            <w:tcW w:w="1713" w:type="dxa"/>
            <w:vAlign w:val="center"/>
          </w:tcPr>
          <w:p w14:paraId="6C9E97C9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2.8</w:t>
            </w:r>
          </w:p>
        </w:tc>
        <w:tc>
          <w:tcPr>
            <w:tcW w:w="1721" w:type="dxa"/>
          </w:tcPr>
          <w:p w14:paraId="37B03E81" w14:textId="456AEE9D" w:rsidR="000A24E1" w:rsidRPr="006728F4" w:rsidRDefault="00C51660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C51660">
              <w:rPr>
                <w:rFonts w:cs="Times New Roman"/>
              </w:rPr>
              <w:t>Sarkar et al., 2008</w:t>
            </w:r>
          </w:p>
        </w:tc>
      </w:tr>
      <w:tr w:rsidR="006728F4" w:rsidRPr="006728F4" w14:paraId="5F302369" w14:textId="435CBCCB" w:rsidTr="00A37F0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3" w:type="dxa"/>
            <w:vAlign w:val="center"/>
          </w:tcPr>
          <w:p w14:paraId="6639BB62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rPr>
                <w:rFonts w:cs="Times New Roman"/>
                <w:b w:val="0"/>
                <w:bCs w:val="0"/>
              </w:rPr>
            </w:pPr>
            <w:r w:rsidRPr="006728F4">
              <w:rPr>
                <w:rFonts w:cs="Times New Roman"/>
              </w:rPr>
              <w:t>Ofloxacin</w:t>
            </w:r>
          </w:p>
        </w:tc>
        <w:tc>
          <w:tcPr>
            <w:tcW w:w="1865" w:type="dxa"/>
            <w:vAlign w:val="center"/>
          </w:tcPr>
          <w:p w14:paraId="4FD69B6E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  <w:shd w:val="clear" w:color="auto" w:fill="FFFFFF"/>
              </w:rPr>
              <w:t>C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18</w:t>
            </w:r>
            <w:r w:rsidRPr="006728F4">
              <w:rPr>
                <w:rFonts w:cs="Times New Roman"/>
                <w:shd w:val="clear" w:color="auto" w:fill="FFFFFF"/>
              </w:rPr>
              <w:t>H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20</w:t>
            </w:r>
            <w:r w:rsidRPr="006728F4">
              <w:rPr>
                <w:rFonts w:cs="Times New Roman"/>
                <w:shd w:val="clear" w:color="auto" w:fill="FFFFFF"/>
              </w:rPr>
              <w:t>FN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3</w:t>
            </w:r>
            <w:r w:rsidRPr="006728F4">
              <w:rPr>
                <w:rFonts w:cs="Times New Roman"/>
                <w:shd w:val="clear" w:color="auto" w:fill="FFFFFF"/>
              </w:rPr>
              <w:t>O</w:t>
            </w:r>
            <w:r w:rsidRPr="006728F4">
              <w:rPr>
                <w:rFonts w:cs="Times New Roman"/>
                <w:shd w:val="clear" w:color="auto" w:fill="FFFFFF"/>
                <w:vertAlign w:val="subscript"/>
              </w:rPr>
              <w:t>4</w:t>
            </w:r>
          </w:p>
        </w:tc>
        <w:tc>
          <w:tcPr>
            <w:tcW w:w="2490" w:type="dxa"/>
            <w:vAlign w:val="center"/>
          </w:tcPr>
          <w:p w14:paraId="7715BC53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noProof/>
              </w:rPr>
            </w:pPr>
            <w:r w:rsidRPr="006728F4">
              <w:rPr>
                <w:rFonts w:cs="Times New Roman"/>
                <w:noProof/>
                <w:lang w:val="en-US"/>
              </w:rPr>
              <w:drawing>
                <wp:inline distT="0" distB="0" distL="0" distR="0" wp14:anchorId="359019BD" wp14:editId="74384099">
                  <wp:extent cx="1148400" cy="622050"/>
                  <wp:effectExtent l="0" t="0" r="0" b="0"/>
                  <wp:docPr id="13" name="Picture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CBB180-F4A0-B730-3C23-C506388EC8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0DCBB180-F4A0-B730-3C23-C506388EC8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400" cy="62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vAlign w:val="center"/>
          </w:tcPr>
          <w:p w14:paraId="17E6B58A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361.37</w:t>
            </w:r>
          </w:p>
        </w:tc>
        <w:tc>
          <w:tcPr>
            <w:tcW w:w="1940" w:type="dxa"/>
            <w:vAlign w:val="center"/>
          </w:tcPr>
          <w:p w14:paraId="08CF2C81" w14:textId="77777777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28300</w:t>
            </w:r>
          </w:p>
        </w:tc>
        <w:tc>
          <w:tcPr>
            <w:tcW w:w="1504" w:type="dxa"/>
          </w:tcPr>
          <w:p w14:paraId="0EEAFB47" w14:textId="1A40F062" w:rsidR="000A24E1" w:rsidRPr="006728F4" w:rsidRDefault="009D71ED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Lewis et al., 2016</w:t>
            </w:r>
          </w:p>
        </w:tc>
        <w:tc>
          <w:tcPr>
            <w:tcW w:w="1713" w:type="dxa"/>
            <w:vAlign w:val="center"/>
          </w:tcPr>
          <w:p w14:paraId="67B67EEC" w14:textId="68A7034E" w:rsidR="000A24E1" w:rsidRPr="006728F4" w:rsidRDefault="000A24E1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</w:rPr>
              <w:t>5.</w:t>
            </w:r>
            <w:r w:rsidR="00FA542B" w:rsidRPr="006728F4">
              <w:rPr>
                <w:rFonts w:cs="Times New Roman"/>
              </w:rPr>
              <w:t>9</w:t>
            </w:r>
            <w:r w:rsidRPr="006728F4">
              <w:rPr>
                <w:rFonts w:cs="Times New Roman"/>
              </w:rPr>
              <w:t xml:space="preserve">7; </w:t>
            </w:r>
            <w:r w:rsidR="00FA542B" w:rsidRPr="006728F4">
              <w:rPr>
                <w:rFonts w:cs="Times New Roman"/>
              </w:rPr>
              <w:t>9.</w:t>
            </w:r>
            <w:r w:rsidR="00801444" w:rsidRPr="006728F4">
              <w:rPr>
                <w:rFonts w:cs="Times New Roman"/>
              </w:rPr>
              <w:t>28</w:t>
            </w:r>
          </w:p>
        </w:tc>
        <w:tc>
          <w:tcPr>
            <w:tcW w:w="1721" w:type="dxa"/>
          </w:tcPr>
          <w:p w14:paraId="57C3A2E4" w14:textId="5E4EFFFD" w:rsidR="000A24E1" w:rsidRPr="006728F4" w:rsidRDefault="00801444" w:rsidP="000A24E1">
            <w:pPr>
              <w:pStyle w:val="ListParagraph"/>
              <w:spacing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6728F4">
              <w:rPr>
                <w:rFonts w:cs="Times New Roman"/>
                <w:shd w:val="clear" w:color="auto" w:fill="FFFFFF"/>
              </w:rPr>
              <w:t>Tolls</w:t>
            </w:r>
            <w:r w:rsidR="00B8663A" w:rsidRPr="006728F4">
              <w:rPr>
                <w:rFonts w:cs="Times New Roman"/>
                <w:shd w:val="clear" w:color="auto" w:fill="FFFFFF"/>
              </w:rPr>
              <w:t>,</w:t>
            </w:r>
            <w:r w:rsidRPr="006728F4">
              <w:rPr>
                <w:rFonts w:cs="Times New Roman"/>
                <w:shd w:val="clear" w:color="auto" w:fill="FFFFFF"/>
              </w:rPr>
              <w:t xml:space="preserve"> 2001</w:t>
            </w:r>
          </w:p>
        </w:tc>
      </w:tr>
    </w:tbl>
    <w:p w14:paraId="47E14CD1" w14:textId="294CD9E6" w:rsidR="001E39A0" w:rsidRPr="00BD1CC8" w:rsidRDefault="00EC7732" w:rsidP="00EC7732">
      <w:pPr>
        <w:spacing w:line="360" w:lineRule="auto"/>
        <w:rPr>
          <w:rFonts w:cs="Times New Roman"/>
          <w:lang w:val="en-US" w:eastAsia="en-GB"/>
        </w:rPr>
      </w:pPr>
      <w:r w:rsidRPr="00BD1CC8">
        <w:rPr>
          <w:rFonts w:cs="Times New Roman"/>
          <w:b/>
          <w:bCs/>
          <w:lang w:val="en-US" w:eastAsia="en-GB"/>
        </w:rPr>
        <w:t>Table S1.</w:t>
      </w:r>
      <w:r w:rsidRPr="00BD1CC8">
        <w:rPr>
          <w:rFonts w:cs="Times New Roman"/>
          <w:lang w:val="en-US" w:eastAsia="en-GB"/>
        </w:rPr>
        <w:t xml:space="preserve"> Physicochemical properties of targeted analytical compounds</w:t>
      </w:r>
    </w:p>
    <w:p w14:paraId="30588445" w14:textId="77777777" w:rsidR="00EC7732" w:rsidRPr="00BD1CC8" w:rsidRDefault="00EC7732">
      <w:pPr>
        <w:rPr>
          <w:rFonts w:cs="Times New Roman"/>
        </w:rPr>
      </w:pPr>
    </w:p>
    <w:p w14:paraId="2F310423" w14:textId="77777777" w:rsidR="001E39A0" w:rsidRPr="00BD1CC8" w:rsidRDefault="001E39A0">
      <w:pPr>
        <w:rPr>
          <w:rFonts w:cs="Times New Roman"/>
        </w:rPr>
      </w:pPr>
    </w:p>
    <w:p w14:paraId="718459C2" w14:textId="77777777" w:rsidR="001E39A0" w:rsidRPr="00BD1CC8" w:rsidRDefault="001E39A0">
      <w:pPr>
        <w:rPr>
          <w:rFonts w:cs="Times New Roman"/>
        </w:rPr>
        <w:sectPr w:rsidR="001E39A0" w:rsidRPr="00BD1CC8" w:rsidSect="00EC773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62C7321" w14:textId="41942EC9" w:rsidR="00EC7732" w:rsidRPr="00BD1CC8" w:rsidRDefault="00EC7732" w:rsidP="00EC7732">
      <w:pPr>
        <w:spacing w:after="158" w:line="360" w:lineRule="auto"/>
        <w:rPr>
          <w:rFonts w:cs="Times New Roman"/>
          <w:b/>
          <w:bCs/>
          <w:u w:val="single"/>
          <w:shd w:val="clear" w:color="auto" w:fill="FFFFFF"/>
        </w:rPr>
      </w:pPr>
      <w:r w:rsidRPr="00BD1CC8">
        <w:rPr>
          <w:rFonts w:cs="Times New Roman"/>
          <w:b/>
          <w:bCs/>
          <w:u w:val="single"/>
          <w:shd w:val="clear" w:color="auto" w:fill="FFFFFF"/>
        </w:rPr>
        <w:lastRenderedPageBreak/>
        <w:t>Details of the sampling sites</w:t>
      </w:r>
    </w:p>
    <w:p w14:paraId="587CDAE2" w14:textId="2A11640F" w:rsidR="00EC7732" w:rsidRPr="00BD1CC8" w:rsidRDefault="00EC7732" w:rsidP="00EC7732">
      <w:pPr>
        <w:pStyle w:val="ListParagraph"/>
        <w:numPr>
          <w:ilvl w:val="0"/>
          <w:numId w:val="1"/>
        </w:numPr>
        <w:spacing w:after="158" w:line="360" w:lineRule="auto"/>
        <w:rPr>
          <w:rFonts w:cs="Times New Roman"/>
          <w:shd w:val="clear" w:color="auto" w:fill="FFFFFF"/>
        </w:rPr>
      </w:pPr>
      <w:r w:rsidRPr="00BD1CC8">
        <w:rPr>
          <w:rFonts w:cs="Times New Roman"/>
          <w:shd w:val="clear" w:color="auto" w:fill="FFFFFF"/>
        </w:rPr>
        <w:t>The first sampling point (VRS 1</w:t>
      </w:r>
      <w:r w:rsidR="009E2089" w:rsidRPr="00BD1CC8">
        <w:rPr>
          <w:rFonts w:cs="Times New Roman"/>
          <w:shd w:val="clear" w:color="auto" w:fill="FFFFFF"/>
        </w:rPr>
        <w:t>, Co-ordinates:</w:t>
      </w:r>
      <w:r w:rsidR="00AD10CF" w:rsidRPr="00BD1CC8">
        <w:rPr>
          <w:rFonts w:cs="Times New Roman"/>
          <w:shd w:val="clear" w:color="auto" w:fill="FFFFFF"/>
        </w:rPr>
        <w:t xml:space="preserve"> -26.9357030, 29.2653770</w:t>
      </w:r>
      <w:r w:rsidR="009E2089" w:rsidRPr="00BD1CC8">
        <w:rPr>
          <w:rFonts w:cs="Times New Roman"/>
          <w:shd w:val="clear" w:color="auto" w:fill="FFFFFF"/>
        </w:rPr>
        <w:t xml:space="preserve"> </w:t>
      </w:r>
      <w:r w:rsidRPr="00BD1CC8">
        <w:rPr>
          <w:rFonts w:cs="Times New Roman"/>
          <w:shd w:val="clear" w:color="auto" w:fill="FFFFFF"/>
        </w:rPr>
        <w:t xml:space="preserve">) was located at the start of the town in Standerton, after the </w:t>
      </w:r>
      <w:proofErr w:type="spellStart"/>
      <w:r w:rsidRPr="00BD1CC8">
        <w:rPr>
          <w:rFonts w:cs="Times New Roman"/>
          <w:shd w:val="clear" w:color="auto" w:fill="FFFFFF"/>
        </w:rPr>
        <w:t>Grootdaai</w:t>
      </w:r>
      <w:proofErr w:type="spellEnd"/>
      <w:r w:rsidRPr="00BD1CC8">
        <w:rPr>
          <w:rFonts w:cs="Times New Roman"/>
          <w:shd w:val="clear" w:color="auto" w:fill="FFFFFF"/>
        </w:rPr>
        <w:t xml:space="preserve"> Dam, near a drinking water treatment plant that supplies water to the whole town.</w:t>
      </w:r>
    </w:p>
    <w:p w14:paraId="48E5E838" w14:textId="77777777" w:rsidR="00EC7732" w:rsidRPr="00BD1CC8" w:rsidRDefault="00EC7732" w:rsidP="00EC7732">
      <w:pPr>
        <w:pStyle w:val="ListParagraph"/>
        <w:numPr>
          <w:ilvl w:val="0"/>
          <w:numId w:val="1"/>
        </w:numPr>
        <w:spacing w:after="158" w:line="360" w:lineRule="auto"/>
        <w:rPr>
          <w:rFonts w:cs="Times New Roman"/>
          <w:shd w:val="clear" w:color="auto" w:fill="FFFFFF"/>
        </w:rPr>
      </w:pPr>
      <w:r w:rsidRPr="00BD1CC8">
        <w:rPr>
          <w:rFonts w:cs="Times New Roman"/>
          <w:shd w:val="clear" w:color="auto" w:fill="FFFFFF"/>
        </w:rPr>
        <w:t xml:space="preserve"> The second sampling point (VRS 2) was located near a wastewater treatment plant and other factories and industrial plants. </w:t>
      </w:r>
    </w:p>
    <w:p w14:paraId="370A7733" w14:textId="77777777" w:rsidR="00EC7732" w:rsidRPr="00BD1CC8" w:rsidRDefault="00EC7732" w:rsidP="00EC7732">
      <w:pPr>
        <w:pStyle w:val="ListParagraph"/>
        <w:numPr>
          <w:ilvl w:val="0"/>
          <w:numId w:val="1"/>
        </w:numPr>
        <w:spacing w:after="158" w:line="360" w:lineRule="auto"/>
        <w:rPr>
          <w:rFonts w:cs="Times New Roman"/>
          <w:shd w:val="clear" w:color="auto" w:fill="FFFFFF"/>
        </w:rPr>
      </w:pPr>
      <w:r w:rsidRPr="00BD1CC8">
        <w:rPr>
          <w:rFonts w:cs="Times New Roman"/>
          <w:shd w:val="clear" w:color="auto" w:fill="FFFFFF"/>
        </w:rPr>
        <w:t>The third sampling point (VRS 3) was located where the river finally exits Standerton town, at the townships and suburbs, near a tuberculosis (TB) clinic that may discharge its effluent into the river.</w:t>
      </w:r>
    </w:p>
    <w:p w14:paraId="278BA49D" w14:textId="77777777" w:rsidR="00EC7732" w:rsidRPr="00BD1CC8" w:rsidRDefault="00EC7732" w:rsidP="00EC7732">
      <w:pPr>
        <w:pStyle w:val="ListParagraph"/>
        <w:numPr>
          <w:ilvl w:val="0"/>
          <w:numId w:val="3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 xml:space="preserve">The fourth sampling point (VRS 4) was found at the Free State-Mpumalanga border, upstream of the town of Villiers. </w:t>
      </w:r>
    </w:p>
    <w:p w14:paraId="3336E0A5" w14:textId="77777777" w:rsidR="00EC7732" w:rsidRPr="00BD1CC8" w:rsidRDefault="00EC7732" w:rsidP="00EC7732">
      <w:pPr>
        <w:pStyle w:val="ListParagraph"/>
        <w:numPr>
          <w:ilvl w:val="0"/>
          <w:numId w:val="3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 xml:space="preserve">The fifth sampling point (VRS 5) was located downstream of Villiers town. </w:t>
      </w:r>
    </w:p>
    <w:p w14:paraId="5B54E9F7" w14:textId="77777777" w:rsidR="00EC7732" w:rsidRPr="00BD1CC8" w:rsidRDefault="00EC7732" w:rsidP="00EC7732">
      <w:pPr>
        <w:pStyle w:val="ListParagraph"/>
        <w:numPr>
          <w:ilvl w:val="0"/>
          <w:numId w:val="3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 xml:space="preserve">The sixth sampling point (VRS 6) was located at a small river before it joined the Vaal River. The understanding is that this tributary, called the </w:t>
      </w:r>
      <w:proofErr w:type="spellStart"/>
      <w:r w:rsidRPr="00BD1CC8">
        <w:rPr>
          <w:rFonts w:cs="Times New Roman"/>
          <w:color w:val="202020"/>
          <w:shd w:val="clear" w:color="auto" w:fill="FFFFFF"/>
        </w:rPr>
        <w:t>Watervalrivier</w:t>
      </w:r>
      <w:proofErr w:type="spellEnd"/>
      <w:r w:rsidRPr="00BD1CC8">
        <w:rPr>
          <w:rFonts w:cs="Times New Roman"/>
          <w:color w:val="202020"/>
          <w:shd w:val="clear" w:color="auto" w:fill="FFFFFF"/>
        </w:rPr>
        <w:t xml:space="preserve">, may impact the water quality of the main river. </w:t>
      </w:r>
    </w:p>
    <w:p w14:paraId="63A08245" w14:textId="77777777" w:rsidR="00EC7732" w:rsidRPr="00BD1CC8" w:rsidRDefault="00EC7732" w:rsidP="00EC7732">
      <w:pPr>
        <w:pStyle w:val="ListParagraph"/>
        <w:numPr>
          <w:ilvl w:val="0"/>
          <w:numId w:val="2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>The seventh sampling point (VRS 7) was located at the outflow of the Vaal Dam as the Vaal River exits the dam.</w:t>
      </w:r>
    </w:p>
    <w:p w14:paraId="1FB26D3B" w14:textId="77777777" w:rsidR="00EC7732" w:rsidRPr="00BD1CC8" w:rsidRDefault="00EC7732" w:rsidP="00EC7732">
      <w:pPr>
        <w:pStyle w:val="ListParagraph"/>
        <w:numPr>
          <w:ilvl w:val="0"/>
          <w:numId w:val="2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 xml:space="preserve">The eighth sampling point (VRS 8) was found opposite the middle of Vanderbijlpark town, with townships and suburbs nearby. </w:t>
      </w:r>
    </w:p>
    <w:p w14:paraId="1B1533F2" w14:textId="77777777" w:rsidR="00EC7732" w:rsidRPr="00BD1CC8" w:rsidRDefault="00EC7732" w:rsidP="00EC7732">
      <w:pPr>
        <w:pStyle w:val="ListParagraph"/>
        <w:numPr>
          <w:ilvl w:val="0"/>
          <w:numId w:val="2"/>
        </w:numPr>
        <w:spacing w:after="158" w:line="360" w:lineRule="auto"/>
        <w:rPr>
          <w:rFonts w:cs="Times New Roman"/>
          <w:color w:val="202020"/>
          <w:shd w:val="clear" w:color="auto" w:fill="FFFFFF"/>
        </w:rPr>
      </w:pPr>
      <w:r w:rsidRPr="00BD1CC8">
        <w:rPr>
          <w:rFonts w:cs="Times New Roman"/>
          <w:color w:val="202020"/>
          <w:shd w:val="clear" w:color="auto" w:fill="FFFFFF"/>
        </w:rPr>
        <w:t xml:space="preserve">The ninth and final sampling point (VRS 9) was found opposite the end of Vanderbijlpark town near a recreational park. </w:t>
      </w:r>
    </w:p>
    <w:p w14:paraId="31BF55CF" w14:textId="77777777" w:rsidR="00EC7732" w:rsidRPr="00BD1CC8" w:rsidRDefault="00EC7732" w:rsidP="00142014">
      <w:pPr>
        <w:pStyle w:val="ListParagraph"/>
        <w:numPr>
          <w:ilvl w:val="0"/>
          <w:numId w:val="2"/>
        </w:numPr>
        <w:spacing w:after="158" w:line="360" w:lineRule="auto"/>
        <w:rPr>
          <w:rFonts w:cs="Times New Roman"/>
          <w:color w:val="202020"/>
          <w:shd w:val="clear" w:color="auto" w:fill="FFFFFF"/>
        </w:rPr>
        <w:sectPr w:rsidR="00EC7732" w:rsidRPr="00BD1CC8" w:rsidSect="00EC773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FC34B59" w14:textId="11C13B7F" w:rsidR="00EC7732" w:rsidRPr="00BD1CC8" w:rsidRDefault="00EC7732" w:rsidP="00EC7732">
      <w:pPr>
        <w:spacing w:line="360" w:lineRule="auto"/>
        <w:rPr>
          <w:rFonts w:cs="Times New Roman"/>
          <w:lang w:val="en-US"/>
        </w:rPr>
      </w:pPr>
      <w:r w:rsidRPr="00BD1CC8">
        <w:rPr>
          <w:rFonts w:cs="Times New Roman"/>
          <w:b/>
          <w:bCs/>
          <w:lang w:val="en-US"/>
        </w:rPr>
        <w:lastRenderedPageBreak/>
        <w:t xml:space="preserve">Table S2. </w:t>
      </w:r>
      <w:r w:rsidRPr="00BD1CC8">
        <w:rPr>
          <w:rFonts w:cs="Times New Roman"/>
          <w:lang w:val="en-US"/>
        </w:rPr>
        <w:t>Physicochemical properties of water samples across all seasons.</w:t>
      </w:r>
    </w:p>
    <w:tbl>
      <w:tblPr>
        <w:tblStyle w:val="TableGrid"/>
        <w:tblpPr w:leftFromText="180" w:rightFromText="180" w:vertAnchor="text" w:horzAnchor="margin" w:tblpY="156"/>
        <w:tblW w:w="130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  <w:gridCol w:w="2608"/>
      </w:tblGrid>
      <w:tr w:rsidR="00DD276B" w:rsidRPr="00BD1CC8" w14:paraId="420F3CB8" w14:textId="77777777" w:rsidTr="00DD276B">
        <w:trPr>
          <w:trHeight w:val="556"/>
        </w:trPr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4AA65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9C81E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pH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F2886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Conductivity</w:t>
            </w:r>
          </w:p>
          <w:p w14:paraId="14427FAA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14:ligatures w14:val="standardContextual"/>
              </w:rPr>
              <w:t>(</w:t>
            </w:r>
            <w:r w:rsidRPr="00BD1CC8">
              <w:rPr>
                <w:rFonts w:cs="Times New Roman"/>
                <w:b/>
                <w:bCs/>
                <w:kern w:val="2"/>
                <w14:ligatures w14:val="standardContextual"/>
              </w:rPr>
              <w:sym w:font="Symbol" w:char="F06D"/>
            </w:r>
            <w:r w:rsidRPr="00BD1CC8">
              <w:rPr>
                <w:rFonts w:cs="Times New Roman"/>
                <w:b/>
                <w:bCs/>
                <w:kern w:val="2"/>
                <w14:ligatures w14:val="standardContextual"/>
              </w:rPr>
              <w:t>S/cm)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84E36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TDS</w:t>
            </w:r>
          </w:p>
          <w:p w14:paraId="634D42F5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(</w:t>
            </w:r>
            <w:r w:rsidRPr="00BD1CC8">
              <w:rPr>
                <w:rFonts w:cs="Times New Roman"/>
                <w:color w:val="000000" w:themeColor="text1"/>
                <w:kern w:val="2"/>
                <w:lang w:val="en-US"/>
                <w14:ligatures w14:val="standardContextual"/>
              </w:rPr>
              <w:t xml:space="preserve"> </w:t>
            </w:r>
            <w:r w:rsidRPr="00BD1CC8">
              <w:rPr>
                <w:rFonts w:cs="Times New Roman"/>
                <w:b/>
                <w:bCs/>
                <w:color w:val="000000" w:themeColor="text1"/>
                <w:kern w:val="2"/>
                <w:lang w:val="en-US"/>
                <w14:ligatures w14:val="standardContextual"/>
              </w:rPr>
              <w:t>m</w:t>
            </w: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g L</w:t>
            </w:r>
            <w:r w:rsidRPr="00BD1CC8">
              <w:rPr>
                <w:rFonts w:cs="Times New Roman"/>
                <w:b/>
                <w:bCs/>
                <w:kern w:val="2"/>
                <w:vertAlign w:val="superscript"/>
                <w:lang w:val="en-US"/>
                <w14:ligatures w14:val="standardContextual"/>
              </w:rPr>
              <w:t>-1</w:t>
            </w: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EACF0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Salinity</w:t>
            </w:r>
          </w:p>
          <w:p w14:paraId="1C0D374D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(</w:t>
            </w:r>
            <w:r w:rsidRPr="00BD1CC8">
              <w:rPr>
                <w:rFonts w:cs="Times New Roman"/>
                <w:color w:val="000000" w:themeColor="text1"/>
                <w:kern w:val="2"/>
                <w:lang w:val="en-US"/>
                <w14:ligatures w14:val="standardContextual"/>
              </w:rPr>
              <w:t xml:space="preserve"> </w:t>
            </w: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g L</w:t>
            </w:r>
            <w:r w:rsidRPr="00BD1CC8">
              <w:rPr>
                <w:rFonts w:cs="Times New Roman"/>
                <w:b/>
                <w:bCs/>
                <w:kern w:val="2"/>
                <w:vertAlign w:val="superscript"/>
                <w:lang w:val="en-US"/>
                <w14:ligatures w14:val="standardContextual"/>
              </w:rPr>
              <w:t>-1</w:t>
            </w: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)</w:t>
            </w:r>
          </w:p>
        </w:tc>
      </w:tr>
      <w:tr w:rsidR="00DD276B" w:rsidRPr="00BD1CC8" w14:paraId="5C8AC447" w14:textId="77777777" w:rsidTr="00DD276B">
        <w:trPr>
          <w:trHeight w:val="567"/>
        </w:trPr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5D993E13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SANS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5AEF59EF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14:ligatures w14:val="standardContextual"/>
              </w:rPr>
              <w:t>≥ 5 - ≤ 9.7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2B5A0968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14:ligatures w14:val="standardContextual"/>
              </w:rPr>
              <w:t>≤170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38279D9E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14:ligatures w14:val="standardContextual"/>
              </w:rPr>
              <w:t>≤1200</w:t>
            </w:r>
          </w:p>
        </w:tc>
        <w:tc>
          <w:tcPr>
            <w:tcW w:w="2608" w:type="dxa"/>
            <w:tcBorders>
              <w:top w:val="single" w:sz="4" w:space="0" w:color="auto"/>
            </w:tcBorders>
            <w:vAlign w:val="center"/>
          </w:tcPr>
          <w:p w14:paraId="62D69123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-</w:t>
            </w:r>
          </w:p>
        </w:tc>
      </w:tr>
      <w:tr w:rsidR="00DD276B" w:rsidRPr="00BD1CC8" w14:paraId="1448F07D" w14:textId="77777777" w:rsidTr="00DD276B">
        <w:trPr>
          <w:trHeight w:val="567"/>
        </w:trPr>
        <w:tc>
          <w:tcPr>
            <w:tcW w:w="2608" w:type="dxa"/>
            <w:vAlign w:val="center"/>
          </w:tcPr>
          <w:p w14:paraId="5298CC75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Autumn</w:t>
            </w:r>
          </w:p>
        </w:tc>
        <w:tc>
          <w:tcPr>
            <w:tcW w:w="2608" w:type="dxa"/>
            <w:vAlign w:val="center"/>
          </w:tcPr>
          <w:p w14:paraId="4AE87739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7.55 - 8.79</w:t>
            </w:r>
          </w:p>
        </w:tc>
        <w:tc>
          <w:tcPr>
            <w:tcW w:w="2608" w:type="dxa"/>
            <w:vAlign w:val="center"/>
          </w:tcPr>
          <w:p w14:paraId="5332B3ED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151.19 – 466.85</w:t>
            </w:r>
          </w:p>
        </w:tc>
        <w:tc>
          <w:tcPr>
            <w:tcW w:w="2608" w:type="dxa"/>
            <w:vAlign w:val="center"/>
          </w:tcPr>
          <w:p w14:paraId="5B2D6C5A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75.66 – 233.35</w:t>
            </w:r>
          </w:p>
        </w:tc>
        <w:tc>
          <w:tcPr>
            <w:tcW w:w="2608" w:type="dxa"/>
            <w:vAlign w:val="center"/>
          </w:tcPr>
          <w:p w14:paraId="78A2B00E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ND – 0.17</w:t>
            </w:r>
          </w:p>
        </w:tc>
      </w:tr>
      <w:tr w:rsidR="00DD276B" w:rsidRPr="00BD1CC8" w14:paraId="1465073E" w14:textId="77777777" w:rsidTr="00DD276B">
        <w:trPr>
          <w:trHeight w:val="567"/>
        </w:trPr>
        <w:tc>
          <w:tcPr>
            <w:tcW w:w="2608" w:type="dxa"/>
            <w:vAlign w:val="center"/>
          </w:tcPr>
          <w:p w14:paraId="4D3EB85C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Winter</w:t>
            </w:r>
          </w:p>
        </w:tc>
        <w:tc>
          <w:tcPr>
            <w:tcW w:w="2608" w:type="dxa"/>
            <w:vAlign w:val="center"/>
          </w:tcPr>
          <w:p w14:paraId="7A33902A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8.18 - 8.79</w:t>
            </w:r>
          </w:p>
        </w:tc>
        <w:tc>
          <w:tcPr>
            <w:tcW w:w="2608" w:type="dxa"/>
            <w:vAlign w:val="center"/>
          </w:tcPr>
          <w:p w14:paraId="272E86EE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176.62 – 794.44</w:t>
            </w:r>
          </w:p>
        </w:tc>
        <w:tc>
          <w:tcPr>
            <w:tcW w:w="2608" w:type="dxa"/>
            <w:vAlign w:val="center"/>
          </w:tcPr>
          <w:p w14:paraId="3EFB330D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95.20 – 397.09</w:t>
            </w:r>
          </w:p>
        </w:tc>
        <w:tc>
          <w:tcPr>
            <w:tcW w:w="2608" w:type="dxa"/>
            <w:vAlign w:val="center"/>
          </w:tcPr>
          <w:p w14:paraId="45E2445A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ND – 0.33</w:t>
            </w:r>
          </w:p>
        </w:tc>
      </w:tr>
      <w:tr w:rsidR="00DD276B" w:rsidRPr="00BD1CC8" w14:paraId="70837412" w14:textId="77777777" w:rsidTr="00DD276B">
        <w:trPr>
          <w:trHeight w:val="567"/>
        </w:trPr>
        <w:tc>
          <w:tcPr>
            <w:tcW w:w="2608" w:type="dxa"/>
            <w:vAlign w:val="center"/>
          </w:tcPr>
          <w:p w14:paraId="02D38123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Spring</w:t>
            </w:r>
          </w:p>
        </w:tc>
        <w:tc>
          <w:tcPr>
            <w:tcW w:w="2608" w:type="dxa"/>
            <w:vAlign w:val="center"/>
          </w:tcPr>
          <w:p w14:paraId="070DC441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7.40 – 8.52</w:t>
            </w:r>
          </w:p>
        </w:tc>
        <w:tc>
          <w:tcPr>
            <w:tcW w:w="2608" w:type="dxa"/>
            <w:vAlign w:val="center"/>
          </w:tcPr>
          <w:p w14:paraId="362EAF5C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174.41 – 845.28</w:t>
            </w:r>
          </w:p>
        </w:tc>
        <w:tc>
          <w:tcPr>
            <w:tcW w:w="2608" w:type="dxa"/>
            <w:vAlign w:val="center"/>
          </w:tcPr>
          <w:p w14:paraId="380A1A4E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91.98 – 462.04</w:t>
            </w:r>
          </w:p>
        </w:tc>
        <w:tc>
          <w:tcPr>
            <w:tcW w:w="2608" w:type="dxa"/>
            <w:vAlign w:val="center"/>
          </w:tcPr>
          <w:p w14:paraId="769FEE3C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0.08 – 0.46</w:t>
            </w:r>
          </w:p>
        </w:tc>
      </w:tr>
      <w:tr w:rsidR="00DD276B" w:rsidRPr="00BD1CC8" w14:paraId="3FEB43F9" w14:textId="77777777" w:rsidTr="00DD276B">
        <w:trPr>
          <w:trHeight w:val="567"/>
        </w:trPr>
        <w:tc>
          <w:tcPr>
            <w:tcW w:w="2608" w:type="dxa"/>
            <w:vAlign w:val="center"/>
          </w:tcPr>
          <w:p w14:paraId="7E08D58A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b/>
                <w:bCs/>
                <w:kern w:val="2"/>
                <w:lang w:val="en-US"/>
                <w14:ligatures w14:val="standardContextual"/>
              </w:rPr>
              <w:t>Summer</w:t>
            </w:r>
          </w:p>
        </w:tc>
        <w:tc>
          <w:tcPr>
            <w:tcW w:w="2608" w:type="dxa"/>
            <w:vAlign w:val="center"/>
          </w:tcPr>
          <w:p w14:paraId="33F50AD7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7.41 – 8.40</w:t>
            </w:r>
          </w:p>
        </w:tc>
        <w:tc>
          <w:tcPr>
            <w:tcW w:w="2608" w:type="dxa"/>
            <w:vAlign w:val="center"/>
          </w:tcPr>
          <w:p w14:paraId="5AADAFBF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148.38 – 828.58</w:t>
            </w:r>
          </w:p>
        </w:tc>
        <w:tc>
          <w:tcPr>
            <w:tcW w:w="2608" w:type="dxa"/>
            <w:vAlign w:val="center"/>
          </w:tcPr>
          <w:p w14:paraId="543C23D4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106.72 – 414.48</w:t>
            </w:r>
          </w:p>
        </w:tc>
        <w:tc>
          <w:tcPr>
            <w:tcW w:w="2608" w:type="dxa"/>
            <w:vAlign w:val="center"/>
          </w:tcPr>
          <w:p w14:paraId="22375602" w14:textId="77777777" w:rsidR="00DD276B" w:rsidRPr="00BD1CC8" w:rsidRDefault="00DD276B" w:rsidP="00DD276B">
            <w:pPr>
              <w:spacing w:line="360" w:lineRule="auto"/>
              <w:jc w:val="center"/>
              <w:rPr>
                <w:rFonts w:cs="Times New Roman"/>
                <w:kern w:val="2"/>
                <w:lang w:val="en-US"/>
                <w14:ligatures w14:val="standardContextual"/>
              </w:rPr>
            </w:pPr>
            <w:r w:rsidRPr="00BD1CC8">
              <w:rPr>
                <w:rFonts w:cs="Times New Roman"/>
                <w:kern w:val="2"/>
                <w:lang w:val="en-US"/>
                <w14:ligatures w14:val="standardContextual"/>
              </w:rPr>
              <w:t>0.01 – 0.38</w:t>
            </w:r>
          </w:p>
        </w:tc>
      </w:tr>
    </w:tbl>
    <w:p w14:paraId="44BB7768" w14:textId="76D698D6" w:rsidR="00213DBD" w:rsidRDefault="00213DBD">
      <w:pPr>
        <w:rPr>
          <w:rFonts w:cs="Times New Roman"/>
          <w:b/>
          <w:bCs/>
        </w:rPr>
      </w:pPr>
    </w:p>
    <w:p w14:paraId="12854973" w14:textId="77777777" w:rsidR="00213DBD" w:rsidRPr="00213DBD" w:rsidRDefault="00213DBD" w:rsidP="00213DBD">
      <w:pPr>
        <w:rPr>
          <w:rFonts w:cs="Times New Roman"/>
        </w:rPr>
      </w:pPr>
    </w:p>
    <w:p w14:paraId="5300C4FC" w14:textId="77777777" w:rsidR="00213DBD" w:rsidRPr="00213DBD" w:rsidRDefault="00213DBD" w:rsidP="00213DBD">
      <w:pPr>
        <w:rPr>
          <w:rFonts w:cs="Times New Roman"/>
        </w:rPr>
      </w:pPr>
    </w:p>
    <w:p w14:paraId="7B287175" w14:textId="77777777" w:rsidR="00213DBD" w:rsidRPr="00213DBD" w:rsidRDefault="00213DBD" w:rsidP="00213DBD">
      <w:pPr>
        <w:rPr>
          <w:rFonts w:cs="Times New Roman"/>
        </w:rPr>
      </w:pPr>
    </w:p>
    <w:p w14:paraId="5949E1C3" w14:textId="77777777" w:rsidR="00213DBD" w:rsidRPr="00213DBD" w:rsidRDefault="00213DBD" w:rsidP="00213DBD">
      <w:pPr>
        <w:rPr>
          <w:rFonts w:cs="Times New Roman"/>
        </w:rPr>
      </w:pPr>
    </w:p>
    <w:p w14:paraId="3C57021A" w14:textId="77777777" w:rsidR="00213DBD" w:rsidRPr="00213DBD" w:rsidRDefault="00213DBD" w:rsidP="00213DBD">
      <w:pPr>
        <w:rPr>
          <w:rFonts w:cs="Times New Roman"/>
        </w:rPr>
      </w:pPr>
    </w:p>
    <w:p w14:paraId="044C90FD" w14:textId="77777777" w:rsidR="00213DBD" w:rsidRPr="00213DBD" w:rsidRDefault="00213DBD" w:rsidP="00213DBD">
      <w:pPr>
        <w:rPr>
          <w:rFonts w:cs="Times New Roman"/>
        </w:rPr>
      </w:pPr>
    </w:p>
    <w:p w14:paraId="543457EA" w14:textId="77777777" w:rsidR="00213DBD" w:rsidRPr="00213DBD" w:rsidRDefault="00213DBD" w:rsidP="00213DBD">
      <w:pPr>
        <w:rPr>
          <w:rFonts w:cs="Times New Roman"/>
        </w:rPr>
      </w:pPr>
    </w:p>
    <w:p w14:paraId="21B232F2" w14:textId="771D9248" w:rsidR="00213DBD" w:rsidRDefault="00213DBD" w:rsidP="00213DBD">
      <w:pPr>
        <w:rPr>
          <w:rFonts w:cs="Times New Roman"/>
        </w:rPr>
      </w:pPr>
    </w:p>
    <w:p w14:paraId="29138A37" w14:textId="37FC208F" w:rsidR="00213DBD" w:rsidRDefault="00213DBD" w:rsidP="00213DBD">
      <w:pPr>
        <w:rPr>
          <w:rFonts w:cs="Times New Roman"/>
          <w:color w:val="202020"/>
          <w:shd w:val="clear" w:color="auto" w:fill="FFFFFF"/>
        </w:rPr>
      </w:pPr>
      <w:r w:rsidRPr="00213DBD">
        <w:rPr>
          <w:rFonts w:cs="Times New Roman"/>
          <w:b/>
          <w:color w:val="202020"/>
          <w:shd w:val="clear" w:color="auto" w:fill="FFFFFF"/>
        </w:rPr>
        <w:t>References</w:t>
      </w:r>
    </w:p>
    <w:p w14:paraId="5E79CEE9" w14:textId="1A402A12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  <w:r w:rsidRPr="00213DBD">
        <w:rPr>
          <w:rFonts w:eastAsia="STIX-Regular" w:cs="Times New Roman"/>
          <w:color w:val="000000"/>
          <w:kern w:val="0"/>
          <w:lang w:val="en-US"/>
        </w:rPr>
        <w:t xml:space="preserve">Lewis, K. A.,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Tzilivakis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>, J., Warner, D., &amp; Green, A. (2016).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>An international database for pesticide risk assessments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and management.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Human and Ecological Risk Assessment:</w:t>
      </w:r>
      <w:r>
        <w:rPr>
          <w:rFonts w:eastAsia="STIX-Regular" w:cs="Times New Roman"/>
          <w:i/>
          <w:iCs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An International Journal, 22</w:t>
      </w:r>
      <w:r w:rsidRPr="00213DBD">
        <w:rPr>
          <w:rFonts w:eastAsia="STIX-Regular" w:cs="Times New Roman"/>
          <w:color w:val="000000"/>
          <w:kern w:val="0"/>
          <w:lang w:val="en-US"/>
        </w:rPr>
        <w:t>(4), 1050–1064.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="005B3543">
        <w:rPr>
          <w:rFonts w:eastAsia="STIX-Regular" w:cs="Times New Roman"/>
          <w:color w:val="0000FF"/>
          <w:kern w:val="0"/>
          <w:lang w:val="en-US"/>
        </w:rPr>
        <w:t>https://</w:t>
      </w:r>
      <w:bookmarkStart w:id="0" w:name="_GoBack"/>
      <w:bookmarkEnd w:id="0"/>
      <w:r w:rsidR="005B3543">
        <w:rPr>
          <w:rFonts w:eastAsia="STIX-Regular" w:cs="Times New Roman"/>
          <w:color w:val="0000FF"/>
          <w:kern w:val="0"/>
          <w:lang w:val="en-US"/>
        </w:rPr>
        <w:t>doi.org/</w:t>
      </w:r>
      <w:r w:rsidRPr="00213DBD">
        <w:rPr>
          <w:rFonts w:eastAsia="STIX-Regular" w:cs="Times New Roman"/>
          <w:color w:val="0000FF"/>
          <w:kern w:val="0"/>
          <w:lang w:val="en-US"/>
        </w:rPr>
        <w:t>1</w:t>
      </w:r>
      <w:r w:rsidR="005B3543">
        <w:rPr>
          <w:rFonts w:eastAsia="STIX-Regular" w:cs="Times New Roman"/>
          <w:color w:val="0000FF"/>
          <w:kern w:val="0"/>
          <w:lang w:val="en-US"/>
        </w:rPr>
        <w:t>0.1080/10807039.2015.11332</w:t>
      </w:r>
      <w:r w:rsidRPr="00213DBD">
        <w:rPr>
          <w:rFonts w:eastAsia="STIX-Regular" w:cs="Times New Roman"/>
          <w:color w:val="0000FF"/>
          <w:kern w:val="0"/>
          <w:lang w:val="en-US"/>
        </w:rPr>
        <w:t>42</w:t>
      </w:r>
    </w:p>
    <w:p w14:paraId="467E80F7" w14:textId="7E264F08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</w:p>
    <w:p w14:paraId="1EB2D4CD" w14:textId="617EAD8F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  <w:r w:rsidRPr="00213DBD">
        <w:rPr>
          <w:rFonts w:eastAsia="STIX-Regular" w:cs="Times New Roman"/>
          <w:color w:val="000000"/>
          <w:kern w:val="0"/>
          <w:lang w:val="en-US"/>
        </w:rPr>
        <w:t xml:space="preserve">Sarkar, M.,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Perumal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 xml:space="preserve">, O. P., &amp;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Panchagnula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 xml:space="preserve">, R. (2008).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Solidstate</w:t>
      </w:r>
      <w:proofErr w:type="spellEnd"/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characterization of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nevirapine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 xml:space="preserve">.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Indian Journal of</w:t>
      </w:r>
      <w:r>
        <w:rPr>
          <w:rFonts w:eastAsia="STIX-Regular" w:cs="Times New Roman"/>
          <w:i/>
          <w:iCs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Pharmaceutical Sciences, 70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(5), 619–630. </w:t>
      </w:r>
      <w:r w:rsidR="005B3543">
        <w:rPr>
          <w:rFonts w:eastAsia="STIX-Regular" w:cs="Times New Roman"/>
          <w:color w:val="0000FF"/>
          <w:kern w:val="0"/>
          <w:lang w:val="en-US"/>
        </w:rPr>
        <w:t>https://doi.</w:t>
      </w:r>
      <w:r w:rsidRPr="00213DBD">
        <w:rPr>
          <w:rFonts w:eastAsia="STIX-Regular" w:cs="Times New Roman"/>
          <w:color w:val="0000FF"/>
          <w:kern w:val="0"/>
          <w:lang w:val="en-US"/>
        </w:rPr>
        <w:t>org/</w:t>
      </w:r>
      <w:r w:rsidR="005B3543">
        <w:rPr>
          <w:rFonts w:eastAsia="STIX-Regular" w:cs="Times New Roman"/>
          <w:color w:val="0000FF"/>
          <w:kern w:val="0"/>
          <w:lang w:val="en-US"/>
        </w:rPr>
        <w:t>10.4103/0250-474X.</w:t>
      </w:r>
      <w:r w:rsidRPr="00213DBD">
        <w:rPr>
          <w:rFonts w:eastAsia="STIX-Regular" w:cs="Times New Roman"/>
          <w:color w:val="0000FF"/>
          <w:kern w:val="0"/>
          <w:lang w:val="en-US"/>
        </w:rPr>
        <w:t>45401</w:t>
      </w:r>
    </w:p>
    <w:p w14:paraId="7B8DBD59" w14:textId="07A609A7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</w:p>
    <w:p w14:paraId="3BB43FC4" w14:textId="77777777" w:rsidR="00213DBD" w:rsidRP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23282C"/>
          <w:kern w:val="0"/>
          <w:lang w:val="en-US"/>
        </w:rPr>
      </w:pPr>
      <w:r w:rsidRPr="00213DBD">
        <w:rPr>
          <w:rFonts w:cs="Times New Roman"/>
          <w:color w:val="23282C"/>
          <w:kern w:val="0"/>
          <w:lang w:val="en-US"/>
        </w:rPr>
        <w:t xml:space="preserve">O’Neil, M. J., </w:t>
      </w:r>
      <w:proofErr w:type="spellStart"/>
      <w:r w:rsidRPr="00213DBD">
        <w:rPr>
          <w:rFonts w:cs="Times New Roman"/>
          <w:color w:val="23282C"/>
          <w:kern w:val="0"/>
          <w:lang w:val="en-US"/>
        </w:rPr>
        <w:t>Heckelman</w:t>
      </w:r>
      <w:proofErr w:type="spellEnd"/>
      <w:r w:rsidRPr="00213DBD">
        <w:rPr>
          <w:rFonts w:cs="Times New Roman"/>
          <w:color w:val="23282C"/>
          <w:kern w:val="0"/>
          <w:lang w:val="en-US"/>
        </w:rPr>
        <w:t>, P. E., Koch, C. B., &amp; Roman, K. J. (Eds.). (2006). The Merck Index: An encyclopedia of chemicals, drugs,</w:t>
      </w:r>
    </w:p>
    <w:p w14:paraId="07CD0B23" w14:textId="79920CDE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23282C"/>
          <w:kern w:val="0"/>
          <w:lang w:val="en-US"/>
        </w:rPr>
      </w:pPr>
      <w:proofErr w:type="gramStart"/>
      <w:r w:rsidRPr="00213DBD">
        <w:rPr>
          <w:rFonts w:cs="Times New Roman"/>
          <w:color w:val="23282C"/>
          <w:kern w:val="0"/>
          <w:lang w:val="en-US"/>
        </w:rPr>
        <w:t>and</w:t>
      </w:r>
      <w:proofErr w:type="gramEnd"/>
      <w:r w:rsidRPr="00213DBD">
        <w:rPr>
          <w:rFonts w:cs="Times New Roman"/>
          <w:color w:val="23282C"/>
          <w:kern w:val="0"/>
          <w:lang w:val="en-US"/>
        </w:rPr>
        <w:t xml:space="preserve"> biologicals (14th ed.). Hoboken, NJ: John Wiley &amp; Sons, Inc. ISBN13 978-0-911910-001</w:t>
      </w:r>
    </w:p>
    <w:p w14:paraId="7304965C" w14:textId="12092F0D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23282C"/>
          <w:kern w:val="0"/>
          <w:lang w:val="en-US"/>
        </w:rPr>
      </w:pPr>
    </w:p>
    <w:p w14:paraId="055EC14B" w14:textId="36BBA47D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Nowara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 xml:space="preserve">, A.,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Burhenne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 xml:space="preserve">, J., &amp; </w:t>
      </w:r>
      <w:proofErr w:type="spellStart"/>
      <w:r w:rsidRPr="00213DBD">
        <w:rPr>
          <w:rFonts w:eastAsia="STIX-Regular" w:cs="Times New Roman"/>
          <w:color w:val="000000"/>
          <w:kern w:val="0"/>
          <w:lang w:val="en-US"/>
        </w:rPr>
        <w:t>Spiteller</w:t>
      </w:r>
      <w:proofErr w:type="spellEnd"/>
      <w:r w:rsidRPr="00213DBD">
        <w:rPr>
          <w:rFonts w:eastAsia="STIX-Regular" w:cs="Times New Roman"/>
          <w:color w:val="000000"/>
          <w:kern w:val="0"/>
          <w:lang w:val="en-US"/>
        </w:rPr>
        <w:t>, M. (1997). Binding of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>fluoroquinolone carboxylic acid derivatives to clay minerals.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Journal of Agricultural and Food Chemistry, 45</w:t>
      </w:r>
      <w:r w:rsidRPr="00213DBD">
        <w:rPr>
          <w:rFonts w:eastAsia="STIX-Regular" w:cs="Times New Roman"/>
          <w:color w:val="000000"/>
          <w:kern w:val="0"/>
          <w:lang w:val="en-US"/>
        </w:rPr>
        <w:t>(4),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1459–1463. </w:t>
      </w:r>
      <w:r w:rsidR="005B3543">
        <w:rPr>
          <w:rFonts w:eastAsia="STIX-Regular" w:cs="Times New Roman"/>
          <w:color w:val="0000FF"/>
          <w:kern w:val="0"/>
          <w:lang w:val="en-US"/>
        </w:rPr>
        <w:t>https://doi.org/10.</w:t>
      </w:r>
      <w:r w:rsidRPr="00213DBD">
        <w:rPr>
          <w:rFonts w:eastAsia="STIX-Regular" w:cs="Times New Roman"/>
          <w:color w:val="0000FF"/>
          <w:kern w:val="0"/>
          <w:lang w:val="en-US"/>
        </w:rPr>
        <w:t>1021/ jf960 6138</w:t>
      </w:r>
    </w:p>
    <w:p w14:paraId="082E571A" w14:textId="69CCA8D7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kern w:val="0"/>
          <w:lang w:val="en-US"/>
        </w:rPr>
      </w:pPr>
      <w:r w:rsidRPr="00213DBD">
        <w:rPr>
          <w:rFonts w:eastAsia="STIX-Regular" w:cs="Times New Roman"/>
          <w:kern w:val="0"/>
          <w:lang w:val="en-US"/>
        </w:rPr>
        <w:lastRenderedPageBreak/>
        <w:t xml:space="preserve">Perrin, D. D. (1965). </w:t>
      </w:r>
      <w:r w:rsidRPr="00213DBD">
        <w:rPr>
          <w:rFonts w:eastAsia="STIX-Regular" w:cs="Times New Roman"/>
          <w:i/>
          <w:iCs/>
          <w:kern w:val="0"/>
          <w:lang w:val="en-US"/>
        </w:rPr>
        <w:t>Dissociation constants of organic bases</w:t>
      </w:r>
      <w:r w:rsidRPr="00213DBD">
        <w:rPr>
          <w:rFonts w:eastAsia="STIX-Regular" w:cs="Times New Roman"/>
          <w:i/>
          <w:iCs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kern w:val="0"/>
          <w:lang w:val="en-US"/>
        </w:rPr>
        <w:t>in aqueous solution</w:t>
      </w:r>
      <w:r w:rsidRPr="00213DBD">
        <w:rPr>
          <w:rFonts w:eastAsia="STIX-Regular" w:cs="Times New Roman"/>
          <w:kern w:val="0"/>
          <w:lang w:val="en-US"/>
        </w:rPr>
        <w:t>. Butterworth.</w:t>
      </w:r>
    </w:p>
    <w:p w14:paraId="6B7625C8" w14:textId="2E945627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kern w:val="0"/>
          <w:lang w:val="en-US"/>
        </w:rPr>
      </w:pPr>
    </w:p>
    <w:p w14:paraId="0BB9F09C" w14:textId="389BAFFD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  <w:r w:rsidRPr="00213DBD">
        <w:rPr>
          <w:rFonts w:eastAsia="STIX-Regular" w:cs="Times New Roman"/>
          <w:color w:val="000000"/>
          <w:kern w:val="0"/>
          <w:lang w:val="en-US"/>
        </w:rPr>
        <w:t>Tolls, J. (2001). Sorption of veterinary pharmaceuticals in</w:t>
      </w:r>
      <w:r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soils: A review.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Environmental Science &amp; Technology,</w:t>
      </w:r>
      <w:r>
        <w:rPr>
          <w:rFonts w:eastAsia="STIX-Regular" w:cs="Times New Roman"/>
          <w:i/>
          <w:iCs/>
          <w:color w:val="000000"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color w:val="000000"/>
          <w:kern w:val="0"/>
          <w:lang w:val="en-US"/>
        </w:rPr>
        <w:t>35</w:t>
      </w:r>
      <w:r w:rsidRPr="00213DBD">
        <w:rPr>
          <w:rFonts w:eastAsia="STIX-Regular" w:cs="Times New Roman"/>
          <w:color w:val="000000"/>
          <w:kern w:val="0"/>
          <w:lang w:val="en-US"/>
        </w:rPr>
        <w:t xml:space="preserve">(17), 3397–3406. </w:t>
      </w:r>
      <w:r w:rsidR="005B3543">
        <w:rPr>
          <w:rFonts w:eastAsia="STIX-Regular" w:cs="Times New Roman"/>
          <w:color w:val="0000FF"/>
          <w:kern w:val="0"/>
          <w:lang w:val="en-US"/>
        </w:rPr>
        <w:t>https:// doi.org/10.1021/es001</w:t>
      </w:r>
      <w:r w:rsidRPr="00213DBD">
        <w:rPr>
          <w:rFonts w:eastAsia="STIX-Regular" w:cs="Times New Roman"/>
          <w:color w:val="0000FF"/>
          <w:kern w:val="0"/>
          <w:lang w:val="en-US"/>
        </w:rPr>
        <w:t>471r</w:t>
      </w:r>
    </w:p>
    <w:p w14:paraId="32D59479" w14:textId="46ADC5F1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color w:val="0000FF"/>
          <w:kern w:val="0"/>
          <w:lang w:val="en-US"/>
        </w:rPr>
      </w:pPr>
    </w:p>
    <w:p w14:paraId="138F7C2E" w14:textId="6B15C2E3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kern w:val="0"/>
          <w:lang w:val="en-US"/>
        </w:rPr>
      </w:pPr>
      <w:proofErr w:type="spellStart"/>
      <w:r w:rsidRPr="00213DBD">
        <w:rPr>
          <w:rFonts w:eastAsia="STIX-Regular" w:cs="Times New Roman"/>
          <w:kern w:val="0"/>
          <w:lang w:val="en-US"/>
        </w:rPr>
        <w:t>Yalkowsky</w:t>
      </w:r>
      <w:proofErr w:type="spellEnd"/>
      <w:r w:rsidRPr="00213DBD">
        <w:rPr>
          <w:rFonts w:eastAsia="STIX-Regular" w:cs="Times New Roman"/>
          <w:kern w:val="0"/>
          <w:lang w:val="en-US"/>
        </w:rPr>
        <w:t xml:space="preserve">, S. H., &amp; </w:t>
      </w:r>
      <w:proofErr w:type="spellStart"/>
      <w:r w:rsidRPr="00213DBD">
        <w:rPr>
          <w:rFonts w:eastAsia="STIX-Regular" w:cs="Times New Roman"/>
          <w:kern w:val="0"/>
          <w:lang w:val="en-US"/>
        </w:rPr>
        <w:t>Dannenfelser</w:t>
      </w:r>
      <w:proofErr w:type="spellEnd"/>
      <w:r w:rsidRPr="00213DBD">
        <w:rPr>
          <w:rFonts w:eastAsia="STIX-Regular" w:cs="Times New Roman"/>
          <w:kern w:val="0"/>
          <w:lang w:val="en-US"/>
        </w:rPr>
        <w:t xml:space="preserve">, R. M. (1992). </w:t>
      </w:r>
      <w:r w:rsidRPr="00213DBD">
        <w:rPr>
          <w:rFonts w:eastAsia="STIX-Regular" w:cs="Times New Roman"/>
          <w:i/>
          <w:iCs/>
          <w:kern w:val="0"/>
          <w:lang w:val="en-US"/>
        </w:rPr>
        <w:t>The AQUASOL</w:t>
      </w:r>
      <w:r w:rsidRPr="00213DBD">
        <w:rPr>
          <w:rFonts w:eastAsia="STIX-Regular" w:cs="Times New Roman"/>
          <w:i/>
          <w:iCs/>
          <w:kern w:val="0"/>
          <w:lang w:val="en-US"/>
        </w:rPr>
        <w:t xml:space="preserve"> </w:t>
      </w:r>
      <w:r w:rsidRPr="00213DBD">
        <w:rPr>
          <w:rFonts w:eastAsia="STIX-Regular" w:cs="Times New Roman"/>
          <w:i/>
          <w:iCs/>
          <w:kern w:val="0"/>
          <w:lang w:val="en-US"/>
        </w:rPr>
        <w:t xml:space="preserve">database of aqueous solubility </w:t>
      </w:r>
      <w:r w:rsidRPr="00213DBD">
        <w:rPr>
          <w:rFonts w:eastAsia="STIX-Regular" w:cs="Times New Roman"/>
          <w:kern w:val="0"/>
          <w:lang w:val="en-US"/>
        </w:rPr>
        <w:t>(Ver. 5). University</w:t>
      </w:r>
      <w:r w:rsidRPr="00213DBD">
        <w:rPr>
          <w:rFonts w:eastAsia="STIX-Regular" w:cs="Times New Roman"/>
          <w:kern w:val="0"/>
          <w:lang w:val="en-US"/>
        </w:rPr>
        <w:t xml:space="preserve"> </w:t>
      </w:r>
      <w:r w:rsidRPr="00213DBD">
        <w:rPr>
          <w:rFonts w:eastAsia="STIX-Regular" w:cs="Times New Roman"/>
          <w:kern w:val="0"/>
          <w:lang w:val="en-US"/>
        </w:rPr>
        <w:t>of Arizona, College of Pharmacy.</w:t>
      </w:r>
    </w:p>
    <w:p w14:paraId="3CE2814A" w14:textId="5886D36A" w:rsidR="00213DBD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eastAsia="STIX-Regular" w:cs="Times New Roman"/>
          <w:kern w:val="0"/>
          <w:lang w:val="en-US"/>
        </w:rPr>
      </w:pPr>
    </w:p>
    <w:p w14:paraId="47697A0D" w14:textId="1BD5C60B" w:rsidR="00213DBD" w:rsidRPr="005B3543" w:rsidRDefault="00213DBD" w:rsidP="00213DB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202020"/>
          <w:shd w:val="clear" w:color="auto" w:fill="FFFFFF"/>
        </w:rPr>
      </w:pPr>
      <w:proofErr w:type="spellStart"/>
      <w:r w:rsidRPr="005B3543">
        <w:rPr>
          <w:rFonts w:eastAsia="STIX-Regular" w:cs="Times New Roman"/>
          <w:color w:val="000000"/>
          <w:kern w:val="0"/>
          <w:lang w:val="en-US"/>
        </w:rPr>
        <w:t>Torniainen</w:t>
      </w:r>
      <w:proofErr w:type="spellEnd"/>
      <w:r w:rsidRPr="005B3543">
        <w:rPr>
          <w:rFonts w:eastAsia="STIX-Regular" w:cs="Times New Roman"/>
          <w:color w:val="000000"/>
          <w:kern w:val="0"/>
          <w:lang w:val="en-US"/>
        </w:rPr>
        <w:t xml:space="preserve">, K., </w:t>
      </w:r>
      <w:proofErr w:type="spellStart"/>
      <w:r w:rsidRPr="005B3543">
        <w:rPr>
          <w:rFonts w:eastAsia="STIX-Regular" w:cs="Times New Roman"/>
          <w:color w:val="000000"/>
          <w:kern w:val="0"/>
          <w:lang w:val="en-US"/>
        </w:rPr>
        <w:t>Tammilehto</w:t>
      </w:r>
      <w:proofErr w:type="spellEnd"/>
      <w:r w:rsidRPr="005B3543">
        <w:rPr>
          <w:rFonts w:eastAsia="STIX-Regular" w:cs="Times New Roman"/>
          <w:color w:val="000000"/>
          <w:kern w:val="0"/>
          <w:lang w:val="en-US"/>
        </w:rPr>
        <w:t xml:space="preserve">, S., &amp; </w:t>
      </w:r>
      <w:proofErr w:type="spellStart"/>
      <w:r w:rsidRPr="005B3543">
        <w:rPr>
          <w:rFonts w:eastAsia="STIX-Regular" w:cs="Times New Roman"/>
          <w:color w:val="000000"/>
          <w:kern w:val="0"/>
          <w:lang w:val="en-US"/>
        </w:rPr>
        <w:t>Ulvi</w:t>
      </w:r>
      <w:proofErr w:type="spellEnd"/>
      <w:r w:rsidRPr="005B3543">
        <w:rPr>
          <w:rFonts w:eastAsia="STIX-Regular" w:cs="Times New Roman"/>
          <w:color w:val="000000"/>
          <w:kern w:val="0"/>
          <w:lang w:val="en-US"/>
        </w:rPr>
        <w:t>, V. (1996). The effect</w:t>
      </w:r>
      <w:r w:rsidR="005B3543"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5B3543">
        <w:rPr>
          <w:rFonts w:eastAsia="STIX-Regular" w:cs="Times New Roman"/>
          <w:color w:val="000000"/>
          <w:kern w:val="0"/>
          <w:lang w:val="en-US"/>
        </w:rPr>
        <w:t>of pH, buffer type and drug concentration on the photo</w:t>
      </w:r>
      <w:r w:rsidR="005B3543"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5B3543">
        <w:rPr>
          <w:rFonts w:eastAsia="STIX-Regular" w:cs="Times New Roman"/>
          <w:color w:val="000000"/>
          <w:kern w:val="0"/>
          <w:lang w:val="en-US"/>
        </w:rPr>
        <w:t>degradation of</w:t>
      </w:r>
      <w:r w:rsidR="005B3543">
        <w:rPr>
          <w:rFonts w:eastAsia="STIX-Regular" w:cs="Times New Roman"/>
          <w:color w:val="000000"/>
          <w:kern w:val="0"/>
          <w:lang w:val="en-US"/>
        </w:rPr>
        <w:t xml:space="preserve"> </w:t>
      </w:r>
      <w:r w:rsidRPr="005B3543">
        <w:rPr>
          <w:rFonts w:eastAsia="STIX-Regular" w:cs="Times New Roman"/>
          <w:color w:val="000000"/>
          <w:kern w:val="0"/>
          <w:lang w:val="en-US"/>
        </w:rPr>
        <w:t xml:space="preserve">ciprofloxacin. </w:t>
      </w:r>
      <w:r w:rsidRPr="005B3543">
        <w:rPr>
          <w:rFonts w:eastAsia="STIX-Regular" w:cs="Times New Roman"/>
          <w:i/>
          <w:iCs/>
          <w:color w:val="000000"/>
          <w:kern w:val="0"/>
          <w:lang w:val="en-US"/>
        </w:rPr>
        <w:t>International Journal of</w:t>
      </w:r>
      <w:r w:rsidR="005B3543">
        <w:rPr>
          <w:rFonts w:eastAsia="STIX-Regular" w:cs="Times New Roman"/>
          <w:i/>
          <w:iCs/>
          <w:color w:val="000000"/>
          <w:kern w:val="0"/>
          <w:lang w:val="en-US"/>
        </w:rPr>
        <w:t xml:space="preserve"> </w:t>
      </w:r>
      <w:r w:rsidRPr="005B3543">
        <w:rPr>
          <w:rFonts w:eastAsia="STIX-Regular" w:cs="Times New Roman"/>
          <w:i/>
          <w:iCs/>
          <w:color w:val="000000"/>
          <w:kern w:val="0"/>
          <w:lang w:val="en-US"/>
        </w:rPr>
        <w:t>Pharmaceutics, 132</w:t>
      </w:r>
      <w:r w:rsidRPr="005B3543">
        <w:rPr>
          <w:rFonts w:eastAsia="STIX-Regular" w:cs="Times New Roman"/>
          <w:color w:val="000000"/>
          <w:kern w:val="0"/>
          <w:lang w:val="en-US"/>
        </w:rPr>
        <w:t xml:space="preserve">(1–2), 53–61. </w:t>
      </w:r>
      <w:r w:rsidR="005B3543">
        <w:rPr>
          <w:rFonts w:eastAsia="STIX-Regular" w:cs="Times New Roman"/>
          <w:color w:val="0000FF"/>
          <w:kern w:val="0"/>
          <w:lang w:val="en-US"/>
        </w:rPr>
        <w:t>https://doi.org/10.</w:t>
      </w:r>
      <w:r w:rsidRPr="005B3543">
        <w:rPr>
          <w:rFonts w:eastAsia="STIX-Regular" w:cs="Times New Roman"/>
          <w:color w:val="0000FF"/>
          <w:kern w:val="0"/>
          <w:lang w:val="en-US"/>
        </w:rPr>
        <w:t>1016/0378- 5173(96) 04414-2</w:t>
      </w:r>
    </w:p>
    <w:p w14:paraId="621058C6" w14:textId="77777777" w:rsidR="00213DBD" w:rsidRDefault="00213DBD" w:rsidP="00213DBD">
      <w:pPr>
        <w:rPr>
          <w:rFonts w:cs="Times New Roman"/>
        </w:rPr>
      </w:pPr>
    </w:p>
    <w:p w14:paraId="32966BB5" w14:textId="77777777" w:rsidR="00213DBD" w:rsidRDefault="00213DBD" w:rsidP="00213DBD">
      <w:pPr>
        <w:rPr>
          <w:rFonts w:cs="Times New Roman"/>
        </w:rPr>
      </w:pPr>
    </w:p>
    <w:p w14:paraId="5BA9627F" w14:textId="0C348B1D" w:rsidR="00DD276B" w:rsidRPr="00213DBD" w:rsidRDefault="00213DBD" w:rsidP="00213DBD">
      <w:pPr>
        <w:tabs>
          <w:tab w:val="left" w:pos="2909"/>
        </w:tabs>
        <w:rPr>
          <w:rFonts w:cs="Times New Roman"/>
        </w:rPr>
      </w:pPr>
      <w:r>
        <w:rPr>
          <w:rFonts w:cs="Times New Roman"/>
        </w:rPr>
        <w:tab/>
      </w:r>
    </w:p>
    <w:sectPr w:rsidR="00DD276B" w:rsidRPr="00213DBD" w:rsidSect="00401E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7051B6"/>
    <w:multiLevelType w:val="hybridMultilevel"/>
    <w:tmpl w:val="EC2CF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554E1D"/>
    <w:multiLevelType w:val="hybridMultilevel"/>
    <w:tmpl w:val="03E49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F1615"/>
    <w:multiLevelType w:val="hybridMultilevel"/>
    <w:tmpl w:val="C45A6D9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37"/>
    <w:rsid w:val="00026226"/>
    <w:rsid w:val="000373CB"/>
    <w:rsid w:val="00066015"/>
    <w:rsid w:val="00090DDA"/>
    <w:rsid w:val="000A24E1"/>
    <w:rsid w:val="000A5161"/>
    <w:rsid w:val="000C5F67"/>
    <w:rsid w:val="000E029C"/>
    <w:rsid w:val="00142014"/>
    <w:rsid w:val="00166483"/>
    <w:rsid w:val="00175641"/>
    <w:rsid w:val="001E35E9"/>
    <w:rsid w:val="001E39A0"/>
    <w:rsid w:val="001F59FA"/>
    <w:rsid w:val="00200B41"/>
    <w:rsid w:val="00213DBD"/>
    <w:rsid w:val="00251FF4"/>
    <w:rsid w:val="002A54F0"/>
    <w:rsid w:val="002B4312"/>
    <w:rsid w:val="00327424"/>
    <w:rsid w:val="003D730E"/>
    <w:rsid w:val="003E0F82"/>
    <w:rsid w:val="00401E52"/>
    <w:rsid w:val="00406CDB"/>
    <w:rsid w:val="004417E8"/>
    <w:rsid w:val="004A11CC"/>
    <w:rsid w:val="004A610B"/>
    <w:rsid w:val="005A59A8"/>
    <w:rsid w:val="005B151E"/>
    <w:rsid w:val="005B3543"/>
    <w:rsid w:val="00630ADF"/>
    <w:rsid w:val="00635478"/>
    <w:rsid w:val="00642237"/>
    <w:rsid w:val="006728F4"/>
    <w:rsid w:val="00677351"/>
    <w:rsid w:val="006C46B2"/>
    <w:rsid w:val="0072145F"/>
    <w:rsid w:val="007C4403"/>
    <w:rsid w:val="007D6F57"/>
    <w:rsid w:val="00801444"/>
    <w:rsid w:val="0086214A"/>
    <w:rsid w:val="008A581E"/>
    <w:rsid w:val="009535FB"/>
    <w:rsid w:val="009D71ED"/>
    <w:rsid w:val="009E2089"/>
    <w:rsid w:val="009F5481"/>
    <w:rsid w:val="00A37F00"/>
    <w:rsid w:val="00A45B1A"/>
    <w:rsid w:val="00A92ED4"/>
    <w:rsid w:val="00AD10CF"/>
    <w:rsid w:val="00B8663A"/>
    <w:rsid w:val="00BD1CC8"/>
    <w:rsid w:val="00C212D1"/>
    <w:rsid w:val="00C51660"/>
    <w:rsid w:val="00C533FE"/>
    <w:rsid w:val="00CF191D"/>
    <w:rsid w:val="00CF49ED"/>
    <w:rsid w:val="00DA6103"/>
    <w:rsid w:val="00DD276B"/>
    <w:rsid w:val="00E374D3"/>
    <w:rsid w:val="00E43044"/>
    <w:rsid w:val="00EC7732"/>
    <w:rsid w:val="00F50337"/>
    <w:rsid w:val="00FA542B"/>
    <w:rsid w:val="00FB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4200"/>
  <w15:chartTrackingRefBased/>
  <w15:docId w15:val="{B55B0A3E-32D8-7D43-BB98-6E16DA1C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732"/>
    <w:pPr>
      <w:spacing w:line="48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3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3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3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3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3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3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3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3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3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3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3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3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3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3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3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3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3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337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C7732"/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bottom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C77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7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732"/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39"/>
    <w:rsid w:val="00EC773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Zamazwi Mthiyane</dc:creator>
  <cp:keywords/>
  <dc:description/>
  <cp:lastModifiedBy>Michelle Jolbot</cp:lastModifiedBy>
  <cp:revision>8</cp:revision>
  <dcterms:created xsi:type="dcterms:W3CDTF">2025-09-19T14:59:00Z</dcterms:created>
  <dcterms:modified xsi:type="dcterms:W3CDTF">2025-10-24T03:48:00Z</dcterms:modified>
</cp:coreProperties>
</file>