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533" w:rsidRPr="00894052" w:rsidRDefault="00171FB3" w:rsidP="00BC1533">
      <w:pPr>
        <w:jc w:val="center"/>
        <w:rPr>
          <w:rFonts w:eastAsia="Times New Roman" w:cs="Times New Roman"/>
          <w:b/>
          <w:sz w:val="32"/>
          <w:lang w:val="en-US"/>
        </w:rPr>
      </w:pPr>
      <w:r w:rsidRPr="00894052">
        <w:rPr>
          <w:rFonts w:eastAsia="Times New Roman" w:cs="Times New Roman"/>
          <w:b/>
          <w:sz w:val="32"/>
          <w:lang w:val="en-US"/>
        </w:rPr>
        <w:t>Supplementary Information</w:t>
      </w:r>
    </w:p>
    <w:p w:rsidR="00894052" w:rsidRPr="00894052" w:rsidRDefault="00894052" w:rsidP="00BC1533">
      <w:pPr>
        <w:jc w:val="center"/>
        <w:rPr>
          <w:rFonts w:eastAsia="Times New Roman" w:cs="Times New Roman"/>
          <w:b/>
          <w:sz w:val="28"/>
          <w:lang w:val="en-US"/>
        </w:rPr>
      </w:pPr>
    </w:p>
    <w:p w:rsidR="00894052" w:rsidRPr="00894052" w:rsidRDefault="00894052" w:rsidP="00BC1533">
      <w:pPr>
        <w:jc w:val="center"/>
        <w:rPr>
          <w:rFonts w:eastAsia="Times New Roman" w:cs="Times New Roman"/>
          <w:b/>
          <w:sz w:val="28"/>
          <w:lang w:val="en-US"/>
        </w:rPr>
      </w:pPr>
      <w:r w:rsidRPr="00894052">
        <w:rPr>
          <w:rFonts w:eastAsia="Times New Roman" w:cs="Times New Roman"/>
          <w:b/>
          <w:sz w:val="28"/>
          <w:lang w:val="en-US"/>
        </w:rPr>
        <w:t>Environmental Monitoring and Assessment</w:t>
      </w:r>
    </w:p>
    <w:p w:rsidR="00894052" w:rsidRPr="00894052" w:rsidRDefault="00894052" w:rsidP="00BC1533">
      <w:pPr>
        <w:jc w:val="center"/>
        <w:rPr>
          <w:rFonts w:eastAsia="Times New Roman" w:cs="Times New Roman"/>
          <w:b/>
          <w:sz w:val="20"/>
          <w:lang w:val="en-US"/>
        </w:rPr>
      </w:pPr>
    </w:p>
    <w:p w:rsidR="00894052" w:rsidRPr="00894052" w:rsidRDefault="00894052" w:rsidP="00894052">
      <w:pPr>
        <w:jc w:val="center"/>
        <w:rPr>
          <w:b/>
          <w:sz w:val="28"/>
          <w:lang w:val="en-US"/>
        </w:rPr>
      </w:pPr>
      <w:bookmarkStart w:id="0" w:name="_Hlk195785258"/>
      <w:r w:rsidRPr="00894052">
        <w:rPr>
          <w:b/>
          <w:sz w:val="28"/>
          <w:lang w:val="en-US"/>
        </w:rPr>
        <w:t>Persistence of environmental and wastewater-associated antibiotic resistance in river water</w:t>
      </w:r>
    </w:p>
    <w:bookmarkEnd w:id="0"/>
    <w:p w:rsidR="00894052" w:rsidRDefault="00894052" w:rsidP="00894052">
      <w:pPr>
        <w:jc w:val="center"/>
        <w:rPr>
          <w:rFonts w:eastAsia="Times New Roman" w:cs="Times New Roman"/>
          <w:sz w:val="24"/>
          <w:vertAlign w:val="superscript"/>
        </w:rPr>
      </w:pPr>
      <w:r w:rsidRPr="00894052">
        <w:rPr>
          <w:rFonts w:eastAsia="Times New Roman" w:cs="Times New Roman"/>
          <w:sz w:val="24"/>
        </w:rPr>
        <w:t>Concepcion Sanchez-Cid</w:t>
      </w:r>
      <w:r w:rsidRPr="00894052">
        <w:rPr>
          <w:rFonts w:eastAsia="Times New Roman" w:cs="Times New Roman"/>
          <w:sz w:val="24"/>
          <w:vertAlign w:val="superscript"/>
        </w:rPr>
        <w:t>1</w:t>
      </w:r>
      <w:r w:rsidRPr="00894052">
        <w:rPr>
          <w:rFonts w:eastAsia="Times New Roman" w:cs="Times New Roman"/>
          <w:sz w:val="24"/>
        </w:rPr>
        <w:t>, Emilie Dehon</w:t>
      </w:r>
      <w:r w:rsidRPr="00894052">
        <w:rPr>
          <w:rFonts w:eastAsia="Times New Roman" w:cs="Times New Roman"/>
          <w:sz w:val="24"/>
          <w:vertAlign w:val="superscript"/>
        </w:rPr>
        <w:t>1,2</w:t>
      </w:r>
      <w:r w:rsidRPr="00894052">
        <w:rPr>
          <w:rFonts w:eastAsia="Times New Roman" w:cs="Times New Roman"/>
          <w:sz w:val="24"/>
        </w:rPr>
        <w:t>, Carolin Schweikart</w:t>
      </w:r>
      <w:r w:rsidRPr="00894052">
        <w:rPr>
          <w:rFonts w:eastAsia="Times New Roman" w:cs="Times New Roman"/>
          <w:sz w:val="24"/>
          <w:vertAlign w:val="superscript"/>
        </w:rPr>
        <w:t>3</w:t>
      </w:r>
      <w:r w:rsidRPr="00894052">
        <w:rPr>
          <w:rFonts w:eastAsia="Times New Roman" w:cs="Times New Roman"/>
          <w:sz w:val="24"/>
        </w:rPr>
        <w:t>, Timothy M. Vogel</w:t>
      </w:r>
      <w:r w:rsidRPr="00894052">
        <w:rPr>
          <w:rFonts w:eastAsia="Times New Roman" w:cs="Times New Roman"/>
          <w:sz w:val="24"/>
          <w:vertAlign w:val="superscript"/>
        </w:rPr>
        <w:t>1</w:t>
      </w:r>
      <w:r w:rsidRPr="00894052">
        <w:rPr>
          <w:rFonts w:eastAsia="Times New Roman" w:cs="Times New Roman"/>
          <w:sz w:val="24"/>
        </w:rPr>
        <w:t>, Andreas Tiehm</w:t>
      </w:r>
      <w:r w:rsidRPr="00894052">
        <w:rPr>
          <w:rFonts w:eastAsia="Times New Roman" w:cs="Times New Roman"/>
          <w:sz w:val="24"/>
          <w:vertAlign w:val="superscript"/>
        </w:rPr>
        <w:t>3</w:t>
      </w:r>
      <w:r w:rsidRPr="00894052">
        <w:rPr>
          <w:rFonts w:eastAsia="Times New Roman" w:cs="Times New Roman"/>
          <w:sz w:val="24"/>
        </w:rPr>
        <w:t>, Claudia Stange</w:t>
      </w:r>
      <w:r w:rsidRPr="00894052">
        <w:rPr>
          <w:rFonts w:eastAsia="Times New Roman" w:cs="Times New Roman"/>
          <w:sz w:val="24"/>
          <w:vertAlign w:val="superscript"/>
        </w:rPr>
        <w:t>3</w:t>
      </w:r>
    </w:p>
    <w:p w:rsidR="00894052" w:rsidRPr="00894052" w:rsidRDefault="00894052" w:rsidP="00894052">
      <w:pPr>
        <w:jc w:val="center"/>
        <w:rPr>
          <w:rFonts w:eastAsia="Times New Roman" w:cs="Times New Roman"/>
          <w:sz w:val="24"/>
        </w:rPr>
      </w:pPr>
    </w:p>
    <w:p w:rsidR="00894052" w:rsidRPr="00282164" w:rsidRDefault="00894052" w:rsidP="00894052">
      <w:pPr>
        <w:spacing w:after="0" w:line="240" w:lineRule="auto"/>
        <w:rPr>
          <w:rFonts w:ascii="Times New Roman" w:eastAsia="Times New Roman" w:hAnsi="Times New Roman" w:cs="Calibri"/>
          <w:sz w:val="20"/>
          <w:lang w:eastAsia="fr-FR"/>
        </w:rPr>
      </w:pPr>
      <w:r w:rsidRPr="00282164">
        <w:rPr>
          <w:rFonts w:eastAsia="Times New Roman" w:cs="Calibri"/>
          <w:sz w:val="20"/>
          <w:vertAlign w:val="superscript"/>
          <w:lang w:eastAsia="fr-FR"/>
        </w:rPr>
        <w:t>1</w:t>
      </w:r>
      <w:r w:rsidRPr="00282164">
        <w:rPr>
          <w:rFonts w:eastAsia="Times New Roman" w:cs="Calibri"/>
          <w:sz w:val="20"/>
          <w:lang w:eastAsia="fr-FR"/>
        </w:rPr>
        <w:t xml:space="preserve">Universite Claude Bernard Lyon 1, Laboratoire d'Ecologie Microbienne, UMR CNRS 5557, UMR INRAE 1418, </w:t>
      </w:r>
      <w:proofErr w:type="spellStart"/>
      <w:r w:rsidRPr="00282164">
        <w:rPr>
          <w:rFonts w:eastAsia="Times New Roman" w:cs="Calibri"/>
          <w:sz w:val="20"/>
          <w:lang w:eastAsia="fr-FR"/>
        </w:rPr>
        <w:t>VetAgro</w:t>
      </w:r>
      <w:proofErr w:type="spellEnd"/>
      <w:r w:rsidRPr="00282164">
        <w:rPr>
          <w:rFonts w:eastAsia="Times New Roman" w:cs="Calibri"/>
          <w:sz w:val="20"/>
          <w:lang w:eastAsia="fr-FR"/>
        </w:rPr>
        <w:t xml:space="preserve"> Sup, 69622 Villeurbanne, France</w:t>
      </w:r>
    </w:p>
    <w:p w:rsidR="00894052" w:rsidRPr="00282164" w:rsidRDefault="00894052" w:rsidP="00894052">
      <w:pPr>
        <w:spacing w:after="0" w:line="240" w:lineRule="auto"/>
        <w:jc w:val="both"/>
        <w:rPr>
          <w:rFonts w:eastAsia="Times New Roman" w:cs="Calibri"/>
          <w:b/>
          <w:sz w:val="20"/>
          <w:lang w:val="en-US"/>
        </w:rPr>
      </w:pPr>
      <w:r w:rsidRPr="00282164">
        <w:rPr>
          <w:rFonts w:eastAsia="Times New Roman" w:cs="Calibri"/>
          <w:iCs/>
          <w:sz w:val="20"/>
          <w:vertAlign w:val="superscript"/>
          <w:lang w:val="en-US"/>
        </w:rPr>
        <w:t>2</w:t>
      </w:r>
      <w:r w:rsidRPr="00282164">
        <w:rPr>
          <w:rFonts w:eastAsia="Times New Roman" w:cs="Calibri"/>
          <w:iCs/>
          <w:sz w:val="20"/>
          <w:lang w:val="en-US"/>
        </w:rPr>
        <w:t xml:space="preserve">CHU de </w:t>
      </w:r>
      <w:proofErr w:type="spellStart"/>
      <w:r w:rsidRPr="00282164">
        <w:rPr>
          <w:rFonts w:eastAsia="Times New Roman" w:cs="Calibri"/>
          <w:iCs/>
          <w:sz w:val="20"/>
          <w:lang w:val="en-US"/>
        </w:rPr>
        <w:t>Québec-Universite</w:t>
      </w:r>
      <w:proofErr w:type="spellEnd"/>
      <w:r w:rsidRPr="00282164">
        <w:rPr>
          <w:rFonts w:eastAsia="Times New Roman" w:cs="Calibri"/>
          <w:iCs/>
          <w:sz w:val="20"/>
          <w:lang w:val="en-US"/>
        </w:rPr>
        <w:t xml:space="preserve">́ Laval Research Center, Endocrinology and Nephrology Axis, </w:t>
      </w:r>
      <w:proofErr w:type="spellStart"/>
      <w:r w:rsidRPr="00282164">
        <w:rPr>
          <w:rFonts w:eastAsia="Times New Roman" w:cs="Calibri"/>
          <w:iCs/>
          <w:sz w:val="20"/>
          <w:lang w:val="en-US"/>
        </w:rPr>
        <w:t>Québec</w:t>
      </w:r>
      <w:proofErr w:type="spellEnd"/>
      <w:r w:rsidRPr="00282164">
        <w:rPr>
          <w:rFonts w:eastAsia="Times New Roman" w:cs="Calibri"/>
          <w:iCs/>
          <w:sz w:val="20"/>
          <w:lang w:val="en-US"/>
        </w:rPr>
        <w:t xml:space="preserve"> City, </w:t>
      </w:r>
      <w:proofErr w:type="spellStart"/>
      <w:r w:rsidRPr="00282164">
        <w:rPr>
          <w:rFonts w:eastAsia="Times New Roman" w:cs="Calibri"/>
          <w:iCs/>
          <w:sz w:val="20"/>
          <w:lang w:val="en-US"/>
        </w:rPr>
        <w:t>Québec</w:t>
      </w:r>
      <w:proofErr w:type="spellEnd"/>
      <w:r w:rsidRPr="00282164">
        <w:rPr>
          <w:rFonts w:eastAsia="Times New Roman" w:cs="Calibri"/>
          <w:iCs/>
          <w:sz w:val="20"/>
          <w:lang w:val="en-US"/>
        </w:rPr>
        <w:t>, Canada</w:t>
      </w:r>
    </w:p>
    <w:p w:rsidR="00894052" w:rsidRPr="00282164" w:rsidRDefault="00894052" w:rsidP="00894052">
      <w:p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color w:val="000000"/>
          <w:sz w:val="20"/>
          <w:shd w:val="clear" w:color="auto" w:fill="FDFDFD"/>
          <w:lang w:val="en-US"/>
        </w:rPr>
      </w:pPr>
      <w:r w:rsidRPr="00282164">
        <w:rPr>
          <w:rFonts w:eastAsia="Times New Roman" w:cs="Calibri"/>
          <w:sz w:val="20"/>
          <w:vertAlign w:val="superscript"/>
          <w:lang w:val="en-GB"/>
        </w:rPr>
        <w:t>3</w:t>
      </w:r>
      <w:r w:rsidRPr="00282164">
        <w:rPr>
          <w:rFonts w:eastAsia="Times New Roman" w:cs="Calibri"/>
          <w:sz w:val="20"/>
          <w:lang w:val="en-GB"/>
        </w:rPr>
        <w:t>TZW: DVGW-</w:t>
      </w:r>
      <w:proofErr w:type="spellStart"/>
      <w:r w:rsidRPr="00282164">
        <w:rPr>
          <w:rFonts w:eastAsia="Times New Roman" w:cs="Calibri"/>
          <w:sz w:val="20"/>
          <w:lang w:val="en-GB"/>
        </w:rPr>
        <w:t>Technologiezentrum</w:t>
      </w:r>
      <w:proofErr w:type="spellEnd"/>
      <w:r w:rsidRPr="00282164">
        <w:rPr>
          <w:rFonts w:eastAsia="Times New Roman" w:cs="Calibri"/>
          <w:sz w:val="20"/>
          <w:lang w:val="en-GB"/>
        </w:rPr>
        <w:t xml:space="preserve"> Wasser, </w:t>
      </w:r>
      <w:proofErr w:type="spellStart"/>
      <w:r w:rsidRPr="00282164">
        <w:rPr>
          <w:rFonts w:eastAsia="Times New Roman" w:cs="Calibri"/>
          <w:sz w:val="20"/>
          <w:lang w:val="en-GB"/>
        </w:rPr>
        <w:t>Karlsruher</w:t>
      </w:r>
      <w:proofErr w:type="spellEnd"/>
      <w:r w:rsidRPr="00282164">
        <w:rPr>
          <w:rFonts w:eastAsia="Times New Roman" w:cs="Calibri"/>
          <w:sz w:val="20"/>
          <w:lang w:val="en-GB"/>
        </w:rPr>
        <w:t xml:space="preserve"> Str. 84, 76139 Karlsruhe, Germany</w:t>
      </w:r>
    </w:p>
    <w:p w:rsidR="00894052" w:rsidRPr="00282164" w:rsidRDefault="00894052" w:rsidP="00894052">
      <w:pPr>
        <w:rPr>
          <w:sz w:val="24"/>
          <w:lang w:val="en-US"/>
        </w:rPr>
      </w:pPr>
    </w:p>
    <w:p w:rsidR="00894052" w:rsidRDefault="00894052" w:rsidP="00894052">
      <w:pPr>
        <w:rPr>
          <w:rStyle w:val="Lienhypertexte"/>
          <w:lang w:val="en-US"/>
        </w:rPr>
      </w:pPr>
      <w:r w:rsidRPr="00282164">
        <w:rPr>
          <w:sz w:val="20"/>
          <w:lang w:val="en-US"/>
        </w:rPr>
        <w:t xml:space="preserve">*Corresponding author: </w:t>
      </w:r>
      <w:hyperlink r:id="rId6" w:history="1">
        <w:r w:rsidRPr="0066077B">
          <w:rPr>
            <w:rStyle w:val="Lienhypertexte"/>
            <w:lang w:val="en-US"/>
          </w:rPr>
          <w:t>sanchezcidtorres@gmail.com</w:t>
        </w:r>
      </w:hyperlink>
    </w:p>
    <w:p w:rsidR="00894052" w:rsidRDefault="00894052">
      <w:pPr>
        <w:rPr>
          <w:rStyle w:val="Lienhypertexte"/>
          <w:lang w:val="en-US"/>
        </w:rPr>
      </w:pPr>
      <w:r>
        <w:rPr>
          <w:rStyle w:val="Lienhypertexte"/>
          <w:lang w:val="en-US"/>
        </w:rPr>
        <w:br w:type="page"/>
      </w:r>
    </w:p>
    <w:p w:rsidR="00894052" w:rsidRDefault="00894052" w:rsidP="00BC1533">
      <w:pPr>
        <w:jc w:val="center"/>
        <w:rPr>
          <w:rFonts w:eastAsia="Times New Roman" w:cs="Times New Roman"/>
          <w:b/>
          <w:lang w:val="en-US"/>
        </w:rPr>
      </w:pPr>
    </w:p>
    <w:p w:rsidR="00C548D9" w:rsidRPr="00BC1533" w:rsidRDefault="00C548D9" w:rsidP="00BC1533">
      <w:pPr>
        <w:jc w:val="center"/>
        <w:rPr>
          <w:rFonts w:eastAsia="Times New Roman" w:cs="Times New Roman"/>
          <w:b/>
          <w:lang w:val="en-US"/>
        </w:rPr>
      </w:pPr>
      <w:bookmarkStart w:id="1" w:name="_GoBack"/>
      <w:bookmarkEnd w:id="1"/>
    </w:p>
    <w:p w:rsidR="00BC1533" w:rsidRPr="00BC1533" w:rsidRDefault="00BC1533" w:rsidP="00BC1533">
      <w:pPr>
        <w:rPr>
          <w:rFonts w:eastAsia="Times New Roman" w:cs="Times New Roman"/>
          <w:b/>
          <w:lang w:val="en-US"/>
        </w:rPr>
      </w:pPr>
      <w:r w:rsidRPr="00BC1533">
        <w:rPr>
          <w:rFonts w:eastAsia="Times New Roman" w:cs="Times New Roman"/>
          <w:b/>
          <w:noProof/>
          <w:lang w:val="de-DE" w:eastAsia="de-DE"/>
        </w:rPr>
        <w:drawing>
          <wp:inline distT="0" distB="0" distL="0" distR="0">
            <wp:extent cx="5716905" cy="232156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533" w:rsidRDefault="00BC1533" w:rsidP="00BC1533">
      <w:pPr>
        <w:rPr>
          <w:rFonts w:eastAsia="Times New Roman" w:cs="Times New Roman"/>
          <w:sz w:val="20"/>
          <w:szCs w:val="20"/>
          <w:lang w:val="en-US"/>
        </w:rPr>
      </w:pPr>
      <w:r w:rsidRPr="00BC1533">
        <w:rPr>
          <w:rFonts w:eastAsia="Times New Roman" w:cs="Times New Roman"/>
          <w:b/>
          <w:sz w:val="20"/>
          <w:szCs w:val="20"/>
          <w:lang w:val="en-US"/>
        </w:rPr>
        <w:t xml:space="preserve">Figure </w:t>
      </w:r>
      <w:r w:rsidR="00171FB3">
        <w:rPr>
          <w:rFonts w:eastAsia="Times New Roman" w:cs="Times New Roman"/>
          <w:b/>
          <w:sz w:val="20"/>
          <w:szCs w:val="20"/>
          <w:lang w:val="en-US"/>
        </w:rPr>
        <w:t>S</w:t>
      </w:r>
      <w:r w:rsidRPr="00BC1533">
        <w:rPr>
          <w:rFonts w:eastAsia="Times New Roman" w:cs="Times New Roman"/>
          <w:b/>
          <w:sz w:val="20"/>
          <w:szCs w:val="20"/>
          <w:lang w:val="en-US"/>
        </w:rPr>
        <w:t xml:space="preserve">1. </w:t>
      </w:r>
      <w:r w:rsidRPr="00BC1533">
        <w:rPr>
          <w:rFonts w:eastAsia="Times New Roman" w:cs="Times New Roman"/>
          <w:sz w:val="20"/>
          <w:szCs w:val="20"/>
          <w:lang w:val="en-US"/>
        </w:rPr>
        <w:t xml:space="preserve">pH, conductivity and dissolved oxygen concentration in the Alb and the Rhône rivers over the 10-week incubation. </w:t>
      </w:r>
    </w:p>
    <w:p w:rsidR="00244D87" w:rsidRDefault="00244D87" w:rsidP="00BC1533">
      <w:pPr>
        <w:rPr>
          <w:rFonts w:eastAsia="Times New Roman" w:cs="Times New Roman"/>
          <w:sz w:val="20"/>
          <w:szCs w:val="20"/>
          <w:lang w:val="en-US"/>
        </w:rPr>
      </w:pPr>
    </w:p>
    <w:p w:rsidR="00244D87" w:rsidRDefault="00244D87" w:rsidP="00BC1533">
      <w:pPr>
        <w:rPr>
          <w:rFonts w:eastAsia="Times New Roman" w:cs="Times New Roman"/>
          <w:sz w:val="20"/>
          <w:szCs w:val="20"/>
          <w:lang w:val="en-US"/>
        </w:rPr>
      </w:pPr>
    </w:p>
    <w:p w:rsidR="00244D87" w:rsidRDefault="00244D87" w:rsidP="00BC1533">
      <w:pPr>
        <w:rPr>
          <w:rFonts w:eastAsia="Times New Roman" w:cs="Times New Roman"/>
          <w:sz w:val="20"/>
          <w:szCs w:val="20"/>
          <w:lang w:val="en-US"/>
        </w:rPr>
      </w:pPr>
    </w:p>
    <w:p w:rsidR="00E619C3" w:rsidRDefault="00E619C3" w:rsidP="00BC1533">
      <w:pPr>
        <w:jc w:val="both"/>
        <w:rPr>
          <w:rFonts w:eastAsia="Times New Roman" w:cs="Times New Roman"/>
          <w:b/>
          <w:sz w:val="20"/>
          <w:lang w:val="en-US"/>
        </w:rPr>
      </w:pPr>
    </w:p>
    <w:p w:rsidR="00E26633" w:rsidRDefault="00287890" w:rsidP="00287890">
      <w:pPr>
        <w:jc w:val="center"/>
        <w:rPr>
          <w:lang w:val="en-US"/>
        </w:rPr>
      </w:pPr>
      <w:r w:rsidRPr="00287890">
        <w:rPr>
          <w:noProof/>
        </w:rPr>
        <w:drawing>
          <wp:inline distT="0" distB="0" distL="0" distR="0" wp14:anchorId="510CCF4E" wp14:editId="230FF9DB">
            <wp:extent cx="4051300" cy="2186057"/>
            <wp:effectExtent l="0" t="0" r="0" b="5080"/>
            <wp:docPr id="5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39AF8FBA-7FAB-4636-8335-92E599C7E2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39AF8FBA-7FAB-4636-8335-92E599C7E2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b="11273"/>
                    <a:stretch/>
                  </pic:blipFill>
                  <pic:spPr>
                    <a:xfrm>
                      <a:off x="0" y="0"/>
                      <a:ext cx="4051300" cy="218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890" w:rsidRPr="00287890" w:rsidRDefault="00287890" w:rsidP="00287890">
      <w:pPr>
        <w:rPr>
          <w:lang w:val="en-US"/>
        </w:rPr>
      </w:pPr>
      <w:r>
        <w:rPr>
          <w:b/>
          <w:lang w:val="en-US"/>
        </w:rPr>
        <w:t xml:space="preserve">Figure S2. </w:t>
      </w:r>
      <w:r>
        <w:rPr>
          <w:lang w:val="en-US"/>
        </w:rPr>
        <w:t xml:space="preserve">Sequencing depths by condition after removing samples that did not meet a plateau of ASV richness discovery due to too low sequencing depth. </w:t>
      </w:r>
      <w:r w:rsidRPr="00287890">
        <w:rPr>
          <w:lang w:val="en-US"/>
        </w:rPr>
        <w:t xml:space="preserve">Alb 20°C RW </w:t>
      </w:r>
      <w:r w:rsidRPr="00287890">
        <w:rPr>
          <w:i/>
          <w:lang w:val="en-US"/>
        </w:rPr>
        <w:t>n</w:t>
      </w:r>
      <w:r w:rsidRPr="00287890">
        <w:rPr>
          <w:lang w:val="en-US"/>
        </w:rPr>
        <w:t xml:space="preserve">=24; Alb 20°C RW+WW </w:t>
      </w:r>
      <w:r w:rsidRPr="00287890">
        <w:rPr>
          <w:i/>
          <w:lang w:val="en-US"/>
        </w:rPr>
        <w:t>n</w:t>
      </w:r>
      <w:r w:rsidRPr="00287890">
        <w:rPr>
          <w:lang w:val="en-US"/>
        </w:rPr>
        <w:t xml:space="preserve">=24; Alb 4°C RW </w:t>
      </w:r>
      <w:r w:rsidRPr="00287890">
        <w:rPr>
          <w:i/>
          <w:lang w:val="en-US"/>
        </w:rPr>
        <w:t>n</w:t>
      </w:r>
      <w:r w:rsidRPr="00287890">
        <w:rPr>
          <w:lang w:val="en-US"/>
        </w:rPr>
        <w:t>=22; Alb 4°C RW</w:t>
      </w:r>
      <w:r>
        <w:rPr>
          <w:lang w:val="en-US"/>
        </w:rPr>
        <w:t xml:space="preserve">+WW </w:t>
      </w:r>
      <w:r>
        <w:rPr>
          <w:i/>
          <w:lang w:val="en-US"/>
        </w:rPr>
        <w:t>n</w:t>
      </w:r>
      <w:r>
        <w:rPr>
          <w:lang w:val="en-US"/>
        </w:rPr>
        <w:t xml:space="preserve">=20; Rhône RW </w:t>
      </w:r>
      <w:r>
        <w:rPr>
          <w:i/>
          <w:lang w:val="en-US"/>
        </w:rPr>
        <w:t>n</w:t>
      </w:r>
      <w:r>
        <w:rPr>
          <w:lang w:val="en-US"/>
        </w:rPr>
        <w:t xml:space="preserve">=17; Rhône RW+WW </w:t>
      </w:r>
      <w:r>
        <w:rPr>
          <w:i/>
          <w:lang w:val="en-US"/>
        </w:rPr>
        <w:t>n</w:t>
      </w:r>
      <w:r>
        <w:rPr>
          <w:lang w:val="en-US"/>
        </w:rPr>
        <w:t xml:space="preserve">=18). </w:t>
      </w:r>
    </w:p>
    <w:tbl>
      <w:tblPr>
        <w:tblpPr w:leftFromText="141" w:rightFromText="141" w:vertAnchor="page" w:horzAnchor="margin" w:tblpXSpec="center" w:tblpY="2638"/>
        <w:tblW w:w="63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003"/>
        <w:gridCol w:w="1556"/>
        <w:gridCol w:w="1134"/>
        <w:gridCol w:w="1134"/>
      </w:tblGrid>
      <w:tr w:rsidR="00971A3E" w:rsidRPr="00B050FD" w:rsidTr="00971A3E">
        <w:trPr>
          <w:trHeight w:val="45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lastRenderedPageBreak/>
              <w:t>Day</w:t>
            </w:r>
          </w:p>
        </w:tc>
        <w:tc>
          <w:tcPr>
            <w:tcW w:w="20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MALDI-</w:t>
            </w:r>
            <w:r w:rsidR="00767A2C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T</w:t>
            </w:r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OF-MS</w:t>
            </w:r>
          </w:p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identification</w:t>
            </w:r>
          </w:p>
        </w:tc>
        <w:tc>
          <w:tcPr>
            <w:tcW w:w="1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Genome</w:t>
            </w:r>
            <w:proofErr w:type="spellEnd"/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taxonomy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Completion</w:t>
            </w:r>
            <w:proofErr w:type="spellEnd"/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(%)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Redundancy</w:t>
            </w:r>
            <w:proofErr w:type="spellEnd"/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(%)</w:t>
            </w:r>
          </w:p>
        </w:tc>
      </w:tr>
      <w:tr w:rsidR="00971A3E" w:rsidRPr="00DD6BDD" w:rsidTr="00971A3E">
        <w:trPr>
          <w:trHeight w:val="1394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20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1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US" w:eastAsia="fr-FR"/>
              </w:rPr>
            </w:pP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35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Janthinobacterium</w:t>
            </w:r>
            <w:proofErr w:type="spellEnd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lividum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Janthinobacterium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98.6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koreensis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98.6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frederiksbergensis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4.2</w:t>
            </w:r>
          </w:p>
        </w:tc>
      </w:tr>
      <w:tr w:rsidR="00971A3E" w:rsidRPr="00DD6BDD" w:rsidTr="00971A3E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brennerii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50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chlororaphis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98.6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4.2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Flavobacterium</w:t>
            </w:r>
            <w:proofErr w:type="spellEnd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hydatis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Flavobacterium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4.2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chlororaphis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98.6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fluorescens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98.6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4.2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frederiksbergensis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koreensis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1.4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Paenibacillus</w:t>
            </w:r>
            <w:proofErr w:type="spellEnd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amylolyticus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1.4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koreensis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2.8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frederiksbergensis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0.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antarctica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1.4</w:t>
            </w:r>
          </w:p>
        </w:tc>
      </w:tr>
      <w:tr w:rsidR="00971A3E" w:rsidRPr="00DD6BDD" w:rsidTr="00971A3E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proteolytica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  <w:t>70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jessenii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98.6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</w:tr>
      <w:tr w:rsidR="00971A3E" w:rsidRPr="00DD6BDD" w:rsidTr="00971A3E">
        <w:trPr>
          <w:trHeight w:val="29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corrugata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98.6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2.8</w:t>
            </w:r>
          </w:p>
        </w:tc>
      </w:tr>
      <w:tr w:rsidR="00971A3E" w:rsidRPr="00DD6BDD" w:rsidTr="00971A3E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1A3E" w:rsidRPr="008E0F2D" w:rsidRDefault="00971A3E" w:rsidP="00971A3E">
            <w:pPr>
              <w:spacing w:after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 xml:space="preserve">Pseudomonas </w:t>
            </w:r>
            <w:proofErr w:type="spellStart"/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koreensis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fr-FR"/>
              </w:rPr>
              <w:t>Pseudomonas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1A3E" w:rsidRPr="008E0F2D" w:rsidRDefault="00971A3E" w:rsidP="00971A3E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</w:pPr>
            <w:r w:rsidRPr="008E0F2D">
              <w:rPr>
                <w:rFonts w:eastAsia="Times New Roman" w:cstheme="minorHAnsi"/>
                <w:color w:val="000000"/>
                <w:sz w:val="18"/>
                <w:szCs w:val="18"/>
                <w:lang w:eastAsia="fr-FR"/>
              </w:rPr>
              <w:t>1.4</w:t>
            </w:r>
          </w:p>
        </w:tc>
      </w:tr>
    </w:tbl>
    <w:p w:rsidR="00971A3E" w:rsidRPr="00971A3E" w:rsidRDefault="00971A3E">
      <w:pPr>
        <w:rPr>
          <w:lang w:val="en-US"/>
        </w:rPr>
      </w:pPr>
      <w:r w:rsidRPr="00695296">
        <w:rPr>
          <w:b/>
          <w:lang w:val="en-US"/>
        </w:rPr>
        <w:t>Table S</w:t>
      </w:r>
      <w:r w:rsidR="00695296" w:rsidRPr="00695296">
        <w:rPr>
          <w:b/>
          <w:lang w:val="en-US"/>
        </w:rPr>
        <w:t>1</w:t>
      </w:r>
      <w:r w:rsidRPr="00695296">
        <w:rPr>
          <w:b/>
          <w:lang w:val="en-US"/>
        </w:rPr>
        <w:t>.</w:t>
      </w:r>
      <w:r w:rsidRPr="00971A3E">
        <w:rPr>
          <w:lang w:val="en-US"/>
        </w:rPr>
        <w:t xml:space="preserve"> </w:t>
      </w:r>
      <w:r>
        <w:rPr>
          <w:lang w:val="en-US"/>
        </w:rPr>
        <w:t>Taxonomy, c</w:t>
      </w:r>
      <w:r w:rsidRPr="00971A3E">
        <w:rPr>
          <w:lang w:val="en-US"/>
        </w:rPr>
        <w:t>ompletion and redundancy of</w:t>
      </w:r>
      <w:r>
        <w:rPr>
          <w:lang w:val="en-US"/>
        </w:rPr>
        <w:t xml:space="preserve"> the genomes sequenced from isolates from Alb river water microcosms grown on R2A medium.</w:t>
      </w:r>
    </w:p>
    <w:sectPr w:rsidR="00971A3E" w:rsidRPr="00971A3E" w:rsidSect="007724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CC5" w:rsidRDefault="003A6CC5">
      <w:pPr>
        <w:spacing w:after="0" w:line="240" w:lineRule="auto"/>
      </w:pPr>
      <w:r>
        <w:separator/>
      </w:r>
    </w:p>
  </w:endnote>
  <w:endnote w:type="continuationSeparator" w:id="0">
    <w:p w:rsidR="003A6CC5" w:rsidRDefault="003A6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1D6" w:rsidRDefault="003A6CC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1D6" w:rsidRDefault="00BC1533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Pr="005C748F">
      <w:rPr>
        <w:noProof/>
        <w:lang w:val="de-DE"/>
      </w:rPr>
      <w:t>23</w:t>
    </w:r>
    <w:r>
      <w:fldChar w:fldCharType="end"/>
    </w:r>
  </w:p>
  <w:p w:rsidR="009031D6" w:rsidRDefault="003A6CC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1D6" w:rsidRDefault="003A6CC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CC5" w:rsidRDefault="003A6CC5">
      <w:pPr>
        <w:spacing w:after="0" w:line="240" w:lineRule="auto"/>
      </w:pPr>
      <w:r>
        <w:separator/>
      </w:r>
    </w:p>
  </w:footnote>
  <w:footnote w:type="continuationSeparator" w:id="0">
    <w:p w:rsidR="003A6CC5" w:rsidRDefault="003A6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1D6" w:rsidRDefault="003A6CC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1D6" w:rsidRDefault="003A6CC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1D6" w:rsidRDefault="003A6CC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533"/>
    <w:rsid w:val="00006D93"/>
    <w:rsid w:val="00157223"/>
    <w:rsid w:val="00171FB3"/>
    <w:rsid w:val="00244D87"/>
    <w:rsid w:val="00287890"/>
    <w:rsid w:val="003A6CC5"/>
    <w:rsid w:val="00475D10"/>
    <w:rsid w:val="00695296"/>
    <w:rsid w:val="006E31FF"/>
    <w:rsid w:val="00767A2C"/>
    <w:rsid w:val="00894052"/>
    <w:rsid w:val="00913831"/>
    <w:rsid w:val="00971A3E"/>
    <w:rsid w:val="00AC7FDC"/>
    <w:rsid w:val="00BC1533"/>
    <w:rsid w:val="00C47695"/>
    <w:rsid w:val="00C548D9"/>
    <w:rsid w:val="00E26633"/>
    <w:rsid w:val="00E619C3"/>
    <w:rsid w:val="00F00643"/>
    <w:rsid w:val="00F228F1"/>
    <w:rsid w:val="00FE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A1FC"/>
  <w15:chartTrackingRefBased/>
  <w15:docId w15:val="{4B3D61E8-C65A-44F1-BAF9-26743EB3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itaviBibliographyEntry">
    <w:name w:val="Citavi Bibliography Entry"/>
    <w:basedOn w:val="Normal"/>
    <w:link w:val="CitaviBibliographyEntryZchn"/>
    <w:rsid w:val="00BC1533"/>
    <w:pPr>
      <w:tabs>
        <w:tab w:val="left" w:pos="340"/>
      </w:tabs>
      <w:spacing w:after="0"/>
      <w:ind w:left="340" w:hanging="340"/>
    </w:pPr>
    <w:rPr>
      <w:rFonts w:eastAsia="Times New Roman" w:cs="Times New Roman"/>
    </w:rPr>
  </w:style>
  <w:style w:type="character" w:customStyle="1" w:styleId="CitaviBibliographyEntryZchn">
    <w:name w:val="Citavi Bibliography Entry Zchn"/>
    <w:basedOn w:val="Policepardfaut"/>
    <w:link w:val="CitaviBibliographyEntry"/>
    <w:locked/>
    <w:rsid w:val="00BC1533"/>
    <w:rPr>
      <w:rFonts w:eastAsia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BC1533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BC1533"/>
    <w:rPr>
      <w:rFonts w:eastAsia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BC1533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BC1533"/>
    <w:rPr>
      <w:rFonts w:eastAsia="Times New Roman" w:cs="Times New Roman"/>
    </w:rPr>
  </w:style>
  <w:style w:type="table" w:styleId="Grilledutableau">
    <w:name w:val="Table Grid"/>
    <w:basedOn w:val="TableauNormal"/>
    <w:uiPriority w:val="39"/>
    <w:rsid w:val="00BC153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940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anchezcidtorres@gmail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336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Ecole Centrale de LYON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Concepcion</dc:creator>
  <cp:keywords/>
  <dc:description/>
  <cp:lastModifiedBy>Concepcion</cp:lastModifiedBy>
  <cp:revision>8</cp:revision>
  <dcterms:created xsi:type="dcterms:W3CDTF">2025-07-03T22:23:00Z</dcterms:created>
  <dcterms:modified xsi:type="dcterms:W3CDTF">2025-09-02T13:37:00Z</dcterms:modified>
</cp:coreProperties>
</file>