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BodyText"/>
        <w:spacing w:lineRule="auto" w:line="240" w:before="62" w:after="62"/>
        <w:ind w:left="0" w:right="0" w:hanging="0"/>
        <w:rPr>
          <w:sz w:val="20"/>
          <w:szCs w:val="20"/>
          <w:lang w:val="en-GB"/>
        </w:rPr>
      </w:pPr>
      <w:r>
        <w:rPr>
          <w:sz w:val="20"/>
          <w:szCs w:val="20"/>
          <w:lang w:val="en-GB"/>
        </w:rPr>
      </w:r>
    </w:p>
    <w:p>
      <w:pPr>
        <w:pStyle w:val="Style13"/>
        <w:spacing w:lineRule="auto" w:line="240" w:before="62" w:after="62"/>
        <w:ind w:left="0" w:right="0" w:hanging="0"/>
        <w:rPr/>
      </w:pPr>
      <w:r>
        <w:rPr>
          <w:sz w:val="20"/>
          <w:szCs w:val="20"/>
          <w:lang w:val="en-US"/>
        </w:rPr>
        <w:t xml:space="preserve">Assessment of the Impact of Thermal and Chemical Loading on the </w:t>
      </w:r>
      <w:r>
        <w:rPr>
          <w:color w:val="000000"/>
          <w:sz w:val="20"/>
          <w:szCs w:val="20"/>
          <w:lang w:val="en-GB"/>
        </w:rPr>
        <w:t>Koporye</w:t>
      </w:r>
      <w:r>
        <w:rPr>
          <w:sz w:val="20"/>
          <w:szCs w:val="20"/>
          <w:lang w:val="en-US"/>
        </w:rPr>
        <w:t xml:space="preserve"> Bay of the Gulf of Finland with the Full Commissioning of </w:t>
      </w:r>
      <w:r>
        <w:rPr>
          <w:sz w:val="20"/>
          <w:szCs w:val="20"/>
          <w:lang w:val="en-GB"/>
        </w:rPr>
        <w:t>the Leningrad Nuclear Power Plant-2</w:t>
      </w:r>
    </w:p>
    <w:p>
      <w:pPr>
        <w:pStyle w:val="Style13"/>
        <w:spacing w:lineRule="auto" w:line="240" w:before="62" w:after="62"/>
        <w:ind w:left="0" w:right="0" w:hanging="0"/>
        <w:rPr>
          <w:sz w:val="20"/>
          <w:szCs w:val="20"/>
          <w:lang w:val="en-GB"/>
        </w:rPr>
      </w:pPr>
      <w:r>
        <w:rPr>
          <w:sz w:val="20"/>
          <w:szCs w:val="20"/>
          <w:lang w:val="en-GB"/>
        </w:rPr>
      </w:r>
    </w:p>
    <w:p>
      <w:pPr>
        <w:pStyle w:val="Style13"/>
        <w:spacing w:lineRule="auto" w:line="240" w:before="62" w:after="62"/>
        <w:ind w:left="0" w:right="0" w:hanging="0"/>
        <w:rPr>
          <w:sz w:val="20"/>
          <w:szCs w:val="20"/>
          <w:lang w:val="en-GB"/>
        </w:rPr>
      </w:pPr>
      <w:r>
        <w:rPr>
          <w:sz w:val="20"/>
          <w:szCs w:val="20"/>
          <w:lang w:val="en-GB"/>
        </w:rPr>
        <w:t>Environmental Modeling &amp; Assessment</w:t>
      </w:r>
    </w:p>
    <w:p>
      <w:pPr>
        <w:pStyle w:val="Style13"/>
        <w:spacing w:lineRule="auto" w:line="240" w:before="62" w:after="62"/>
        <w:ind w:left="0" w:right="0" w:hanging="0"/>
        <w:rPr>
          <w:sz w:val="20"/>
          <w:szCs w:val="20"/>
          <w:lang w:val="en-GB"/>
        </w:rPr>
      </w:pPr>
      <w:r>
        <w:rPr>
          <w:sz w:val="20"/>
          <w:szCs w:val="20"/>
          <w:lang w:val="en-GB"/>
        </w:rPr>
      </w:r>
    </w:p>
    <w:p>
      <w:pPr>
        <w:pStyle w:val="Normal"/>
        <w:spacing w:lineRule="auto" w:line="240" w:before="62" w:after="62"/>
        <w:ind w:left="0" w:right="0" w:hanging="0"/>
        <w:jc w:val="both"/>
        <w:rPr/>
      </w:pPr>
      <w:r>
        <w:rPr>
          <w:rFonts w:cs="Times New Roman"/>
          <w:bCs/>
          <w:sz w:val="20"/>
          <w:szCs w:val="20"/>
          <w:lang w:val="en-US"/>
        </w:rPr>
        <w:t>Anton</w:t>
      </w:r>
      <w:r>
        <w:rPr>
          <w:rFonts w:cs="Times New Roman"/>
          <w:bCs/>
          <w:sz w:val="20"/>
          <w:szCs w:val="20"/>
          <w:lang w:val="en-GB"/>
        </w:rPr>
        <w:t xml:space="preserve"> Yu. Dvornikov </w:t>
      </w:r>
      <w:r>
        <w:rPr>
          <w:rFonts w:cs="Times New Roman"/>
          <w:bCs/>
          <w:sz w:val="20"/>
          <w:szCs w:val="20"/>
          <w:vertAlign w:val="superscript"/>
          <w:lang w:val="en-GB"/>
        </w:rPr>
        <w:t>1</w:t>
      </w:r>
      <w:r>
        <w:rPr>
          <w:rFonts w:cs="Times New Roman"/>
          <w:bCs/>
          <w:sz w:val="20"/>
          <w:szCs w:val="20"/>
          <w:lang w:val="en-GB"/>
        </w:rPr>
        <w:t xml:space="preserve">, </w:t>
      </w:r>
      <w:r>
        <w:rPr>
          <w:rFonts w:cs="Times New Roman"/>
          <w:sz w:val="20"/>
          <w:szCs w:val="20"/>
          <w:lang w:val="en-US"/>
        </w:rPr>
        <w:t>Vladimir</w:t>
      </w:r>
      <w:r>
        <w:rPr>
          <w:rFonts w:cs="Times New Roman"/>
          <w:sz w:val="20"/>
          <w:szCs w:val="20"/>
          <w:lang w:val="en-GB"/>
        </w:rPr>
        <w:t xml:space="preserve"> </w:t>
      </w:r>
      <w:r>
        <w:rPr>
          <w:rFonts w:cs="Times New Roman"/>
          <w:sz w:val="20"/>
          <w:szCs w:val="20"/>
          <w:lang w:val="en-US"/>
        </w:rPr>
        <w:t>A</w:t>
      </w:r>
      <w:r>
        <w:rPr>
          <w:rFonts w:cs="Times New Roman"/>
          <w:sz w:val="20"/>
          <w:szCs w:val="20"/>
          <w:lang w:val="en-GB"/>
        </w:rPr>
        <w:t xml:space="preserve">. </w:t>
      </w:r>
      <w:r>
        <w:rPr>
          <w:rFonts w:cs="Times New Roman"/>
          <w:sz w:val="20"/>
          <w:szCs w:val="20"/>
          <w:lang w:val="en-US"/>
        </w:rPr>
        <w:t>Ryabchenko</w:t>
      </w:r>
      <w:r>
        <w:rPr>
          <w:rFonts w:cs="Times New Roman"/>
          <w:bCs/>
          <w:sz w:val="20"/>
          <w:szCs w:val="20"/>
          <w:lang w:val="en-GB"/>
        </w:rPr>
        <w:t xml:space="preserve"> </w:t>
      </w:r>
      <w:r>
        <w:rPr>
          <w:rFonts w:cs="Times New Roman"/>
          <w:bCs/>
          <w:sz w:val="20"/>
          <w:szCs w:val="20"/>
          <w:vertAlign w:val="superscript"/>
          <w:lang w:val="en-GB"/>
        </w:rPr>
        <w:t>1</w:t>
      </w:r>
      <w:r>
        <w:rPr>
          <w:rFonts w:cs="Times New Roman"/>
          <w:bCs/>
          <w:sz w:val="20"/>
          <w:szCs w:val="20"/>
          <w:lang w:val="en-GB"/>
        </w:rPr>
        <w:t>, Alexey</w:t>
      </w:r>
      <w:r>
        <w:rPr>
          <w:rFonts w:cs="Times New Roman"/>
          <w:color w:val="000000"/>
          <w:sz w:val="20"/>
          <w:szCs w:val="20"/>
          <w:lang w:val="en-GB"/>
        </w:rPr>
        <w:t xml:space="preserve"> V. Isaev</w:t>
      </w:r>
      <w:r>
        <w:rPr>
          <w:rFonts w:cs="Times New Roman"/>
          <w:color w:val="000000"/>
          <w:sz w:val="20"/>
          <w:szCs w:val="20"/>
          <w:vertAlign w:val="superscript"/>
          <w:lang w:val="en-GB"/>
        </w:rPr>
        <w:t>1</w:t>
      </w:r>
      <w:r>
        <w:rPr>
          <w:rFonts w:cs="Times New Roman"/>
          <w:bCs/>
          <w:sz w:val="20"/>
          <w:szCs w:val="20"/>
          <w:lang w:val="en-GB"/>
        </w:rPr>
        <w:t xml:space="preserve">, Svetlana N. Loza </w:t>
      </w:r>
      <w:r>
        <w:rPr>
          <w:rFonts w:cs="Times New Roman"/>
          <w:bCs/>
          <w:sz w:val="20"/>
          <w:szCs w:val="20"/>
          <w:vertAlign w:val="superscript"/>
          <w:lang w:val="en-GB"/>
        </w:rPr>
        <w:t>1,2</w:t>
      </w:r>
    </w:p>
    <w:p>
      <w:pPr>
        <w:pStyle w:val="Normal"/>
        <w:spacing w:lineRule="auto" w:line="240" w:before="62" w:after="62"/>
        <w:ind w:left="0" w:right="0" w:hanging="0"/>
        <w:jc w:val="both"/>
        <w:rPr/>
      </w:pPr>
      <w:r>
        <w:rPr>
          <w:rFonts w:cs="Times New Roman"/>
          <w:bCs/>
          <w:sz w:val="20"/>
          <w:szCs w:val="20"/>
          <w:vertAlign w:val="superscript"/>
          <w:lang w:val="en-US"/>
        </w:rPr>
        <w:t xml:space="preserve">1 </w:t>
      </w:r>
      <w:r>
        <w:rPr>
          <w:rFonts w:cs="Times New Roman"/>
          <w:sz w:val="20"/>
          <w:szCs w:val="20"/>
          <w:lang w:val="en-US"/>
        </w:rPr>
        <w:t>Shirshov Institute of Oceanology, Russian Academy of Sciences, 117997, 36 Nakhimovsky Prosp., Moscow, Russia</w:t>
      </w:r>
    </w:p>
    <w:p>
      <w:pPr>
        <w:pStyle w:val="Normal"/>
        <w:spacing w:lineRule="auto" w:line="240" w:before="62" w:after="62"/>
        <w:ind w:left="0" w:right="0" w:hanging="0"/>
        <w:jc w:val="both"/>
        <w:rPr/>
      </w:pPr>
      <w:r>
        <w:rPr>
          <w:rFonts w:cs="Times New Roman"/>
          <w:bCs/>
          <w:sz w:val="20"/>
          <w:szCs w:val="20"/>
          <w:vertAlign w:val="superscript"/>
          <w:lang w:val="en-US"/>
        </w:rPr>
        <w:t xml:space="preserve">2 </w:t>
      </w:r>
      <w:r>
        <w:rPr>
          <w:rFonts w:cs="Times New Roman"/>
          <w:sz w:val="20"/>
          <w:szCs w:val="20"/>
          <w:lang w:val="en-US"/>
        </w:rPr>
        <w:t>Alfred Wegener Institute, Helmholtz Centre for Polar and Marine Research, 27570, Am Handelshafen 12, Bremerhaven, Germany</w:t>
      </w:r>
    </w:p>
    <w:p>
      <w:pPr>
        <w:pStyle w:val="Normal"/>
        <w:spacing w:lineRule="auto" w:line="240" w:before="62" w:after="62"/>
        <w:ind w:left="0" w:right="0" w:hanging="0"/>
        <w:jc w:val="both"/>
        <w:rPr>
          <w:rFonts w:cs="Times New Roman"/>
          <w:sz w:val="20"/>
          <w:szCs w:val="20"/>
          <w:lang w:val="en-US"/>
        </w:rPr>
      </w:pPr>
      <w:r>
        <w:rPr>
          <w:rFonts w:cs="Times New Roman"/>
          <w:sz w:val="20"/>
          <w:szCs w:val="20"/>
          <w:lang w:val="en-US"/>
        </w:rPr>
      </w:r>
    </w:p>
    <w:p>
      <w:pPr>
        <w:pStyle w:val="Normal"/>
        <w:spacing w:lineRule="auto" w:line="240" w:before="62" w:after="62"/>
        <w:ind w:left="0" w:right="0" w:hanging="0"/>
        <w:jc w:val="both"/>
        <w:rPr/>
      </w:pPr>
      <w:r>
        <w:rPr>
          <w:rFonts w:cs="Times New Roman"/>
          <w:sz w:val="20"/>
          <w:szCs w:val="20"/>
          <w:lang w:val="en-US"/>
        </w:rPr>
        <w:t>Corresponding author: Svetlana N. Loza</w:t>
      </w:r>
      <w:r>
        <w:rPr>
          <w:rFonts w:cs="Times New Roman"/>
          <w:bCs/>
          <w:sz w:val="20"/>
          <w:szCs w:val="20"/>
          <w:lang w:val="en-GB"/>
        </w:rPr>
        <w:t xml:space="preserve">, e-mail </w:t>
      </w:r>
      <w:r>
        <w:rPr>
          <w:rFonts w:cs="Times New Roman"/>
          <w:bCs/>
          <w:sz w:val="20"/>
          <w:szCs w:val="20"/>
          <w:lang w:val="en-US"/>
        </w:rPr>
        <w:t xml:space="preserve">Svetlana.Losa@awi.dе </w:t>
      </w:r>
    </w:p>
    <w:p>
      <w:pPr>
        <w:pStyle w:val="Normal"/>
        <w:spacing w:lineRule="auto" w:line="240" w:before="62" w:after="62"/>
        <w:ind w:left="0" w:right="0" w:hanging="0"/>
        <w:jc w:val="both"/>
        <w:rPr>
          <w:sz w:val="20"/>
          <w:szCs w:val="20"/>
        </w:rPr>
      </w:pPr>
      <w:r>
        <w:rPr>
          <w:sz w:val="20"/>
          <w:szCs w:val="20"/>
        </w:rPr>
      </w:r>
    </w:p>
    <w:p>
      <w:pPr>
        <w:pStyle w:val="ABodyText"/>
        <w:spacing w:lineRule="auto" w:line="240" w:before="62" w:after="62"/>
        <w:ind w:left="0" w:right="0" w:hanging="0"/>
        <w:rPr/>
      </w:pPr>
      <w:r>
        <w:rPr>
          <w:b/>
          <w:bCs/>
          <w:sz w:val="20"/>
          <w:szCs w:val="20"/>
          <w:lang w:val="en-GB"/>
        </w:rPr>
        <w:t>Table 1</w:t>
      </w:r>
      <w:r>
        <w:rPr>
          <w:sz w:val="20"/>
          <w:szCs w:val="20"/>
          <w:lang w:val="en-GB"/>
        </w:rPr>
        <w:t xml:space="preserve"> Decrease in Temperature (</w:t>
      </w:r>
      <w:r>
        <w:rPr>
          <w:i/>
          <w:sz w:val="20"/>
          <w:szCs w:val="20"/>
          <w:lang w:val="en-GB"/>
        </w:rPr>
        <w:t>T</w:t>
      </w:r>
      <w:r>
        <w:rPr>
          <w:sz w:val="20"/>
          <w:szCs w:val="20"/>
          <w:lang w:val="en-GB"/>
        </w:rPr>
        <w:t>) and Change in Salinity (</w:t>
      </w:r>
      <w:r>
        <w:rPr>
          <w:i/>
          <w:sz w:val="20"/>
          <w:szCs w:val="20"/>
          <w:lang w:val="en-GB"/>
        </w:rPr>
        <w:t>S</w:t>
      </w:r>
      <w:r>
        <w:rPr>
          <w:sz w:val="20"/>
          <w:szCs w:val="20"/>
          <w:lang w:val="en-GB"/>
        </w:rPr>
        <w:t>) of Water in the Discharge Channel of LNPP-1 Phase Two in the Scenario "LNPP-1 and LNPP-2"</w:t>
      </w:r>
    </w:p>
    <w:tbl>
      <w:tblPr>
        <w:tblW w:w="9173" w:type="dxa"/>
        <w:jc w:val="left"/>
        <w:tblInd w:w="72" w:type="dxa"/>
        <w:tblCellMar>
          <w:top w:w="0" w:type="dxa"/>
          <w:left w:w="29" w:type="dxa"/>
          <w:bottom w:w="0" w:type="dxa"/>
          <w:right w:w="29" w:type="dxa"/>
        </w:tblCellMar>
      </w:tblPr>
      <w:tblGrid>
        <w:gridCol w:w="1375"/>
        <w:gridCol w:w="645"/>
        <w:gridCol w:w="642"/>
        <w:gridCol w:w="643"/>
        <w:gridCol w:w="643"/>
        <w:gridCol w:w="644"/>
        <w:gridCol w:w="641"/>
        <w:gridCol w:w="642"/>
        <w:gridCol w:w="641"/>
        <w:gridCol w:w="662"/>
        <w:gridCol w:w="663"/>
        <w:gridCol w:w="644"/>
        <w:gridCol w:w="687"/>
      </w:tblGrid>
      <w:tr>
        <w:trPr/>
        <w:tc>
          <w:tcPr>
            <w:tcW w:w="1375"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left"/>
              <w:rPr>
                <w:rFonts w:ascii="Arial" w:hAnsi="Arial"/>
                <w:sz w:val="16"/>
                <w:szCs w:val="16"/>
              </w:rPr>
            </w:pPr>
            <w:r>
              <w:rPr>
                <w:rFonts w:ascii="Arial" w:hAnsi="Arial"/>
                <w:sz w:val="16"/>
                <w:szCs w:val="16"/>
              </w:rPr>
              <w:t>Month</w:t>
            </w:r>
          </w:p>
        </w:tc>
        <w:tc>
          <w:tcPr>
            <w:tcW w:w="645"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w:t>
            </w:r>
          </w:p>
        </w:tc>
        <w:tc>
          <w:tcPr>
            <w:tcW w:w="642"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w:t>
            </w:r>
          </w:p>
        </w:tc>
        <w:tc>
          <w:tcPr>
            <w:tcW w:w="643"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w:t>
            </w:r>
          </w:p>
        </w:tc>
        <w:tc>
          <w:tcPr>
            <w:tcW w:w="643"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w:t>
            </w:r>
          </w:p>
        </w:tc>
        <w:tc>
          <w:tcPr>
            <w:tcW w:w="644"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5</w:t>
            </w:r>
          </w:p>
        </w:tc>
        <w:tc>
          <w:tcPr>
            <w:tcW w:w="641"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6</w:t>
            </w:r>
          </w:p>
        </w:tc>
        <w:tc>
          <w:tcPr>
            <w:tcW w:w="642"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w:t>
            </w:r>
          </w:p>
        </w:tc>
        <w:tc>
          <w:tcPr>
            <w:tcW w:w="641"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8</w:t>
            </w:r>
          </w:p>
        </w:tc>
        <w:tc>
          <w:tcPr>
            <w:tcW w:w="662"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w:t>
            </w:r>
          </w:p>
        </w:tc>
        <w:tc>
          <w:tcPr>
            <w:tcW w:w="663"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w:t>
            </w:r>
          </w:p>
        </w:tc>
        <w:tc>
          <w:tcPr>
            <w:tcW w:w="644"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11</w:t>
            </w:r>
          </w:p>
        </w:tc>
        <w:tc>
          <w:tcPr>
            <w:tcW w:w="687"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US"/>
              </w:rPr>
              <w:t>a</w:t>
            </w:r>
            <w:r>
              <w:rPr>
                <w:rFonts w:cs="Times New Roman" w:ascii="Arial" w:hAnsi="Arial"/>
                <w:sz w:val="16"/>
                <w:szCs w:val="16"/>
                <w:lang w:val="en-GB"/>
              </w:rPr>
              <w:t>,°С</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-3.3</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0.1</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7.9</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12.5</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15.7</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16.7</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12.2</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5.9</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0.4</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V</w:t>
            </w:r>
            <w:r>
              <w:rPr>
                <w:rFonts w:cs="Times New Roman" w:ascii="Arial" w:hAnsi="Arial"/>
                <w:sz w:val="16"/>
                <w:szCs w:val="16"/>
                <w:vertAlign w:val="subscript"/>
                <w:lang w:val="en-GB"/>
              </w:rPr>
              <w:t>1</w:t>
            </w:r>
            <w:r>
              <w:rPr>
                <w:rFonts w:cs="Times New Roman" w:ascii="Arial" w:hAnsi="Arial"/>
                <w:sz w:val="16"/>
                <w:szCs w:val="16"/>
                <w:lang w:val="en-GB"/>
              </w:rPr>
              <w:t>, м</w:t>
            </w:r>
            <w:r>
              <w:rPr>
                <w:rFonts w:cs="Times New Roman" w:ascii="Arial" w:hAnsi="Arial"/>
                <w:sz w:val="16"/>
                <w:szCs w:val="16"/>
                <w:vertAlign w:val="superscript"/>
                <w:lang w:val="en-GB"/>
              </w:rPr>
              <w:t>3</w:t>
            </w:r>
            <w:r>
              <w:rPr>
                <w:rFonts w:cs="Times New Roman" w:ascii="Arial" w:hAnsi="Arial"/>
                <w:sz w:val="16"/>
                <w:szCs w:val="16"/>
                <w:lang w:val="en-GB"/>
              </w:rPr>
              <w:t>/с (LNPP-1)</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103.64</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103.02</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102.23</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100.59</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54.78</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47.8</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46.98</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72.38</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109.53</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101.83</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102.79</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100.73</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in1</w:t>
            </w:r>
            <w:r>
              <w:rPr>
                <w:rFonts w:cs="Times New Roman" w:ascii="Arial" w:hAnsi="Arial"/>
                <w:sz w:val="16"/>
                <w:szCs w:val="16"/>
                <w:lang w:val="en-GB"/>
              </w:rPr>
              <w:t>, °С (LNPP-1)</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10.6</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14.6</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22.8</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15.4</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17.2</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22.6</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26.6</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28.2</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19.4</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24.3</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7.2</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S</w:t>
            </w:r>
            <w:r>
              <w:rPr>
                <w:rFonts w:cs="Times New Roman" w:ascii="Arial" w:hAnsi="Arial"/>
                <w:sz w:val="16"/>
                <w:szCs w:val="16"/>
                <w:vertAlign w:val="subscript"/>
                <w:lang w:val="en-GB"/>
              </w:rPr>
              <w:t>in1</w:t>
            </w:r>
            <w:r>
              <w:rPr>
                <w:rFonts w:cs="Times New Roman" w:ascii="Arial" w:hAnsi="Arial"/>
                <w:sz w:val="16"/>
                <w:szCs w:val="16"/>
                <w:lang w:val="en-GB"/>
              </w:rPr>
              <w:t>, ‰ (LNPP-1)</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3.236</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2.728</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3.528</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3.675</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3.652</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3.652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3.036</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2.884</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3.884</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4.308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2.924</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3.684</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V</w:t>
            </w:r>
            <w:r>
              <w:rPr>
                <w:rFonts w:cs="Times New Roman" w:ascii="Arial" w:hAnsi="Arial"/>
                <w:sz w:val="16"/>
                <w:szCs w:val="16"/>
                <w:vertAlign w:val="subscript"/>
                <w:lang w:val="en-GB"/>
              </w:rPr>
              <w:t>2,</w:t>
            </w:r>
            <w:r>
              <w:rPr>
                <w:rFonts w:cs="Times New Roman" w:ascii="Arial" w:hAnsi="Arial"/>
                <w:sz w:val="16"/>
                <w:szCs w:val="16"/>
                <w:lang w:val="en-GB"/>
              </w:rPr>
              <w:t xml:space="preserve"> м</w:t>
            </w:r>
            <w:r>
              <w:rPr>
                <w:rFonts w:cs="Times New Roman" w:ascii="Arial" w:hAnsi="Arial"/>
                <w:sz w:val="16"/>
                <w:szCs w:val="16"/>
                <w:vertAlign w:val="superscript"/>
                <w:lang w:val="en-GB"/>
              </w:rPr>
              <w:t>3</w:t>
            </w:r>
            <w:r>
              <w:rPr>
                <w:rFonts w:cs="Times New Roman" w:ascii="Arial" w:hAnsi="Arial"/>
                <w:sz w:val="16"/>
                <w:szCs w:val="16"/>
                <w:lang w:val="en-GB"/>
              </w:rPr>
              <w:t>/с (LNPP-2)</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0.95</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1.23</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1.34</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1.38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1.48</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2.07</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1.79</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1.54</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1.76</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1.59</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1.07</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in2</w:t>
            </w:r>
            <w:r>
              <w:rPr>
                <w:rFonts w:cs="Times New Roman" w:ascii="Arial" w:hAnsi="Arial"/>
                <w:sz w:val="16"/>
                <w:szCs w:val="16"/>
                <w:lang w:val="en-GB"/>
              </w:rPr>
              <w:t>, °С (LNPP-2)</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21.2</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25.8</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25.3</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22.8</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19.9</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16.9</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S</w:t>
            </w:r>
            <w:r>
              <w:rPr>
                <w:rFonts w:cs="Times New Roman" w:ascii="Arial" w:hAnsi="Arial"/>
                <w:sz w:val="16"/>
                <w:szCs w:val="16"/>
                <w:vertAlign w:val="subscript"/>
                <w:lang w:val="en-GB"/>
              </w:rPr>
              <w:t>in2</w:t>
            </w:r>
            <w:r>
              <w:rPr>
                <w:rFonts w:cs="Times New Roman" w:ascii="Arial" w:hAnsi="Arial"/>
                <w:sz w:val="16"/>
                <w:szCs w:val="16"/>
                <w:lang w:val="en-GB"/>
              </w:rPr>
              <w:t>, ‰  (LNPP-2)</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color w:val="000000"/>
                <w:sz w:val="16"/>
                <w:szCs w:val="16"/>
                <w:lang w:val="en-GB"/>
              </w:rPr>
              <w:t>Q</w:t>
            </w:r>
            <w:r>
              <w:rPr>
                <w:rFonts w:cs="Times New Roman" w:ascii="Arial" w:hAnsi="Arial"/>
                <w:color w:val="000000"/>
                <w:sz w:val="16"/>
                <w:szCs w:val="16"/>
                <w:vertAlign w:val="subscript"/>
                <w:lang w:val="en-GB"/>
              </w:rPr>
              <w:t>a</w:t>
            </w:r>
            <w:r>
              <w:rPr>
                <w:rFonts w:cs="Times New Roman" w:ascii="Arial" w:hAnsi="Arial"/>
                <w:color w:val="000000"/>
                <w:sz w:val="16"/>
                <w:szCs w:val="16"/>
                <w:lang w:val="en-GB"/>
              </w:rPr>
              <w:t>, W/m</w:t>
            </w:r>
            <w:r>
              <w:rPr>
                <w:rFonts w:cs="Times New Roman" w:ascii="Arial" w:hAnsi="Arial"/>
                <w:color w:val="000000"/>
                <w:sz w:val="16"/>
                <w:szCs w:val="16"/>
                <w:vertAlign w:val="superscript"/>
                <w:lang w:val="en-GB"/>
              </w:rPr>
              <w:t>2</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-248</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-219</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-456</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-112</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-117</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-96</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-311</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-80</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-138</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-795</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-166</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in</w:t>
            </w:r>
            <w:r>
              <w:rPr>
                <w:rFonts w:cs="Times New Roman" w:ascii="Arial" w:hAnsi="Arial"/>
                <w:sz w:val="16"/>
                <w:szCs w:val="16"/>
                <w:lang w:val="en-GB"/>
              </w:rPr>
              <w:t>, °С</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10.61</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14.57</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22.66</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15.44</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17.3</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22.65</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26.57</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28.13</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19.45</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18.82</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24.19</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7.25</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out</w:t>
            </w:r>
            <w:r>
              <w:rPr>
                <w:rFonts w:cs="Times New Roman" w:ascii="Arial" w:hAnsi="Arial"/>
                <w:sz w:val="16"/>
                <w:szCs w:val="16"/>
                <w:lang w:val="en-GB"/>
              </w:rPr>
              <w:t>, °С</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10.59</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14.54</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22.62</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15.42</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17.3</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22.62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26.55</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28.09</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19.44</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18.81</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24.11</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7.23</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b/>
                <w:b/>
                <w:bCs/>
                <w:sz w:val="16"/>
                <w:szCs w:val="16"/>
              </w:rPr>
            </w:pPr>
            <w:r>
              <w:rPr>
                <w:rFonts w:ascii="Arial" w:hAnsi="Arial"/>
                <w:b/>
                <w:bCs/>
                <w:spacing w:val="4"/>
                <w:kern w:val="0"/>
                <w:sz w:val="16"/>
                <w:szCs w:val="16"/>
                <w:lang w:val="en-GB"/>
              </w:rPr>
              <w:t>dT</w:t>
            </w:r>
            <w:r>
              <w:rPr>
                <w:rFonts w:ascii="Arial" w:hAnsi="Arial"/>
                <w:b/>
                <w:bCs/>
                <w:spacing w:val="4"/>
                <w:kern w:val="0"/>
                <w:sz w:val="16"/>
                <w:szCs w:val="16"/>
                <w:vertAlign w:val="subscript"/>
                <w:lang w:val="en-GB"/>
              </w:rPr>
              <w:t>к</w:t>
            </w:r>
            <w:r>
              <w:rPr>
                <w:rFonts w:cs="Times New Roman" w:ascii="Arial" w:hAnsi="Arial"/>
                <w:b/>
                <w:bCs/>
                <w:spacing w:val="4"/>
                <w:kern w:val="0"/>
                <w:sz w:val="16"/>
                <w:szCs w:val="16"/>
                <w:lang w:val="en-GB"/>
              </w:rPr>
              <w:t xml:space="preserve"> = </w:t>
            </w:r>
            <w:r>
              <w:rPr>
                <w:rFonts w:cs="Times New Roman" w:ascii="Arial" w:hAnsi="Arial"/>
                <w:b/>
                <w:bCs/>
                <w:color w:val="000000"/>
                <w:spacing w:val="5"/>
                <w:w w:val="84"/>
                <w:kern w:val="0"/>
                <w:sz w:val="16"/>
                <w:szCs w:val="16"/>
                <w:lang w:val="en-GB"/>
              </w:rPr>
              <w:t>T</w:t>
            </w:r>
            <w:r>
              <w:rPr>
                <w:rFonts w:cs="Times New Roman" w:ascii="Arial" w:hAnsi="Arial"/>
                <w:b/>
                <w:bCs/>
                <w:color w:val="000000"/>
                <w:spacing w:val="5"/>
                <w:w w:val="84"/>
                <w:kern w:val="0"/>
                <w:sz w:val="16"/>
                <w:szCs w:val="16"/>
                <w:vertAlign w:val="subscript"/>
                <w:lang w:val="en-GB"/>
              </w:rPr>
              <w:t>out</w:t>
            </w:r>
            <w:r>
              <w:rPr>
                <w:rFonts w:cs="Times New Roman" w:ascii="Arial" w:hAnsi="Arial"/>
                <w:b/>
                <w:bCs/>
                <w:color w:val="000000"/>
                <w:spacing w:val="5"/>
                <w:w w:val="84"/>
                <w:kern w:val="0"/>
                <w:sz w:val="16"/>
                <w:szCs w:val="16"/>
                <w:lang w:val="en-GB"/>
              </w:rPr>
              <w:t>−T</w:t>
            </w:r>
            <w:r>
              <w:rPr>
                <w:rFonts w:cs="Times New Roman" w:ascii="Arial" w:hAnsi="Arial"/>
                <w:b/>
                <w:bCs/>
                <w:color w:val="000000"/>
                <w:spacing w:val="5"/>
                <w:w w:val="84"/>
                <w:kern w:val="0"/>
                <w:sz w:val="16"/>
                <w:szCs w:val="16"/>
                <w:vertAlign w:val="subscript"/>
                <w:lang w:val="en-GB"/>
              </w:rPr>
              <w:t>in</w:t>
            </w:r>
            <w:r>
              <w:rPr>
                <w:rFonts w:cs="Times New Roman" w:ascii="Arial" w:hAnsi="Arial"/>
                <w:b/>
                <w:bCs/>
                <w:color w:val="000000"/>
                <w:spacing w:val="5"/>
                <w:w w:val="84"/>
                <w:kern w:val="0"/>
                <w:position w:val="0"/>
                <w:sz w:val="16"/>
                <w:sz w:val="16"/>
                <w:szCs w:val="16"/>
                <w:vertAlign w:val="baseline"/>
                <w:lang w:val="en-GB"/>
              </w:rPr>
              <w:t xml:space="preserve">, </w:t>
            </w:r>
            <w:r>
              <w:rPr>
                <w:rFonts w:ascii="Arial" w:hAnsi="Arial"/>
                <w:b/>
                <w:bCs/>
                <w:sz w:val="16"/>
                <w:szCs w:val="16"/>
              </w:rPr>
              <w:t>°С</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-0.03</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-0.04</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-0.02</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-0.03</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-0.02</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-0.04</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-0.01</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-0.01</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-0.08</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-0.02</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pacing w:val="66"/>
                <w:sz w:val="16"/>
                <w:szCs w:val="16"/>
                <w:lang w:val="en-GB"/>
              </w:rPr>
              <w:t>P−E</w:t>
            </w:r>
            <w:r>
              <w:rPr>
                <w:rFonts w:cs="Times New Roman" w:ascii="Arial" w:hAnsi="Arial"/>
                <w:sz w:val="16"/>
                <w:szCs w:val="16"/>
                <w:lang w:val="en-GB"/>
              </w:rPr>
              <w:t>, 10</w:t>
            </w:r>
            <w:r>
              <w:rPr>
                <w:rFonts w:cs="Times New Roman" w:ascii="Arial" w:hAnsi="Arial"/>
                <w:sz w:val="16"/>
                <w:szCs w:val="16"/>
                <w:vertAlign w:val="superscript"/>
                <w:lang w:val="en-GB"/>
              </w:rPr>
              <w:t>-8</w:t>
            </w:r>
            <w:r>
              <w:rPr>
                <w:rFonts w:cs="Times New Roman" w:ascii="Arial" w:hAnsi="Arial"/>
                <w:sz w:val="16"/>
                <w:szCs w:val="16"/>
                <w:lang w:val="en-GB"/>
              </w:rPr>
              <w:t>, m/s</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-2.6</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-7.9</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-5.5</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-2.6</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-4.1</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-14.8</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0.6</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S</w:t>
            </w:r>
            <w:r>
              <w:rPr>
                <w:rFonts w:cs="Times New Roman" w:ascii="Arial" w:hAnsi="Arial"/>
                <w:sz w:val="16"/>
                <w:szCs w:val="16"/>
                <w:vertAlign w:val="subscript"/>
                <w:lang w:val="en-GB"/>
              </w:rPr>
              <w:t>in</w:t>
            </w:r>
            <w:r>
              <w:rPr>
                <w:rFonts w:cs="Times New Roman" w:ascii="Arial" w:hAnsi="Arial"/>
                <w:sz w:val="16"/>
                <w:szCs w:val="16"/>
                <w:lang w:val="en-GB"/>
              </w:rPr>
              <w:t>, ‰</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3.28702</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2.80832</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3.5969</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3.7481</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3.78936</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3.82836</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3.28111</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3.02748</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3.95587</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4.38573</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3.01716</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3.73847</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S</w:t>
            </w:r>
            <w:r>
              <w:rPr>
                <w:rFonts w:cs="Times New Roman" w:ascii="Arial" w:hAnsi="Arial"/>
                <w:sz w:val="16"/>
                <w:szCs w:val="16"/>
                <w:vertAlign w:val="subscript"/>
                <w:lang w:val="en-GB"/>
              </w:rPr>
              <w:t>out</w:t>
            </w:r>
            <w:r>
              <w:rPr>
                <w:rFonts w:cs="Times New Roman" w:ascii="Arial" w:hAnsi="Arial"/>
                <w:sz w:val="16"/>
                <w:szCs w:val="16"/>
                <w:lang w:val="en-GB"/>
              </w:rPr>
              <w:t>, ‰</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3.28714</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2.80849</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3.59701</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3.74845</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3.7892</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3.82893</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3.2814</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3.02711</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3.95536</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4.38521</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3.01689</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3.73825</w:t>
            </w:r>
          </w:p>
        </w:tc>
      </w:tr>
      <w:tr>
        <w:trPr/>
        <w:tc>
          <w:tcPr>
            <w:tcW w:w="1375" w:type="dxa"/>
            <w:tcBorders>
              <w:left w:val="single" w:sz="2" w:space="0" w:color="000000"/>
              <w:bottom w:val="single" w:sz="2" w:space="0" w:color="000000"/>
            </w:tcBorders>
            <w:vAlign w:val="center"/>
          </w:tcPr>
          <w:p>
            <w:pPr>
              <w:pStyle w:val="Normal"/>
              <w:spacing w:lineRule="auto" w:line="240" w:before="62" w:after="62"/>
              <w:ind w:left="0" w:right="0" w:hanging="0"/>
              <w:rPr/>
            </w:pPr>
            <w:r>
              <w:rPr>
                <w:rFonts w:eastAsia="Times New Roman" w:cs="Times New Roman" w:ascii="Arial" w:hAnsi="Arial"/>
                <w:b/>
                <w:bCs/>
                <w:color w:val="000000"/>
                <w:kern w:val="2"/>
                <w:sz w:val="16"/>
                <w:szCs w:val="16"/>
                <w:lang w:val="en-GB" w:eastAsia="en-US" w:bidi="ar-SA"/>
              </w:rPr>
              <w:t>dS</w:t>
            </w:r>
            <w:r>
              <w:rPr>
                <w:rFonts w:cs="Times New Roman" w:ascii="Arial" w:hAnsi="Arial"/>
                <w:b/>
                <w:bCs/>
                <w:sz w:val="16"/>
                <w:szCs w:val="16"/>
                <w:vertAlign w:val="subscript"/>
                <w:lang w:val="en-GB"/>
              </w:rPr>
              <w:t>к</w:t>
            </w:r>
            <w:r>
              <w:rPr>
                <w:rFonts w:cs="Times New Roman" w:ascii="Arial" w:hAnsi="Arial"/>
                <w:b/>
                <w:bCs/>
                <w:sz w:val="16"/>
                <w:szCs w:val="16"/>
                <w:lang w:val="en-GB"/>
              </w:rPr>
              <w:t>= S</w:t>
            </w:r>
            <w:r>
              <w:rPr>
                <w:rFonts w:cs="Times New Roman" w:ascii="Arial" w:hAnsi="Arial"/>
                <w:b/>
                <w:bCs/>
                <w:sz w:val="16"/>
                <w:szCs w:val="16"/>
                <w:vertAlign w:val="subscript"/>
                <w:lang w:val="en-GB"/>
              </w:rPr>
              <w:t>out</w:t>
            </w:r>
            <w:r>
              <w:rPr>
                <w:rFonts w:cs="Times New Roman" w:ascii="Arial" w:hAnsi="Arial"/>
                <w:b/>
                <w:bCs/>
                <w:sz w:val="16"/>
                <w:szCs w:val="16"/>
                <w:lang w:val="en-GB"/>
              </w:rPr>
              <w:t>−S</w:t>
            </w:r>
            <w:r>
              <w:rPr>
                <w:rFonts w:cs="Times New Roman" w:ascii="Arial" w:hAnsi="Arial"/>
                <w:b/>
                <w:bCs/>
                <w:sz w:val="16"/>
                <w:szCs w:val="16"/>
                <w:vertAlign w:val="subscript"/>
                <w:lang w:val="en-GB"/>
              </w:rPr>
              <w:t>in</w:t>
            </w:r>
            <w:r>
              <w:rPr>
                <w:rFonts w:cs="Times New Roman" w:ascii="Arial" w:hAnsi="Arial"/>
                <w:b/>
                <w:bCs/>
                <w:sz w:val="16"/>
                <w:szCs w:val="16"/>
                <w:lang w:val="en-GB"/>
              </w:rPr>
              <w:t>,, ‰</w:t>
            </w:r>
          </w:p>
        </w:tc>
        <w:tc>
          <w:tcPr>
            <w:tcW w:w="645"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1.2E-4</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1.7E-4</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1.1E-4</w:t>
            </w:r>
          </w:p>
        </w:tc>
        <w:tc>
          <w:tcPr>
            <w:tcW w:w="64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3.5E-4</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-1.6E-4</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5.7E-4</w:t>
            </w:r>
          </w:p>
        </w:tc>
        <w:tc>
          <w:tcPr>
            <w:tcW w:w="64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2.9E-4</w:t>
            </w:r>
          </w:p>
        </w:tc>
        <w:tc>
          <w:tcPr>
            <w:tcW w:w="641"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-3.7E-4</w:t>
            </w:r>
          </w:p>
        </w:tc>
        <w:tc>
          <w:tcPr>
            <w:tcW w:w="662"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-5.1E-4</w:t>
            </w:r>
          </w:p>
        </w:tc>
        <w:tc>
          <w:tcPr>
            <w:tcW w:w="663"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-5.2E-4</w:t>
            </w:r>
          </w:p>
        </w:tc>
        <w:tc>
          <w:tcPr>
            <w:tcW w:w="644"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-2.7E-4</w:t>
            </w:r>
          </w:p>
        </w:tc>
        <w:tc>
          <w:tcPr>
            <w:tcW w:w="687"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b/>
                <w:b/>
                <w:bCs/>
              </w:rPr>
            </w:pPr>
            <w:r>
              <w:rPr>
                <w:rFonts w:ascii="Arial" w:hAnsi="Arial"/>
                <w:b/>
                <w:bCs/>
                <w:sz w:val="16"/>
                <w:szCs w:val="16"/>
              </w:rPr>
              <w:t>-2.2E-4</w:t>
            </w:r>
          </w:p>
        </w:tc>
      </w:tr>
      <w:tr>
        <w:trPr/>
        <w:tc>
          <w:tcPr>
            <w:tcW w:w="9172" w:type="dxa"/>
            <w:gridSpan w:val="13"/>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both"/>
              <w:rPr>
                <w:rFonts w:ascii="Arial" w:hAnsi="Arial"/>
                <w:sz w:val="16"/>
                <w:szCs w:val="16"/>
              </w:rPr>
            </w:pPr>
            <w:r>
              <w:rPr>
                <w:rFonts w:cs="Times New Roman" w:ascii="Arial" w:hAnsi="Arial"/>
                <w:i/>
                <w:iCs/>
                <w:sz w:val="16"/>
                <w:szCs w:val="16"/>
                <w:lang w:val="en-GB"/>
              </w:rPr>
              <w:t xml:space="preserve">Note. </w:t>
            </w:r>
            <w:r>
              <w:rPr>
                <w:rFonts w:cs="Times New Roman" w:ascii="Arial" w:hAnsi="Arial"/>
                <w:iCs/>
                <w:sz w:val="16"/>
                <w:szCs w:val="16"/>
                <w:lang w:val="en-GB"/>
              </w:rPr>
              <w:t>The calculation procedure is described in the text. Monthly average values of air temperature (T</w:t>
            </w:r>
            <w:r>
              <w:rPr>
                <w:rFonts w:cs="Times New Roman" w:ascii="Arial" w:hAnsi="Arial"/>
                <w:iCs/>
                <w:sz w:val="16"/>
                <w:szCs w:val="16"/>
                <w:vertAlign w:val="subscript"/>
                <w:lang w:val="en-GB"/>
              </w:rPr>
              <w:t>a</w:t>
            </w:r>
            <w:r>
              <w:rPr>
                <w:rFonts w:cs="Times New Roman" w:ascii="Arial" w:hAnsi="Arial"/>
                <w:iCs/>
                <w:sz w:val="16"/>
                <w:szCs w:val="16"/>
                <w:lang w:val="en-GB"/>
              </w:rPr>
              <w:t>), heat flux at the boundary with the atmosphere (Q</w:t>
            </w:r>
            <w:r>
              <w:rPr>
                <w:rFonts w:cs="Times New Roman" w:ascii="Arial" w:hAnsi="Arial"/>
                <w:iCs/>
                <w:sz w:val="16"/>
                <w:szCs w:val="16"/>
                <w:vertAlign w:val="subscript"/>
                <w:lang w:val="en-GB"/>
              </w:rPr>
              <w:t>a</w:t>
            </w:r>
            <w:r>
              <w:rPr>
                <w:rFonts w:cs="Times New Roman" w:ascii="Arial" w:hAnsi="Arial"/>
                <w:iCs/>
                <w:sz w:val="16"/>
                <w:szCs w:val="16"/>
                <w:lang w:val="en-GB"/>
              </w:rPr>
              <w:t xml:space="preserve">), and the difference between precipitation and evaporation (P-E) are taken from </w:t>
            </w:r>
            <w:r>
              <w:rPr>
                <w:rFonts w:ascii="Arial" w:hAnsi="Arial"/>
                <w:sz w:val="16"/>
                <w:szCs w:val="16"/>
                <w:lang w:val="en-US"/>
              </w:rPr>
              <w:t xml:space="preserve">Copernicus Climate Change Service [24] </w:t>
            </w:r>
            <w:r>
              <w:rPr>
                <w:rFonts w:cs="Times New Roman" w:ascii="Arial" w:hAnsi="Arial"/>
                <w:iCs/>
                <w:sz w:val="16"/>
                <w:szCs w:val="16"/>
                <w:lang w:val="en-GB"/>
              </w:rPr>
              <w:t xml:space="preserve">for the year 2010. The values </w:t>
            </w:r>
            <w:r>
              <w:rPr>
                <w:rFonts w:cs="Times New Roman" w:ascii="Arial" w:hAnsi="Arial"/>
                <w:sz w:val="16"/>
                <w:szCs w:val="16"/>
                <w:lang w:val="en-GB"/>
              </w:rPr>
              <w:t>V</w:t>
            </w:r>
            <w:r>
              <w:rPr>
                <w:rFonts w:cs="Times New Roman" w:ascii="Arial" w:hAnsi="Arial"/>
                <w:sz w:val="16"/>
                <w:szCs w:val="16"/>
                <w:vertAlign w:val="subscript"/>
                <w:lang w:val="en-GB"/>
              </w:rPr>
              <w:t>1</w:t>
            </w:r>
            <w:r>
              <w:rPr>
                <w:rFonts w:cs="Times New Roman" w:ascii="Arial" w:hAnsi="Arial"/>
                <w:sz w:val="16"/>
                <w:szCs w:val="16"/>
                <w:lang w:val="en-GB"/>
              </w:rPr>
              <w:t>, T</w:t>
            </w:r>
            <w:r>
              <w:rPr>
                <w:rFonts w:cs="Times New Roman" w:ascii="Arial" w:hAnsi="Arial"/>
                <w:sz w:val="16"/>
                <w:szCs w:val="16"/>
                <w:vertAlign w:val="subscript"/>
                <w:lang w:val="en-GB"/>
              </w:rPr>
              <w:t>in1</w:t>
            </w:r>
            <w:r>
              <w:rPr>
                <w:rFonts w:cs="Times New Roman" w:ascii="Arial" w:hAnsi="Arial"/>
                <w:sz w:val="16"/>
                <w:szCs w:val="16"/>
                <w:lang w:val="en-GB"/>
              </w:rPr>
              <w:t xml:space="preserve"> and S</w:t>
            </w:r>
            <w:r>
              <w:rPr>
                <w:rFonts w:cs="Times New Roman" w:ascii="Arial" w:hAnsi="Arial"/>
                <w:sz w:val="16"/>
                <w:szCs w:val="16"/>
                <w:vertAlign w:val="subscript"/>
                <w:lang w:val="en-GB"/>
              </w:rPr>
              <w:t>in1</w:t>
            </w:r>
            <w:r>
              <w:rPr>
                <w:rFonts w:cs="Times New Roman" w:ascii="Arial" w:hAnsi="Arial"/>
                <w:iCs/>
                <w:sz w:val="16"/>
                <w:szCs w:val="16"/>
                <w:lang w:val="en-GB"/>
              </w:rPr>
              <w:t xml:space="preserve"> represent the measured flow rate, temperature, and salinity of wastewater in the discharge channel of LNPP-1 phase two. The values </w:t>
            </w:r>
            <w:r>
              <w:rPr>
                <w:rFonts w:cs="Times New Roman" w:ascii="Arial" w:hAnsi="Arial"/>
                <w:sz w:val="16"/>
                <w:szCs w:val="16"/>
                <w:lang w:val="en-GB"/>
              </w:rPr>
              <w:t>V</w:t>
            </w:r>
            <w:r>
              <w:rPr>
                <w:rFonts w:cs="Times New Roman" w:ascii="Arial" w:hAnsi="Arial"/>
                <w:sz w:val="16"/>
                <w:szCs w:val="16"/>
                <w:vertAlign w:val="subscript"/>
                <w:lang w:val="en-GB"/>
              </w:rPr>
              <w:t>2</w:t>
            </w:r>
            <w:r>
              <w:rPr>
                <w:rFonts w:cs="Times New Roman" w:ascii="Arial" w:hAnsi="Arial"/>
                <w:sz w:val="16"/>
                <w:szCs w:val="16"/>
                <w:lang w:val="en-GB"/>
              </w:rPr>
              <w:t>, T</w:t>
            </w:r>
            <w:r>
              <w:rPr>
                <w:rFonts w:cs="Times New Roman" w:ascii="Arial" w:hAnsi="Arial"/>
                <w:sz w:val="16"/>
                <w:szCs w:val="16"/>
                <w:vertAlign w:val="subscript"/>
                <w:lang w:val="en-GB"/>
              </w:rPr>
              <w:t>in2</w:t>
            </w:r>
            <w:r>
              <w:rPr>
                <w:rFonts w:cs="Times New Roman" w:ascii="Arial" w:hAnsi="Arial"/>
                <w:sz w:val="16"/>
                <w:szCs w:val="16"/>
                <w:lang w:val="en-GB"/>
              </w:rPr>
              <w:t xml:space="preserve"> and S</w:t>
            </w:r>
            <w:r>
              <w:rPr>
                <w:rFonts w:cs="Times New Roman" w:ascii="Arial" w:hAnsi="Arial"/>
                <w:sz w:val="16"/>
                <w:szCs w:val="16"/>
                <w:vertAlign w:val="subscript"/>
                <w:lang w:val="en-GB"/>
              </w:rPr>
              <w:t>in</w:t>
            </w:r>
            <w:r>
              <w:rPr>
                <w:rFonts w:cs="Times New Roman" w:ascii="Arial" w:hAnsi="Arial"/>
                <w:sz w:val="16"/>
                <w:szCs w:val="16"/>
                <w:lang w:val="en-GB"/>
              </w:rPr>
              <w:t xml:space="preserve"> </w:t>
            </w:r>
            <w:r>
              <w:rPr>
                <w:rFonts w:cs="Times New Roman" w:ascii="Arial" w:hAnsi="Arial"/>
                <w:iCs/>
                <w:sz w:val="16"/>
                <w:szCs w:val="16"/>
                <w:lang w:val="en-GB"/>
              </w:rPr>
              <w:t>are the design values for the same characteristics for LNPP-2. The averaged values of T</w:t>
            </w:r>
            <w:r>
              <w:rPr>
                <w:rFonts w:cs="Times New Roman" w:ascii="Arial" w:hAnsi="Arial"/>
                <w:iCs/>
                <w:sz w:val="16"/>
                <w:szCs w:val="16"/>
                <w:vertAlign w:val="subscript"/>
                <w:lang w:val="en-GB"/>
              </w:rPr>
              <w:t>in</w:t>
            </w:r>
            <w:r>
              <w:rPr>
                <w:rFonts w:cs="Times New Roman" w:ascii="Arial" w:hAnsi="Arial"/>
                <w:iCs/>
                <w:sz w:val="16"/>
                <w:szCs w:val="16"/>
                <w:lang w:val="en-GB"/>
              </w:rPr>
              <w:t xml:space="preserve"> and S</w:t>
            </w:r>
            <w:r>
              <w:rPr>
                <w:rFonts w:cs="Times New Roman" w:ascii="Arial" w:hAnsi="Arial"/>
                <w:iCs/>
                <w:sz w:val="16"/>
                <w:szCs w:val="16"/>
                <w:vertAlign w:val="subscript"/>
                <w:lang w:val="en-GB"/>
              </w:rPr>
              <w:t>in</w:t>
            </w:r>
            <w:r>
              <w:rPr>
                <w:rFonts w:cs="Times New Roman" w:ascii="Arial" w:hAnsi="Arial"/>
                <w:iCs/>
                <w:sz w:val="16"/>
                <w:szCs w:val="16"/>
                <w:lang w:val="en-GB"/>
              </w:rPr>
              <w:t xml:space="preserve"> are obtained considering the mixing of discharges from LNPP-1 and LNPP-2. The values of T</w:t>
            </w:r>
            <w:r>
              <w:rPr>
                <w:rFonts w:cs="Times New Roman" w:ascii="Arial" w:hAnsi="Arial"/>
                <w:iCs/>
                <w:sz w:val="16"/>
                <w:szCs w:val="16"/>
                <w:vertAlign w:val="subscript"/>
                <w:lang w:val="en-GB"/>
              </w:rPr>
              <w:t>out</w:t>
            </w:r>
            <w:r>
              <w:rPr>
                <w:rFonts w:cs="Times New Roman" w:ascii="Arial" w:hAnsi="Arial"/>
                <w:iCs/>
                <w:sz w:val="16"/>
                <w:szCs w:val="16"/>
                <w:lang w:val="en-GB"/>
              </w:rPr>
              <w:t xml:space="preserve"> and S</w:t>
            </w:r>
            <w:r>
              <w:rPr>
                <w:rFonts w:cs="Times New Roman" w:ascii="Arial" w:hAnsi="Arial"/>
                <w:iCs/>
                <w:sz w:val="16"/>
                <w:szCs w:val="16"/>
                <w:vertAlign w:val="subscript"/>
                <w:lang w:val="en-GB"/>
              </w:rPr>
              <w:t>out</w:t>
            </w:r>
            <w:r>
              <w:rPr>
                <w:rFonts w:cs="Times New Roman" w:ascii="Arial" w:hAnsi="Arial"/>
                <w:iCs/>
                <w:sz w:val="16"/>
                <w:szCs w:val="16"/>
                <w:lang w:val="en-GB"/>
              </w:rPr>
              <w:t xml:space="preserve"> refer to the water outlet B6a in the discharge channel of LNPP-1 phase two (see Fig. 1b). The provided values of Q</w:t>
            </w:r>
            <w:r>
              <w:rPr>
                <w:rFonts w:cs="Times New Roman" w:ascii="Arial" w:hAnsi="Arial"/>
                <w:iCs/>
                <w:sz w:val="16"/>
                <w:szCs w:val="16"/>
                <w:vertAlign w:val="subscript"/>
                <w:lang w:val="en-GB"/>
              </w:rPr>
              <w:t>a</w:t>
            </w:r>
            <w:r>
              <w:rPr>
                <w:rFonts w:cs="Times New Roman" w:ascii="Arial" w:hAnsi="Arial"/>
                <w:iCs/>
                <w:sz w:val="16"/>
                <w:szCs w:val="16"/>
                <w:lang w:val="en-GB"/>
              </w:rPr>
              <w:t xml:space="preserve"> and P-E affect to the last 50-meter section of the channel.</w:t>
            </w:r>
          </w:p>
        </w:tc>
      </w:tr>
    </w:tbl>
    <w:p>
      <w:pPr>
        <w:pStyle w:val="11111"/>
        <w:spacing w:lineRule="auto" w:line="240" w:before="62" w:after="62"/>
        <w:ind w:left="0" w:right="0" w:hanging="0"/>
        <w:rPr>
          <w:sz w:val="20"/>
          <w:szCs w:val="20"/>
          <w:lang w:val="en-US"/>
        </w:rPr>
      </w:pPr>
      <w:r>
        <w:rPr>
          <w:sz w:val="20"/>
          <w:szCs w:val="20"/>
          <w:lang w:val="en-US"/>
        </w:rPr>
      </w:r>
      <w:r>
        <w:br w:type="page"/>
      </w:r>
    </w:p>
    <w:p>
      <w:pPr>
        <w:pStyle w:val="ABodyText"/>
        <w:spacing w:lineRule="auto" w:line="240" w:before="62" w:after="62"/>
        <w:ind w:left="0" w:right="0" w:hanging="0"/>
        <w:rPr/>
      </w:pPr>
      <w:r>
        <w:rPr>
          <w:b/>
          <w:bCs/>
          <w:sz w:val="20"/>
          <w:szCs w:val="20"/>
          <w:lang w:val="en-GB"/>
        </w:rPr>
        <w:t>Table 2</w:t>
      </w:r>
      <w:r>
        <w:rPr>
          <w:sz w:val="20"/>
          <w:szCs w:val="20"/>
          <w:lang w:val="en-GB"/>
        </w:rPr>
        <w:t xml:space="preserve"> Decrease in Temperature (</w:t>
      </w:r>
      <w:r>
        <w:rPr>
          <w:i/>
          <w:sz w:val="20"/>
          <w:szCs w:val="20"/>
          <w:lang w:val="en-GB"/>
        </w:rPr>
        <w:t>T</w:t>
      </w:r>
      <w:r>
        <w:rPr>
          <w:sz w:val="20"/>
          <w:szCs w:val="20"/>
          <w:lang w:val="en-GB"/>
        </w:rPr>
        <w:t>) and Change in Salinity (</w:t>
      </w:r>
      <w:r>
        <w:rPr>
          <w:i/>
          <w:sz w:val="20"/>
          <w:szCs w:val="20"/>
          <w:lang w:val="en-GB"/>
        </w:rPr>
        <w:t>S</w:t>
      </w:r>
      <w:r>
        <w:rPr>
          <w:sz w:val="20"/>
          <w:szCs w:val="20"/>
          <w:lang w:val="en-GB"/>
        </w:rPr>
        <w:t>) of Water in the Discharge Channel of LNPP-1 Phase Two in the Scenario "LNPP-2"</w:t>
      </w:r>
    </w:p>
    <w:tbl>
      <w:tblPr>
        <w:tblW w:w="9259" w:type="dxa"/>
        <w:jc w:val="left"/>
        <w:tblInd w:w="72" w:type="dxa"/>
        <w:tblCellMar>
          <w:top w:w="0" w:type="dxa"/>
          <w:left w:w="29" w:type="dxa"/>
          <w:bottom w:w="0" w:type="dxa"/>
          <w:right w:w="29" w:type="dxa"/>
        </w:tblCellMar>
      </w:tblPr>
      <w:tblGrid>
        <w:gridCol w:w="1483"/>
        <w:gridCol w:w="648"/>
        <w:gridCol w:w="646"/>
        <w:gridCol w:w="648"/>
        <w:gridCol w:w="648"/>
        <w:gridCol w:w="650"/>
        <w:gridCol w:w="649"/>
        <w:gridCol w:w="650"/>
        <w:gridCol w:w="646"/>
        <w:gridCol w:w="646"/>
        <w:gridCol w:w="648"/>
        <w:gridCol w:w="648"/>
        <w:gridCol w:w="648"/>
      </w:tblGrid>
      <w:tr>
        <w:trPr/>
        <w:tc>
          <w:tcPr>
            <w:tcW w:w="1483"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ascii="Arial" w:hAnsi="Arial"/>
                <w:sz w:val="16"/>
                <w:szCs w:val="16"/>
              </w:rPr>
              <w:t>Month</w:t>
            </w:r>
          </w:p>
        </w:tc>
        <w:tc>
          <w:tcPr>
            <w:tcW w:w="648"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w:t>
            </w:r>
          </w:p>
        </w:tc>
        <w:tc>
          <w:tcPr>
            <w:tcW w:w="646"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w:t>
            </w:r>
          </w:p>
        </w:tc>
        <w:tc>
          <w:tcPr>
            <w:tcW w:w="648"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w:t>
            </w:r>
          </w:p>
        </w:tc>
        <w:tc>
          <w:tcPr>
            <w:tcW w:w="648"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w:t>
            </w:r>
          </w:p>
        </w:tc>
        <w:tc>
          <w:tcPr>
            <w:tcW w:w="650"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5</w:t>
            </w:r>
          </w:p>
        </w:tc>
        <w:tc>
          <w:tcPr>
            <w:tcW w:w="649"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6</w:t>
            </w:r>
          </w:p>
        </w:tc>
        <w:tc>
          <w:tcPr>
            <w:tcW w:w="650"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w:t>
            </w:r>
          </w:p>
        </w:tc>
        <w:tc>
          <w:tcPr>
            <w:tcW w:w="646"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8</w:t>
            </w:r>
          </w:p>
        </w:tc>
        <w:tc>
          <w:tcPr>
            <w:tcW w:w="646"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w:t>
            </w:r>
          </w:p>
        </w:tc>
        <w:tc>
          <w:tcPr>
            <w:tcW w:w="648"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w:t>
            </w:r>
          </w:p>
        </w:tc>
        <w:tc>
          <w:tcPr>
            <w:tcW w:w="648" w:type="dxa"/>
            <w:tcBorders>
              <w:top w:val="single" w:sz="2" w:space="0" w:color="000000"/>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11</w:t>
            </w:r>
          </w:p>
        </w:tc>
        <w:tc>
          <w:tcPr>
            <w:tcW w:w="648"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a</w:t>
            </w:r>
            <w:r>
              <w:rPr>
                <w:rFonts w:cs="Times New Roman" w:ascii="Arial" w:hAnsi="Arial"/>
                <w:sz w:val="16"/>
                <w:szCs w:val="16"/>
                <w:lang w:val="en-GB"/>
              </w:rPr>
              <w:t>,°С</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-3.2</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-3.3</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0.1</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7.9</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12.5</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15.7</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16.7</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5.9</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0.4</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V</w:t>
            </w:r>
            <w:r>
              <w:rPr>
                <w:rFonts w:cs="Times New Roman" w:ascii="Arial" w:hAnsi="Arial"/>
                <w:sz w:val="16"/>
                <w:szCs w:val="16"/>
                <w:vertAlign w:val="subscript"/>
                <w:lang w:val="en-GB"/>
              </w:rPr>
              <w:t>,</w:t>
            </w:r>
            <w:r>
              <w:rPr>
                <w:rFonts w:cs="Times New Roman" w:ascii="Arial" w:hAnsi="Arial"/>
                <w:sz w:val="16"/>
                <w:szCs w:val="16"/>
                <w:lang w:val="en-GB"/>
              </w:rPr>
              <w:t xml:space="preserve"> м</w:t>
            </w:r>
            <w:r>
              <w:rPr>
                <w:rFonts w:cs="Times New Roman" w:ascii="Arial" w:hAnsi="Arial"/>
                <w:sz w:val="16"/>
                <w:szCs w:val="16"/>
                <w:vertAlign w:val="superscript"/>
                <w:lang w:val="en-GB"/>
              </w:rPr>
              <w:t>3</w:t>
            </w:r>
            <w:r>
              <w:rPr>
                <w:rFonts w:cs="Times New Roman" w:ascii="Arial" w:hAnsi="Arial"/>
                <w:sz w:val="16"/>
                <w:szCs w:val="16"/>
                <w:lang w:val="en-GB"/>
              </w:rPr>
              <w:t>/с (LNPP-2)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0.95</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1.23</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1.34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1.38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1.48</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1.62</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2.07</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1.79</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1.59</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1.07</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in</w:t>
            </w:r>
            <w:r>
              <w:rPr>
                <w:rFonts w:cs="Times New Roman" w:ascii="Arial" w:hAnsi="Arial"/>
                <w:sz w:val="16"/>
                <w:szCs w:val="16"/>
                <w:lang w:val="en-GB"/>
              </w:rPr>
              <w:t>, °С (LNPP-2)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21.2</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25.8</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25.3</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22.8</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19.9</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16.9</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S</w:t>
            </w:r>
            <w:r>
              <w:rPr>
                <w:rFonts w:cs="Times New Roman" w:ascii="Arial" w:hAnsi="Arial"/>
                <w:sz w:val="16"/>
                <w:szCs w:val="16"/>
                <w:vertAlign w:val="subscript"/>
                <w:lang w:val="en-GB"/>
              </w:rPr>
              <w:t>in</w:t>
            </w:r>
            <w:r>
              <w:rPr>
                <w:rFonts w:cs="Times New Roman" w:ascii="Arial" w:hAnsi="Arial"/>
                <w:sz w:val="16"/>
                <w:szCs w:val="16"/>
                <w:lang w:val="en-GB"/>
              </w:rPr>
              <w:t>, ‰ (LNPP-2)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9.028</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color w:val="000000"/>
                <w:sz w:val="16"/>
                <w:szCs w:val="16"/>
                <w:lang w:val="en-GB"/>
              </w:rPr>
              <w:t>Q</w:t>
            </w:r>
            <w:r>
              <w:rPr>
                <w:rFonts w:cs="Times New Roman" w:ascii="Arial" w:hAnsi="Arial"/>
                <w:color w:val="000000"/>
                <w:sz w:val="16"/>
                <w:szCs w:val="16"/>
                <w:vertAlign w:val="subscript"/>
                <w:lang w:val="en-GB"/>
              </w:rPr>
              <w:t>a</w:t>
            </w:r>
            <w:r>
              <w:rPr>
                <w:rFonts w:cs="Times New Roman" w:ascii="Arial" w:hAnsi="Arial"/>
                <w:color w:val="000000"/>
                <w:sz w:val="16"/>
                <w:szCs w:val="16"/>
                <w:lang w:val="en-GB"/>
              </w:rPr>
              <w:t>, W/m</w:t>
            </w:r>
            <w:r>
              <w:rPr>
                <w:rFonts w:cs="Times New Roman" w:ascii="Arial" w:hAnsi="Arial"/>
                <w:color w:val="000000"/>
                <w:sz w:val="16"/>
                <w:szCs w:val="16"/>
                <w:vertAlign w:val="superscript"/>
                <w:lang w:val="en-GB"/>
              </w:rPr>
              <w:t>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-278.3</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-178.7</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-180.6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-163.8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-99.4</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-160.6</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-76.7</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-200.5</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-145.5</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-152.6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-469.1</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-293.2</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T</w:t>
            </w:r>
            <w:r>
              <w:rPr>
                <w:rFonts w:cs="Times New Roman" w:ascii="Arial" w:hAnsi="Arial"/>
                <w:sz w:val="16"/>
                <w:szCs w:val="16"/>
                <w:vertAlign w:val="subscript"/>
                <w:lang w:val="en-GB"/>
              </w:rPr>
              <w:t>out</w:t>
            </w:r>
            <w:r>
              <w:rPr>
                <w:rFonts w:cs="Times New Roman" w:ascii="Arial" w:hAnsi="Arial"/>
                <w:sz w:val="16"/>
                <w:szCs w:val="16"/>
                <w:lang w:val="en-GB"/>
              </w:rPr>
              <w:t>, °С (LNPP-2)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9.35</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10.62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10.74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16.89</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20.57</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23.09</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25.45</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24.28</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21.91</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19.06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14.25</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9.56</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b/>
                <w:b/>
                <w:bCs/>
                <w:sz w:val="16"/>
                <w:szCs w:val="16"/>
              </w:rPr>
            </w:pPr>
            <w:r>
              <w:rPr>
                <w:rFonts w:cs="Times New Roman" w:ascii="Arial" w:hAnsi="Arial"/>
                <w:b/>
                <w:bCs/>
                <w:sz w:val="16"/>
                <w:szCs w:val="16"/>
                <w:lang w:val="en-GB"/>
              </w:rPr>
              <w:t>dT</w:t>
            </w:r>
            <w:r>
              <w:rPr>
                <w:rFonts w:cs="Times New Roman" w:ascii="Arial" w:hAnsi="Arial"/>
                <w:b/>
                <w:bCs/>
                <w:sz w:val="16"/>
                <w:szCs w:val="16"/>
                <w:vertAlign w:val="subscript"/>
                <w:lang w:val="en-GB"/>
              </w:rPr>
              <w:t>к</w:t>
            </w:r>
            <w:r>
              <w:rPr>
                <w:rFonts w:cs="Times New Roman" w:ascii="Arial" w:hAnsi="Arial"/>
                <w:b/>
                <w:bCs/>
                <w:sz w:val="16"/>
                <w:szCs w:val="16"/>
                <w:lang w:val="en-GB"/>
              </w:rPr>
              <w:t>=</w:t>
            </w:r>
            <w:r>
              <w:rPr>
                <w:rFonts w:cs="Times New Roman" w:ascii="Arial" w:hAnsi="Arial"/>
                <w:b/>
                <w:bCs/>
                <w:color w:val="000000"/>
                <w:sz w:val="16"/>
                <w:szCs w:val="16"/>
                <w:lang w:val="en-GB"/>
              </w:rPr>
              <w:t>T</w:t>
            </w:r>
            <w:r>
              <w:rPr>
                <w:rFonts w:cs="Times New Roman" w:ascii="Arial" w:hAnsi="Arial"/>
                <w:b/>
                <w:bCs/>
                <w:color w:val="000000"/>
                <w:sz w:val="16"/>
                <w:szCs w:val="16"/>
                <w:vertAlign w:val="subscript"/>
                <w:lang w:val="en-GB"/>
              </w:rPr>
              <w:t>out</w:t>
            </w:r>
            <w:r>
              <w:rPr>
                <w:rFonts w:cs="Times New Roman" w:ascii="Arial" w:hAnsi="Arial"/>
                <w:b/>
                <w:bCs/>
                <w:color w:val="000000"/>
                <w:sz w:val="16"/>
                <w:szCs w:val="16"/>
                <w:lang w:val="en-GB"/>
              </w:rPr>
              <w:t>−T</w:t>
            </w:r>
            <w:r>
              <w:rPr>
                <w:rFonts w:cs="Times New Roman" w:ascii="Arial" w:hAnsi="Arial"/>
                <w:b/>
                <w:bCs/>
                <w:color w:val="000000"/>
                <w:sz w:val="16"/>
                <w:szCs w:val="16"/>
                <w:vertAlign w:val="subscript"/>
                <w:lang w:val="en-GB"/>
              </w:rPr>
              <w:t xml:space="preserve">in </w:t>
            </w:r>
            <w:r>
              <w:rPr>
                <w:rFonts w:cs="Times New Roman" w:ascii="Arial" w:hAnsi="Arial"/>
                <w:b/>
                <w:bCs/>
                <w:color w:val="000000"/>
                <w:sz w:val="16"/>
                <w:szCs w:val="16"/>
                <w:lang w:val="en-GB"/>
              </w:rPr>
              <w:t>,</w:t>
            </w:r>
            <w:r>
              <w:rPr>
                <w:rFonts w:cs="Times New Roman" w:ascii="Arial" w:hAnsi="Arial"/>
                <w:b/>
                <w:bCs/>
                <w:sz w:val="16"/>
                <w:szCs w:val="16"/>
                <w:lang w:val="en-GB"/>
              </w:rPr>
              <w:t>°С</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-2.65</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-1.38</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-1.26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-1.11</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-0.63</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-0.91</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-0.35</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-1.02</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-0.89</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-0.84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-2.65</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-2.44</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pacing w:val="66"/>
                <w:sz w:val="16"/>
                <w:szCs w:val="16"/>
                <w:lang w:val="en-GB"/>
              </w:rPr>
              <w:t>P−E</w:t>
            </w:r>
            <w:r>
              <w:rPr>
                <w:rFonts w:cs="Times New Roman" w:ascii="Arial" w:hAnsi="Arial"/>
                <w:sz w:val="16"/>
                <w:szCs w:val="16"/>
                <w:lang w:val="en-GB"/>
              </w:rPr>
              <w:t>, 10</w:t>
            </w:r>
            <w:r>
              <w:rPr>
                <w:rFonts w:cs="Times New Roman" w:ascii="Arial" w:hAnsi="Arial"/>
                <w:sz w:val="16"/>
                <w:szCs w:val="16"/>
                <w:vertAlign w:val="superscript"/>
                <w:lang w:val="en-GB"/>
              </w:rPr>
              <w:t>-8</w:t>
            </w:r>
            <w:r>
              <w:rPr>
                <w:rFonts w:cs="Times New Roman" w:ascii="Arial" w:hAnsi="Arial"/>
                <w:sz w:val="16"/>
                <w:szCs w:val="16"/>
                <w:lang w:val="en-GB"/>
              </w:rPr>
              <w:t xml:space="preserve"> m/s</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-3.08</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-0.82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-2.13</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-1.53</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-4.41</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-3.54</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-2.01</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-1.27</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0.69</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1.99</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-6.82</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-1.75</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S</w:t>
            </w:r>
            <w:r>
              <w:rPr>
                <w:rFonts w:cs="Times New Roman" w:ascii="Arial" w:hAnsi="Arial"/>
                <w:sz w:val="16"/>
                <w:szCs w:val="16"/>
                <w:vertAlign w:val="subscript"/>
                <w:lang w:val="en-GB"/>
              </w:rPr>
              <w:t>out</w:t>
            </w:r>
            <w:r>
              <w:rPr>
                <w:rFonts w:cs="Times New Roman" w:ascii="Arial" w:hAnsi="Arial"/>
                <w:sz w:val="16"/>
                <w:szCs w:val="16"/>
                <w:lang w:val="en-GB"/>
              </w:rPr>
              <w:t>, ‰ (LNPP-2)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9.04</w:t>
            </w:r>
            <w:r>
              <w:rPr>
                <w:rFonts w:ascii="Arial" w:hAnsi="Arial"/>
                <w:sz w:val="16"/>
                <w:szCs w:val="16"/>
              </w:rPr>
              <w:t>0</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w:t>
            </w:r>
            <w:r>
              <w:rPr>
                <w:rFonts w:ascii="Arial" w:hAnsi="Arial"/>
                <w:sz w:val="16"/>
                <w:szCs w:val="16"/>
              </w:rPr>
              <w:t>0</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9.032</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9.039</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9.036</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9.032</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9.031</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9.024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9.043</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sz w:val="16"/>
                <w:szCs w:val="16"/>
              </w:rPr>
            </w:pPr>
            <w:r>
              <w:rPr>
                <w:rFonts w:ascii="Arial" w:hAnsi="Arial"/>
                <w:sz w:val="16"/>
                <w:szCs w:val="16"/>
              </w:rPr>
              <w:t>9.034</w:t>
            </w:r>
          </w:p>
        </w:tc>
      </w:tr>
      <w:tr>
        <w:trPr/>
        <w:tc>
          <w:tcPr>
            <w:tcW w:w="1483" w:type="dxa"/>
            <w:tcBorders>
              <w:left w:val="single" w:sz="2" w:space="0" w:color="000000"/>
              <w:bottom w:val="single" w:sz="2" w:space="0" w:color="000000"/>
            </w:tcBorders>
            <w:vAlign w:val="center"/>
          </w:tcPr>
          <w:p>
            <w:pPr>
              <w:pStyle w:val="Normal"/>
              <w:spacing w:lineRule="auto" w:line="240" w:before="62" w:after="62"/>
              <w:ind w:left="0" w:right="0" w:hanging="0"/>
              <w:rPr>
                <w:rFonts w:ascii="Arial" w:hAnsi="Arial"/>
                <w:b/>
                <w:b/>
                <w:bCs/>
                <w:sz w:val="16"/>
                <w:szCs w:val="16"/>
              </w:rPr>
            </w:pPr>
            <w:r>
              <w:rPr>
                <w:rFonts w:cs="Times New Roman" w:ascii="Arial" w:hAnsi="Arial"/>
                <w:b/>
                <w:bCs/>
                <w:sz w:val="16"/>
                <w:szCs w:val="16"/>
                <w:lang w:val="en-GB"/>
              </w:rPr>
              <w:t>dS</w:t>
            </w:r>
            <w:r>
              <w:rPr>
                <w:rFonts w:cs="Times New Roman" w:ascii="Arial" w:hAnsi="Arial"/>
                <w:b/>
                <w:bCs/>
                <w:sz w:val="16"/>
                <w:szCs w:val="16"/>
                <w:vertAlign w:val="subscript"/>
                <w:lang w:val="en-GB"/>
              </w:rPr>
              <w:t>к</w:t>
            </w:r>
            <w:r>
              <w:rPr>
                <w:rFonts w:cs="Times New Roman" w:ascii="Arial" w:hAnsi="Arial"/>
                <w:b/>
                <w:bCs/>
                <w:sz w:val="16"/>
                <w:szCs w:val="16"/>
                <w:lang w:val="en-GB"/>
              </w:rPr>
              <w:t>=S</w:t>
            </w:r>
            <w:r>
              <w:rPr>
                <w:rFonts w:cs="Times New Roman" w:ascii="Arial" w:hAnsi="Arial"/>
                <w:b/>
                <w:bCs/>
                <w:sz w:val="16"/>
                <w:szCs w:val="16"/>
                <w:vertAlign w:val="subscript"/>
                <w:lang w:val="en-GB"/>
              </w:rPr>
              <w:t>out</w:t>
            </w:r>
            <w:r>
              <w:rPr>
                <w:rFonts w:cs="Times New Roman" w:ascii="Arial" w:hAnsi="Arial"/>
                <w:b/>
                <w:bCs/>
                <w:sz w:val="16"/>
                <w:szCs w:val="16"/>
                <w:lang w:val="en-GB"/>
              </w:rPr>
              <w:t>−S</w:t>
            </w:r>
            <w:r>
              <w:rPr>
                <w:rFonts w:cs="Times New Roman" w:ascii="Arial" w:hAnsi="Arial"/>
                <w:b/>
                <w:bCs/>
                <w:sz w:val="16"/>
                <w:szCs w:val="16"/>
                <w:vertAlign w:val="subscript"/>
                <w:lang w:val="en-GB"/>
              </w:rPr>
              <w:t>in</w:t>
            </w:r>
            <w:r>
              <w:rPr>
                <w:rFonts w:cs="Times New Roman" w:ascii="Arial" w:hAnsi="Arial"/>
                <w:b/>
                <w:bCs/>
                <w:sz w:val="16"/>
                <w:szCs w:val="16"/>
                <w:lang w:val="en-GB"/>
              </w:rPr>
              <w:t>,</w:t>
            </w:r>
          </w:p>
          <w:p>
            <w:pPr>
              <w:pStyle w:val="Normal"/>
              <w:spacing w:lineRule="auto" w:line="240" w:before="62" w:after="62"/>
              <w:ind w:left="0" w:right="0" w:hanging="0"/>
              <w:rPr>
                <w:rFonts w:ascii="Arial" w:hAnsi="Arial" w:cs="Times New Roman"/>
                <w:b/>
                <w:b/>
                <w:bCs/>
                <w:sz w:val="16"/>
                <w:szCs w:val="16"/>
                <w:lang w:val="en-GB"/>
              </w:rPr>
            </w:pPr>
            <w:r>
              <w:rPr>
                <w:rFonts w:cs="Times New Roman" w:ascii="Arial" w:hAnsi="Arial"/>
                <w:b/>
                <w:bCs/>
                <w:sz w:val="16"/>
                <w:szCs w:val="16"/>
                <w:lang w:val="en-GB"/>
              </w:rPr>
              <w:t>‰</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0.012</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0.006</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0.004</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0.011</w:t>
            </w:r>
          </w:p>
        </w:tc>
        <w:tc>
          <w:tcPr>
            <w:tcW w:w="649"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0.008</w:t>
            </w:r>
          </w:p>
        </w:tc>
        <w:tc>
          <w:tcPr>
            <w:tcW w:w="650"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0.004</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0.003</w:t>
            </w:r>
          </w:p>
        </w:tc>
        <w:tc>
          <w:tcPr>
            <w:tcW w:w="646"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-0.002</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-0.004</w:t>
            </w:r>
          </w:p>
        </w:tc>
        <w:tc>
          <w:tcPr>
            <w:tcW w:w="648" w:type="dxa"/>
            <w:tcBorders>
              <w:left w:val="single" w:sz="2" w:space="0" w:color="000000"/>
              <w:bottom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0.015</w:t>
            </w:r>
          </w:p>
        </w:tc>
        <w:tc>
          <w:tcPr>
            <w:tcW w:w="648" w:type="dxa"/>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center"/>
              <w:rPr>
                <w:rFonts w:ascii="Arial" w:hAnsi="Arial"/>
                <w:b/>
                <w:b/>
                <w:bCs/>
                <w:sz w:val="16"/>
                <w:szCs w:val="16"/>
              </w:rPr>
            </w:pPr>
            <w:r>
              <w:rPr>
                <w:rFonts w:ascii="Arial" w:hAnsi="Arial"/>
                <w:b/>
                <w:bCs/>
                <w:sz w:val="16"/>
                <w:szCs w:val="16"/>
              </w:rPr>
              <w:t>0.006</w:t>
            </w:r>
          </w:p>
        </w:tc>
      </w:tr>
      <w:tr>
        <w:trPr/>
        <w:tc>
          <w:tcPr>
            <w:tcW w:w="9258" w:type="dxa"/>
            <w:gridSpan w:val="13"/>
            <w:tcBorders>
              <w:left w:val="single" w:sz="2" w:space="0" w:color="000000"/>
              <w:bottom w:val="single" w:sz="2" w:space="0" w:color="000000"/>
              <w:right w:val="single" w:sz="2" w:space="0" w:color="000000"/>
            </w:tcBorders>
            <w:vAlign w:val="center"/>
          </w:tcPr>
          <w:p>
            <w:pPr>
              <w:pStyle w:val="Normal"/>
              <w:spacing w:lineRule="auto" w:line="240" w:before="62" w:after="62"/>
              <w:ind w:left="0" w:right="0" w:hanging="0"/>
              <w:jc w:val="both"/>
              <w:rPr>
                <w:rFonts w:ascii="Arial" w:hAnsi="Arial"/>
                <w:sz w:val="16"/>
                <w:szCs w:val="16"/>
              </w:rPr>
            </w:pPr>
            <w:r>
              <w:rPr>
                <w:rFonts w:cs="Times New Roman" w:ascii="Arial" w:hAnsi="Arial"/>
                <w:i/>
                <w:iCs/>
                <w:sz w:val="16"/>
                <w:szCs w:val="16"/>
                <w:lang w:val="en-GB"/>
              </w:rPr>
              <w:t xml:space="preserve">Note. </w:t>
            </w:r>
            <w:r>
              <w:rPr>
                <w:rFonts w:cs="Times New Roman" w:ascii="Arial" w:hAnsi="Arial"/>
                <w:iCs/>
                <w:sz w:val="16"/>
                <w:szCs w:val="16"/>
                <w:lang w:val="en-GB"/>
              </w:rPr>
              <w:t>The calculation procedure is described in the text. Monthly average values of air temperature (T</w:t>
            </w:r>
            <w:r>
              <w:rPr>
                <w:rFonts w:cs="Times New Roman" w:ascii="Arial" w:hAnsi="Arial"/>
                <w:iCs/>
                <w:sz w:val="16"/>
                <w:szCs w:val="16"/>
                <w:vertAlign w:val="subscript"/>
                <w:lang w:val="en-GB"/>
              </w:rPr>
              <w:t>a</w:t>
            </w:r>
            <w:r>
              <w:rPr>
                <w:rFonts w:cs="Times New Roman" w:ascii="Arial" w:hAnsi="Arial"/>
                <w:iCs/>
                <w:sz w:val="16"/>
                <w:szCs w:val="16"/>
                <w:lang w:val="en-GB"/>
              </w:rPr>
              <w:t>), heat flux at the boundary with the atmosphere (Q</w:t>
            </w:r>
            <w:r>
              <w:rPr>
                <w:rFonts w:cs="Times New Roman" w:ascii="Arial" w:hAnsi="Arial"/>
                <w:iCs/>
                <w:sz w:val="16"/>
                <w:szCs w:val="16"/>
                <w:vertAlign w:val="subscript"/>
                <w:lang w:val="en-GB"/>
              </w:rPr>
              <w:t>a</w:t>
            </w:r>
            <w:r>
              <w:rPr>
                <w:rFonts w:cs="Times New Roman" w:ascii="Arial" w:hAnsi="Arial"/>
                <w:iCs/>
                <w:sz w:val="16"/>
                <w:szCs w:val="16"/>
                <w:lang w:val="en-GB"/>
              </w:rPr>
              <w:t xml:space="preserve">), and the difference between precipitation and evaporation (P-E) are taken from </w:t>
            </w:r>
            <w:r>
              <w:rPr>
                <w:rFonts w:ascii="Arial" w:hAnsi="Arial"/>
                <w:sz w:val="16"/>
                <w:szCs w:val="16"/>
                <w:lang w:val="en-US"/>
              </w:rPr>
              <w:t xml:space="preserve">Copernicus Climate Change Service [24] </w:t>
            </w:r>
            <w:r>
              <w:rPr>
                <w:rFonts w:cs="Times New Roman" w:ascii="Arial" w:hAnsi="Arial"/>
                <w:iCs/>
                <w:sz w:val="16"/>
                <w:szCs w:val="16"/>
                <w:lang w:val="en-GB"/>
              </w:rPr>
              <w:t>for the year 2010. The values of T</w:t>
            </w:r>
            <w:r>
              <w:rPr>
                <w:rFonts w:cs="Times New Roman" w:ascii="Arial" w:hAnsi="Arial"/>
                <w:iCs/>
                <w:sz w:val="16"/>
                <w:szCs w:val="16"/>
                <w:vertAlign w:val="subscript"/>
                <w:lang w:val="en-GB"/>
              </w:rPr>
              <w:t>out</w:t>
            </w:r>
            <w:r>
              <w:rPr>
                <w:rFonts w:cs="Times New Roman" w:ascii="Arial" w:hAnsi="Arial"/>
                <w:iCs/>
                <w:sz w:val="16"/>
                <w:szCs w:val="16"/>
                <w:lang w:val="en-GB"/>
              </w:rPr>
              <w:t xml:space="preserve"> and S</w:t>
            </w:r>
            <w:r>
              <w:rPr>
                <w:rFonts w:cs="Times New Roman" w:ascii="Arial" w:hAnsi="Arial"/>
                <w:iCs/>
                <w:sz w:val="16"/>
                <w:szCs w:val="16"/>
                <w:vertAlign w:val="subscript"/>
                <w:lang w:val="en-GB"/>
              </w:rPr>
              <w:t>out</w:t>
            </w:r>
            <w:r>
              <w:rPr>
                <w:rFonts w:cs="Times New Roman" w:ascii="Arial" w:hAnsi="Arial"/>
                <w:iCs/>
                <w:sz w:val="16"/>
                <w:szCs w:val="16"/>
                <w:lang w:val="en-GB"/>
              </w:rPr>
              <w:t xml:space="preserve"> refer to the water outlet B6a in the discharge channel of LNPP-1 phase two (see Fig. 1b). The provided values of Q</w:t>
            </w:r>
            <w:r>
              <w:rPr>
                <w:rFonts w:cs="Times New Roman" w:ascii="Arial" w:hAnsi="Arial"/>
                <w:iCs/>
                <w:sz w:val="16"/>
                <w:szCs w:val="16"/>
                <w:vertAlign w:val="subscript"/>
                <w:lang w:val="en-GB"/>
              </w:rPr>
              <w:t>a</w:t>
            </w:r>
            <w:r>
              <w:rPr>
                <w:rFonts w:cs="Times New Roman" w:ascii="Arial" w:hAnsi="Arial"/>
                <w:iCs/>
                <w:sz w:val="16"/>
                <w:szCs w:val="16"/>
                <w:lang w:val="en-GB"/>
              </w:rPr>
              <w:t xml:space="preserve"> and P-E pertain to the last 50-meter section of the channel.</w:t>
            </w:r>
          </w:p>
        </w:tc>
      </w:tr>
    </w:tbl>
    <w:p>
      <w:pPr>
        <w:pStyle w:val="11111"/>
        <w:spacing w:lineRule="auto" w:line="240" w:before="62" w:after="62"/>
        <w:ind w:left="0" w:right="0" w:hanging="0"/>
        <w:rPr>
          <w:sz w:val="20"/>
          <w:szCs w:val="20"/>
          <w:lang w:val="en-US"/>
        </w:rPr>
      </w:pPr>
      <w:r>
        <w:rPr>
          <w:sz w:val="20"/>
          <w:szCs w:val="20"/>
          <w:lang w:val="en-US"/>
        </w:rPr>
      </w:r>
    </w:p>
    <w:p>
      <w:pPr>
        <w:pStyle w:val="ABodyText"/>
        <w:spacing w:lineRule="auto" w:line="240" w:before="62" w:after="62"/>
        <w:ind w:left="0" w:right="0" w:hanging="0"/>
        <w:rPr>
          <w:b/>
          <w:b/>
          <w:bCs/>
          <w:sz w:val="20"/>
          <w:szCs w:val="20"/>
          <w:lang w:val="en-GB"/>
        </w:rPr>
      </w:pPr>
      <w:r>
        <w:rPr>
          <w:b/>
          <w:bCs/>
          <w:sz w:val="20"/>
          <w:szCs w:val="20"/>
          <w:lang w:val="en-GB"/>
        </w:rPr>
      </w:r>
      <w:r>
        <w:br w:type="page"/>
      </w:r>
    </w:p>
    <w:p>
      <w:pPr>
        <w:pStyle w:val="ABodyText"/>
        <w:spacing w:lineRule="auto" w:line="240" w:before="62" w:after="62"/>
        <w:ind w:left="0" w:right="0" w:hanging="0"/>
        <w:rPr/>
      </w:pPr>
      <w:r>
        <w:rPr>
          <w:b/>
          <w:bCs/>
          <w:sz w:val="20"/>
          <w:szCs w:val="20"/>
          <w:lang w:val="en-GB"/>
        </w:rPr>
        <w:t>Table 3</w:t>
      </w:r>
      <w:r>
        <w:rPr>
          <w:sz w:val="20"/>
          <w:szCs w:val="20"/>
          <w:lang w:val="en-GB"/>
        </w:rPr>
        <w:t xml:space="preserve"> Characteristics of Withdrawn Water (Flow Rate </w:t>
      </w:r>
      <w:r>
        <w:rPr>
          <w:i/>
          <w:sz w:val="20"/>
          <w:szCs w:val="20"/>
          <w:lang w:val="en-GB"/>
        </w:rPr>
        <w:t>V</w:t>
      </w:r>
      <w:r>
        <w:rPr>
          <w:sz w:val="20"/>
          <w:szCs w:val="20"/>
          <w:lang w:val="en-GB"/>
        </w:rPr>
        <w:t xml:space="preserve">, Temperature </w:t>
      </w:r>
      <w:r>
        <w:rPr>
          <w:i/>
          <w:sz w:val="20"/>
          <w:szCs w:val="20"/>
          <w:lang w:val="en-GB"/>
        </w:rPr>
        <w:t>T</w:t>
      </w:r>
      <w:r>
        <w:rPr>
          <w:sz w:val="20"/>
          <w:szCs w:val="20"/>
          <w:lang w:val="en-GB"/>
        </w:rPr>
        <w:t xml:space="preserve">, Salinity </w:t>
      </w:r>
      <w:r>
        <w:rPr>
          <w:i/>
          <w:sz w:val="20"/>
          <w:szCs w:val="20"/>
          <w:lang w:val="en-GB"/>
        </w:rPr>
        <w:t>S</w:t>
      </w:r>
      <w:r>
        <w:rPr>
          <w:sz w:val="20"/>
          <w:szCs w:val="20"/>
          <w:lang w:val="en-GB"/>
        </w:rPr>
        <w:t>) in the Scenarios "LNPP-1 and LNPP-2" and "LNPP-2"</w:t>
      </w:r>
    </w:p>
    <w:tbl>
      <w:tblPr>
        <w:tblW w:w="9331" w:type="dxa"/>
        <w:jc w:val="center"/>
        <w:tblInd w:w="0" w:type="dxa"/>
        <w:tblCellMar>
          <w:top w:w="0" w:type="dxa"/>
          <w:left w:w="108" w:type="dxa"/>
          <w:bottom w:w="0" w:type="dxa"/>
          <w:right w:w="108" w:type="dxa"/>
        </w:tblCellMar>
      </w:tblPr>
      <w:tblGrid>
        <w:gridCol w:w="962"/>
        <w:gridCol w:w="641"/>
        <w:gridCol w:w="646"/>
        <w:gridCol w:w="645"/>
        <w:gridCol w:w="643"/>
        <w:gridCol w:w="646"/>
        <w:gridCol w:w="642"/>
        <w:gridCol w:w="642"/>
        <w:gridCol w:w="645"/>
        <w:gridCol w:w="643"/>
        <w:gridCol w:w="644"/>
        <w:gridCol w:w="646"/>
        <w:gridCol w:w="644"/>
        <w:gridCol w:w="641"/>
      </w:tblGrid>
      <w:tr>
        <w:trPr>
          <w:tblHeader w:val="true"/>
          <w:cantSplit w:val="true"/>
        </w:trPr>
        <w:tc>
          <w:tcPr>
            <w:tcW w:w="9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Characteristic</w:t>
            </w:r>
          </w:p>
        </w:tc>
        <w:tc>
          <w:tcPr>
            <w:tcW w:w="7727" w:type="dxa"/>
            <w:gridSpan w:val="1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Month</w:t>
            </w:r>
          </w:p>
        </w:tc>
        <w:tc>
          <w:tcPr>
            <w:tcW w:w="64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Annual aver. value</w:t>
            </w:r>
          </w:p>
        </w:tc>
      </w:tr>
      <w:tr>
        <w:trPr>
          <w:tblHeader w:val="true"/>
          <w:cantSplit w:val="true"/>
        </w:trPr>
        <w:tc>
          <w:tcPr>
            <w:tcW w:w="9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ascii="Arial" w:hAnsi="Arial"/>
                <w:sz w:val="16"/>
                <w:szCs w:val="16"/>
              </w:rPr>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3</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4</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5</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6</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7</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8</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11</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w:t>
            </w:r>
          </w:p>
        </w:tc>
        <w:tc>
          <w:tcPr>
            <w:tcW w:w="64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ascii="Arial" w:hAnsi="Arial"/>
                <w:sz w:val="16"/>
                <w:szCs w:val="16"/>
              </w:rPr>
            </w:r>
          </w:p>
        </w:tc>
      </w:tr>
      <w:tr>
        <w:trPr>
          <w:cantSplit w:val="true"/>
        </w:trPr>
        <w:tc>
          <w:tcPr>
            <w:tcW w:w="9330" w:type="dxa"/>
            <w:gridSpan w:val="14"/>
            <w:tcBorders>
              <w:top w:val="single" w:sz="4" w:space="0" w:color="000000"/>
              <w:left w:val="single" w:sz="4" w:space="0" w:color="000000"/>
              <w:bottom w:val="single" w:sz="4" w:space="0" w:color="000000"/>
              <w:right w:val="single" w:sz="4" w:space="0" w:color="000000"/>
            </w:tcBorders>
            <w:vAlign w:val="center"/>
          </w:tcPr>
          <w:p>
            <w:pPr>
              <w:pStyle w:val="ATableNormal"/>
              <w:spacing w:lineRule="auto" w:line="240" w:before="62" w:after="62"/>
              <w:ind w:left="0" w:right="0" w:hanging="0"/>
              <w:jc w:val="center"/>
              <w:rPr>
                <w:rFonts w:ascii="Arial" w:hAnsi="Arial"/>
                <w:sz w:val="16"/>
                <w:szCs w:val="16"/>
              </w:rPr>
            </w:pPr>
            <w:r>
              <w:rPr>
                <w:rFonts w:ascii="Arial" w:hAnsi="Arial"/>
                <w:sz w:val="16"/>
                <w:szCs w:val="16"/>
                <w:lang w:val="en-GB"/>
              </w:rPr>
              <w:t>Water intake LNPP-1 units 1, 2 and LNPP-2 units 1-4, point No. 2 in (</w:t>
            </w:r>
            <w:r>
              <w:rPr>
                <w:rFonts w:cs="Times New Roman" w:ascii="Arial" w:hAnsi="Arial"/>
                <w:position w:val="0"/>
                <w:sz w:val="16"/>
                <w:sz w:val="16"/>
                <w:szCs w:val="16"/>
                <w:vertAlign w:val="baseline"/>
                <w:lang w:val="en-GB"/>
              </w:rPr>
              <w:t>Program for …, 2018 *</w:t>
            </w:r>
            <w:r>
              <w:rPr>
                <w:rFonts w:ascii="Arial" w:hAnsi="Arial"/>
                <w:sz w:val="16"/>
                <w:szCs w:val="16"/>
                <w:lang w:val="en-US"/>
              </w:rPr>
              <w:t>)</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i/>
                <w:iCs/>
                <w:sz w:val="16"/>
                <w:szCs w:val="16"/>
                <w:lang w:val="en-GB"/>
              </w:rPr>
              <w:t xml:space="preserve">V </w:t>
            </w:r>
            <w:r>
              <w:rPr>
                <w:rFonts w:cs="Times New Roman" w:ascii="Arial" w:hAnsi="Arial"/>
                <w:sz w:val="16"/>
                <w:szCs w:val="16"/>
                <w:vertAlign w:val="superscript"/>
                <w:lang w:val="en-GB"/>
              </w:rPr>
              <w:t>1)</w:t>
            </w:r>
            <w:r>
              <w:rPr>
                <w:rFonts w:cs="Times New Roman" w:ascii="Arial" w:hAnsi="Arial"/>
                <w:sz w:val="16"/>
                <w:szCs w:val="16"/>
                <w:lang w:val="en-GB"/>
              </w:rPr>
              <w:t>, m</w:t>
            </w:r>
            <w:r>
              <w:rPr>
                <w:rFonts w:cs="Times New Roman" w:ascii="Arial" w:hAnsi="Arial"/>
                <w:sz w:val="16"/>
                <w:szCs w:val="16"/>
                <w:vertAlign w:val="superscript"/>
                <w:lang w:val="en-GB"/>
              </w:rPr>
              <w:t>3</w:t>
            </w:r>
            <w:r>
              <w:rPr>
                <w:rFonts w:cs="Times New Roman" w:ascii="Arial" w:hAnsi="Arial"/>
                <w:sz w:val="16"/>
                <w:szCs w:val="16"/>
                <w:lang w:val="en-GB"/>
              </w:rPr>
              <w:t>/s (LNPP-1 Units 1, 2)</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2.87</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2.59</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2.87</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2.59</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2.87</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2.78</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3.03</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2.87</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2.43</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1.44</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1.38</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1.92</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2.47</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i/>
                <w:iCs/>
                <w:sz w:val="16"/>
                <w:szCs w:val="16"/>
                <w:lang w:val="en-GB"/>
              </w:rPr>
              <w:t xml:space="preserve">V </w:t>
            </w:r>
            <w:r>
              <w:rPr>
                <w:rFonts w:cs="Times New Roman" w:ascii="Arial" w:hAnsi="Arial"/>
                <w:sz w:val="16"/>
                <w:szCs w:val="16"/>
                <w:vertAlign w:val="superscript"/>
                <w:lang w:val="en-GB"/>
              </w:rPr>
              <w:t>2)</w:t>
            </w:r>
            <w:r>
              <w:rPr>
                <w:rFonts w:cs="Times New Roman" w:ascii="Arial" w:hAnsi="Arial"/>
                <w:sz w:val="16"/>
                <w:szCs w:val="16"/>
                <w:lang w:val="en-GB"/>
              </w:rPr>
              <w:t>, m</w:t>
            </w:r>
            <w:r>
              <w:rPr>
                <w:rFonts w:cs="Times New Roman" w:ascii="Arial" w:hAnsi="Arial"/>
                <w:sz w:val="16"/>
                <w:szCs w:val="16"/>
                <w:vertAlign w:val="superscript"/>
                <w:lang w:val="en-GB"/>
              </w:rPr>
              <w:t>3</w:t>
            </w:r>
            <w:r>
              <w:rPr>
                <w:rFonts w:cs="Times New Roman" w:ascii="Arial" w:hAnsi="Arial"/>
                <w:sz w:val="16"/>
                <w:szCs w:val="16"/>
                <w:lang w:val="en-GB"/>
              </w:rPr>
              <w:t>/s (LNPP-2 Units 1, 2)</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0.19</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0.77</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1.92</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1.45</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1.60</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1.69</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2.12</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1.97</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1.65</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1.90</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1.65</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0.56</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1.46</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i/>
                <w:iCs/>
                <w:sz w:val="16"/>
                <w:szCs w:val="16"/>
                <w:lang w:val="en-GB"/>
              </w:rPr>
              <w:t xml:space="preserve">V </w:t>
            </w:r>
            <w:r>
              <w:rPr>
                <w:rFonts w:cs="Times New Roman" w:ascii="Arial" w:hAnsi="Arial"/>
                <w:sz w:val="16"/>
                <w:szCs w:val="16"/>
                <w:vertAlign w:val="superscript"/>
                <w:lang w:val="en-GB"/>
              </w:rPr>
              <w:t>3)</w:t>
            </w:r>
            <w:r>
              <w:rPr>
                <w:rFonts w:cs="Times New Roman" w:ascii="Arial" w:hAnsi="Arial"/>
                <w:sz w:val="16"/>
                <w:szCs w:val="16"/>
                <w:lang w:val="en-GB"/>
              </w:rPr>
              <w:t>, m</w:t>
            </w:r>
            <w:r>
              <w:rPr>
                <w:rFonts w:cs="Times New Roman" w:ascii="Arial" w:hAnsi="Arial"/>
                <w:sz w:val="16"/>
                <w:szCs w:val="16"/>
                <w:vertAlign w:val="superscript"/>
                <w:lang w:val="en-GB"/>
              </w:rPr>
              <w:t>3</w:t>
            </w:r>
            <w:r>
              <w:rPr>
                <w:rFonts w:cs="Times New Roman" w:ascii="Arial" w:hAnsi="Arial"/>
                <w:sz w:val="16"/>
                <w:szCs w:val="16"/>
                <w:lang w:val="en-GB"/>
              </w:rPr>
              <w:t>/s (LNPP-2 Units 3, 4)</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1.69</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1.53</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1.84</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1.99</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2.28</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2.38</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2.58</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2.46</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2.25</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2.12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1.89</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1.81</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2.07</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V </w:t>
            </w:r>
            <w:r>
              <w:rPr>
                <w:rFonts w:cs="Times New Roman" w:ascii="Arial" w:hAnsi="Arial"/>
                <w:b/>
                <w:bCs/>
                <w:i w:val="false"/>
                <w:iCs w:val="false"/>
                <w:sz w:val="16"/>
                <w:szCs w:val="16"/>
                <w:vertAlign w:val="superscript"/>
                <w:lang w:val="en-GB"/>
              </w:rPr>
              <w:t>4)</w:t>
            </w:r>
            <w:r>
              <w:rPr>
                <w:rFonts w:cs="Times New Roman" w:ascii="Arial" w:hAnsi="Arial"/>
                <w:b/>
                <w:bCs/>
                <w:i w:val="false"/>
                <w:iCs w:val="false"/>
                <w:sz w:val="16"/>
                <w:szCs w:val="16"/>
                <w:lang w:val="en-GB"/>
              </w:rPr>
              <w:t>, m</w:t>
            </w:r>
            <w:r>
              <w:rPr>
                <w:rFonts w:cs="Times New Roman" w:ascii="Arial" w:hAnsi="Arial"/>
                <w:b/>
                <w:bCs/>
                <w:i w:val="false"/>
                <w:iCs w:val="false"/>
                <w:sz w:val="16"/>
                <w:szCs w:val="16"/>
                <w:vertAlign w:val="superscript"/>
                <w:lang w:val="en-GB"/>
              </w:rPr>
              <w:t>3</w:t>
            </w:r>
            <w:r>
              <w:rPr>
                <w:rFonts w:cs="Times New Roman" w:ascii="Arial" w:hAnsi="Arial"/>
                <w:b/>
                <w:bCs/>
                <w:i w:val="false"/>
                <w:iCs w:val="false"/>
                <w:sz w:val="16"/>
                <w:szCs w:val="16"/>
                <w:lang w:val="en-GB"/>
              </w:rPr>
              <w:t>/s Total</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4.75</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4.89</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6.63</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6.03</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6.75</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6.85</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7.73</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7.30</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6.33</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5.46</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4.92</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4.29</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6.00</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trike w:val="false"/>
                <w:dstrike w:val="false"/>
                <w:sz w:val="16"/>
                <w:szCs w:val="16"/>
                <w:lang w:val="en-GB"/>
              </w:rPr>
              <w:t xml:space="preserve">Measurement date Т </w:t>
            </w:r>
            <w:r>
              <w:rPr>
                <w:rFonts w:cs="Times New Roman" w:ascii="Arial" w:hAnsi="Arial"/>
                <w:i w:val="false"/>
                <w:iCs w:val="false"/>
                <w:strike w:val="false"/>
                <w:dstrike w:val="false"/>
                <w:sz w:val="16"/>
                <w:szCs w:val="16"/>
                <w:lang w:val="en-US"/>
              </w:rPr>
              <w:t>and</w:t>
            </w:r>
            <w:r>
              <w:rPr>
                <w:rFonts w:cs="Times New Roman" w:ascii="Arial" w:hAnsi="Arial"/>
                <w:i w:val="false"/>
                <w:iCs w:val="false"/>
                <w:strike w:val="false"/>
                <w:dstrike w:val="false"/>
                <w:sz w:val="16"/>
                <w:szCs w:val="16"/>
                <w:lang w:val="en-GB"/>
              </w:rPr>
              <w:t xml:space="preserve"> S</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bidi="hi-IN"/>
              </w:rPr>
            </w:pPr>
            <w:r>
              <w:rPr>
                <w:rFonts w:eastAsia="Arial" w:cs="Times New Roman" w:ascii="Arial" w:hAnsi="Arial"/>
                <w:strike w:val="false"/>
                <w:dstrike w:val="false"/>
                <w:sz w:val="16"/>
                <w:szCs w:val="16"/>
                <w:lang w:val="en-GB" w:eastAsia="zxx" w:bidi="hi-IN"/>
              </w:rPr>
              <w:t>13/01</w:t>
            </w:r>
          </w:p>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bidi="hi-IN"/>
              </w:rPr>
            </w:pPr>
            <w:r>
              <w:rPr>
                <w:rFonts w:eastAsia="Arial" w:cs="Times New Roman" w:ascii="Arial" w:hAnsi="Arial"/>
                <w:strike w:val="false"/>
                <w:dstrike w:val="false"/>
                <w:sz w:val="16"/>
                <w:szCs w:val="16"/>
                <w:lang w:val="en-GB" w:eastAsia="zxx" w:bidi="hi-IN"/>
              </w:rPr>
              <w:t>2022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5" w:after="5"/>
              <w:ind w:left="0" w:right="0" w:hanging="0"/>
              <w:jc w:val="center"/>
              <w:textAlignment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08/02</w:t>
            </w:r>
          </w:p>
          <w:p>
            <w:pPr>
              <w:pStyle w:val="Normal"/>
              <w:suppressAutoHyphens w:val="false"/>
              <w:spacing w:lineRule="auto" w:line="240" w:before="5" w:after="5"/>
              <w:ind w:left="0" w:right="0" w:hanging="0"/>
              <w:jc w:val="center"/>
              <w:textAlignment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2022</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16/03</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06/04</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04/05</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01/06</w:t>
            </w:r>
          </w:p>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2022</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13/07</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10/08</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14/09</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18/10</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02/11</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14/12</w:t>
            </w:r>
          </w:p>
          <w:p>
            <w:pPr>
              <w:pStyle w:val="Normal"/>
              <w:spacing w:lineRule="auto" w:line="240" w:before="5" w:after="5"/>
              <w:ind w:left="0" w:right="0" w:hanging="0"/>
              <w:jc w:val="center"/>
              <w:rPr>
                <w:rFonts w:ascii="Arial" w:hAnsi="Arial" w:eastAsia="Arial"/>
                <w:b w:val="false"/>
                <w:b w:val="false"/>
                <w:i w:val="false"/>
                <w:i w:val="false"/>
                <w:sz w:val="16"/>
                <w:szCs w:val="16"/>
                <w:lang w:eastAsia="zxx"/>
              </w:rPr>
            </w:pPr>
            <w:r>
              <w:rPr>
                <w:rFonts w:eastAsia="Arial" w:cs="Times New Roman" w:ascii="Arial" w:hAnsi="Arial"/>
                <w:strike w:val="false"/>
                <w:dstrike w:val="false"/>
                <w:sz w:val="16"/>
                <w:szCs w:val="16"/>
                <w:lang w:val="en-GB" w:eastAsia="zxx" w:bidi="hi-IN"/>
              </w:rPr>
              <w:t>20</w:t>
            </w:r>
            <w:r>
              <w:rPr>
                <w:rFonts w:eastAsia="Arial" w:cs="Times New Roman" w:ascii="Arial" w:hAnsi="Arial"/>
                <w:strike w:val="false"/>
                <w:dstrike w:val="false"/>
                <w:sz w:val="16"/>
                <w:szCs w:val="16"/>
                <w:lang w:val="en-GB" w:eastAsia="zxx"/>
              </w:rPr>
              <w:t>22</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eastAsia="Arial" w:cs="Times New Roman"/>
                <w:b w:val="false"/>
                <w:b w:val="false"/>
                <w:i w:val="false"/>
                <w:i w:val="false"/>
                <w:strike w:val="false"/>
                <w:dstrike w:val="false"/>
                <w:sz w:val="16"/>
                <w:szCs w:val="16"/>
                <w:lang w:val="en-GB" w:eastAsia="zxx"/>
              </w:rPr>
            </w:pPr>
            <w:r>
              <w:rPr>
                <w:rFonts w:eastAsia="Arial" w:cs="Times New Roman" w:ascii="Arial" w:hAnsi="Arial"/>
                <w:strike w:val="false"/>
                <w:dstrike w:val="false"/>
                <w:sz w:val="16"/>
                <w:szCs w:val="16"/>
                <w:lang w:val="en-GB" w:eastAsia="zxx"/>
              </w:rPr>
              <w:t>−</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T, </w:t>
            </w:r>
            <w:r>
              <w:rPr>
                <w:rFonts w:cs="Times New Roman" w:ascii="Arial" w:hAnsi="Arial"/>
                <w:b/>
                <w:bCs/>
                <w:i w:val="false"/>
                <w:iCs w:val="false"/>
                <w:sz w:val="16"/>
                <w:szCs w:val="16"/>
                <w:vertAlign w:val="superscript"/>
                <w:lang w:val="en-GB"/>
              </w:rPr>
              <w:t>о</w:t>
            </w:r>
            <w:r>
              <w:rPr>
                <w:rFonts w:cs="Times New Roman" w:ascii="Arial" w:hAnsi="Arial"/>
                <w:b/>
                <w:bCs/>
                <w:i w:val="false"/>
                <w:iCs w:val="false"/>
                <w:sz w:val="16"/>
                <w:szCs w:val="16"/>
                <w:lang w:val="en-GB"/>
              </w:rPr>
              <w:t>С</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4.0</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1.1</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4.8</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5.8</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15.8</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16.4</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18.0</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22.1</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13.6</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10.1</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9.5</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5.3</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10.5</w:t>
            </w:r>
          </w:p>
        </w:tc>
      </w:tr>
      <w:tr>
        <w:trPr>
          <w:cantSplit w:val="true"/>
        </w:trPr>
        <w:tc>
          <w:tcPr>
            <w:tcW w:w="962" w:type="dxa"/>
            <w:tcBorders>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i w:val="false"/>
                <w:i w:val="false"/>
                <w:iCs w:val="false"/>
                <w:sz w:val="16"/>
                <w:szCs w:val="16"/>
              </w:rPr>
            </w:pPr>
            <w:r>
              <w:rPr>
                <w:rFonts w:cs="Times New Roman" w:ascii="Arial" w:hAnsi="Arial"/>
                <w:i w:val="false"/>
                <w:iCs w:val="false"/>
                <w:sz w:val="16"/>
                <w:szCs w:val="16"/>
                <w:lang w:val="en-GB"/>
              </w:rPr>
              <w:t xml:space="preserve">S </w:t>
            </w:r>
            <w:r>
              <w:rPr>
                <w:rFonts w:cs="Times New Roman" w:ascii="Arial" w:hAnsi="Arial"/>
                <w:i w:val="false"/>
                <w:iCs w:val="false"/>
                <w:sz w:val="16"/>
                <w:szCs w:val="16"/>
                <w:vertAlign w:val="superscript"/>
                <w:lang w:val="en-GB"/>
              </w:rPr>
              <w:t>5)</w:t>
            </w:r>
            <w:r>
              <w:rPr>
                <w:rFonts w:cs="Times New Roman" w:ascii="Arial" w:hAnsi="Arial"/>
                <w:i w:val="false"/>
                <w:iCs w:val="false"/>
                <w:sz w:val="16"/>
                <w:szCs w:val="16"/>
                <w:lang w:val="en-GB"/>
              </w:rPr>
              <w:t>, ‰</w:t>
            </w:r>
          </w:p>
        </w:tc>
        <w:tc>
          <w:tcPr>
            <w:tcW w:w="641"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4.123</w:t>
            </w:r>
          </w:p>
        </w:tc>
        <w:tc>
          <w:tcPr>
            <w:tcW w:w="646"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4.272</w:t>
            </w:r>
          </w:p>
        </w:tc>
        <w:tc>
          <w:tcPr>
            <w:tcW w:w="645"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3.606</w:t>
            </w:r>
          </w:p>
        </w:tc>
        <w:tc>
          <w:tcPr>
            <w:tcW w:w="643"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2.309</w:t>
            </w:r>
          </w:p>
        </w:tc>
        <w:tc>
          <w:tcPr>
            <w:tcW w:w="646"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3.132</w:t>
            </w:r>
          </w:p>
        </w:tc>
        <w:tc>
          <w:tcPr>
            <w:tcW w:w="642"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3.238</w:t>
            </w:r>
          </w:p>
        </w:tc>
        <w:tc>
          <w:tcPr>
            <w:tcW w:w="642"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2.847</w:t>
            </w:r>
          </w:p>
        </w:tc>
        <w:tc>
          <w:tcPr>
            <w:tcW w:w="645"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3.038</w:t>
            </w:r>
          </w:p>
        </w:tc>
        <w:tc>
          <w:tcPr>
            <w:tcW w:w="643"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3.965</w:t>
            </w:r>
          </w:p>
        </w:tc>
        <w:tc>
          <w:tcPr>
            <w:tcW w:w="644"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4.408</w:t>
            </w:r>
          </w:p>
        </w:tc>
        <w:tc>
          <w:tcPr>
            <w:tcW w:w="646"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4.148</w:t>
            </w:r>
          </w:p>
        </w:tc>
        <w:tc>
          <w:tcPr>
            <w:tcW w:w="644"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4.608</w:t>
            </w:r>
          </w:p>
        </w:tc>
        <w:tc>
          <w:tcPr>
            <w:tcW w:w="641"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3.639</w:t>
            </w:r>
          </w:p>
        </w:tc>
      </w:tr>
      <w:tr>
        <w:trPr>
          <w:cantSplit w:val="true"/>
        </w:trPr>
        <w:tc>
          <w:tcPr>
            <w:tcW w:w="9330" w:type="dxa"/>
            <w:gridSpan w:val="1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i w:val="false"/>
                <w:i w:val="false"/>
                <w:iCs w:val="false"/>
              </w:rPr>
            </w:pPr>
            <w:r>
              <w:rPr>
                <w:rFonts w:cs="Times New Roman" w:ascii="Arial" w:hAnsi="Arial"/>
                <w:i w:val="false"/>
                <w:iCs w:val="false"/>
                <w:sz w:val="16"/>
                <w:szCs w:val="16"/>
                <w:lang w:val="en-GB"/>
              </w:rPr>
              <w:t>Water intake of LNPP-1 units 3 and 4, point No. 10 in (</w:t>
            </w:r>
            <w:r>
              <w:rPr>
                <w:rFonts w:cs="Times New Roman" w:ascii="Arial" w:hAnsi="Arial"/>
                <w:i w:val="false"/>
                <w:iCs w:val="false"/>
                <w:position w:val="0"/>
                <w:sz w:val="16"/>
                <w:sz w:val="16"/>
                <w:szCs w:val="16"/>
                <w:vertAlign w:val="baseline"/>
                <w:lang w:val="en-GB"/>
              </w:rPr>
              <w:t>Program for …, 2018 *</w:t>
            </w:r>
            <w:r>
              <w:rPr>
                <w:rFonts w:cs="Times New Roman" w:ascii="Arial" w:hAnsi="Arial"/>
                <w:i w:val="false"/>
                <w:iCs w:val="false"/>
                <w:sz w:val="16"/>
                <w:szCs w:val="16"/>
                <w:lang w:val="en-US"/>
              </w:rPr>
              <w:t>)</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V </w:t>
            </w:r>
            <w:r>
              <w:rPr>
                <w:rFonts w:cs="Times New Roman" w:ascii="Arial" w:hAnsi="Arial"/>
                <w:b/>
                <w:bCs/>
                <w:i w:val="false"/>
                <w:iCs w:val="false"/>
                <w:sz w:val="16"/>
                <w:szCs w:val="16"/>
                <w:vertAlign w:val="superscript"/>
                <w:lang w:val="en-GB"/>
              </w:rPr>
              <w:t>1)</w:t>
            </w:r>
            <w:r>
              <w:rPr>
                <w:rFonts w:cs="Times New Roman" w:ascii="Arial" w:hAnsi="Arial"/>
                <w:b/>
                <w:bCs/>
                <w:i w:val="false"/>
                <w:iCs w:val="false"/>
                <w:sz w:val="16"/>
                <w:szCs w:val="16"/>
                <w:lang w:val="en-GB"/>
              </w:rPr>
              <w:t>, m</w:t>
            </w:r>
            <w:r>
              <w:rPr>
                <w:rFonts w:cs="Times New Roman" w:ascii="Arial" w:hAnsi="Arial"/>
                <w:b/>
                <w:bCs/>
                <w:i w:val="false"/>
                <w:iCs w:val="false"/>
                <w:sz w:val="16"/>
                <w:szCs w:val="16"/>
                <w:vertAlign w:val="superscript"/>
                <w:lang w:val="en-GB"/>
              </w:rPr>
              <w:t>3</w:t>
            </w:r>
            <w:r>
              <w:rPr>
                <w:rFonts w:cs="Times New Roman" w:ascii="Arial" w:hAnsi="Arial"/>
                <w:b/>
                <w:bCs/>
                <w:i w:val="false"/>
                <w:iCs w:val="false"/>
                <w:sz w:val="16"/>
                <w:szCs w:val="16"/>
                <w:lang w:val="en-GB"/>
              </w:rPr>
              <w:t>/s (LNPP-1 Units 3, 4)</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108.84</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97.80</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107.68</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102.33</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57.92</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48.99</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49.79</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76.30</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108.90</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107.01</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104.55</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105"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108.04</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89.85</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trike w:val="false"/>
                <w:dstrike w:val="false"/>
                <w:sz w:val="16"/>
                <w:szCs w:val="16"/>
                <w:lang w:val="en-GB"/>
              </w:rPr>
              <w:t>Measurement date Т and S</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/01</w:t>
            </w:r>
          </w:p>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2022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17/02</w:t>
            </w:r>
          </w:p>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2022</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23/03</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13/04</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12/05</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15/06</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13/07</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10/08</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14/09</w:t>
            </w:r>
          </w:p>
          <w:p>
            <w:pPr>
              <w:pStyle w:val="Normal"/>
              <w:spacing w:lineRule="auto" w:line="240" w:before="5" w:after="5"/>
              <w:ind w:left="0" w:right="0" w:hanging="0"/>
              <w:jc w:val="center"/>
              <w:rPr>
                <w:rFonts w:ascii="Arial" w:hAnsi="Arial"/>
                <w:sz w:val="16"/>
                <w:szCs w:val="16"/>
              </w:rPr>
            </w:pPr>
            <w:r>
              <w:rPr>
                <w:rFonts w:eastAsia="Noto Serif CJK SC" w:cs="Times New Roman" w:ascii="Arial" w:hAnsi="Arial"/>
                <w:strike w:val="false"/>
                <w:dstrike w:val="false"/>
                <w:sz w:val="16"/>
                <w:szCs w:val="16"/>
                <w:lang w:val="en-GB" w:eastAsia="zh-CN" w:bidi="hi-IN"/>
              </w:rPr>
              <w:t>20</w:t>
            </w:r>
            <w:r>
              <w:rPr>
                <w:rFonts w:cs="Times New Roman" w:ascii="Arial" w:hAnsi="Arial"/>
                <w:strike w:val="false"/>
                <w:dstrike w:val="false"/>
                <w:sz w:val="16"/>
                <w:szCs w:val="16"/>
                <w:lang w:val="en-GB"/>
              </w:rPr>
              <w:t>22</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18/10</w:t>
            </w:r>
          </w:p>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2022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02/11</w:t>
            </w:r>
          </w:p>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2022</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14/12</w:t>
            </w:r>
          </w:p>
          <w:p>
            <w:pPr>
              <w:pStyle w:val="Normal"/>
              <w:spacing w:lineRule="auto" w:line="240" w:before="5" w:after="5"/>
              <w:ind w:left="0" w:right="0" w:hanging="0"/>
              <w:jc w:val="center"/>
              <w:rPr>
                <w:rFonts w:ascii="Arial" w:hAnsi="Arial" w:eastAsia="Noto Serif CJK SC" w:cs="Times New Roman"/>
                <w:strike w:val="false"/>
                <w:dstrike w:val="false"/>
                <w:sz w:val="16"/>
                <w:szCs w:val="16"/>
                <w:lang w:val="en-GB" w:eastAsia="zh-CN" w:bidi="hi-IN"/>
              </w:rPr>
            </w:pPr>
            <w:r>
              <w:rPr>
                <w:rFonts w:eastAsia="Noto Serif CJK SC" w:cs="Times New Roman" w:ascii="Arial" w:hAnsi="Arial"/>
                <w:strike w:val="false"/>
                <w:dstrike w:val="false"/>
                <w:sz w:val="16"/>
                <w:szCs w:val="16"/>
                <w:lang w:val="en-GB" w:eastAsia="zh-CN" w:bidi="hi-IN"/>
              </w:rPr>
              <w:t>2022</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 w:after="5"/>
              <w:ind w:left="0" w:right="0" w:hanging="0"/>
              <w:jc w:val="center"/>
              <w:rPr>
                <w:rFonts w:ascii="Arial" w:hAnsi="Arial" w:cs="Times New Roman"/>
                <w:strike w:val="false"/>
                <w:dstrike w:val="false"/>
                <w:sz w:val="16"/>
                <w:szCs w:val="16"/>
                <w:lang w:val="en-GB"/>
              </w:rPr>
            </w:pPr>
            <w:r>
              <w:rPr>
                <w:rFonts w:cs="Times New Roman" w:ascii="Arial" w:hAnsi="Arial"/>
                <w:strike w:val="false"/>
                <w:dstrike w:val="false"/>
                <w:sz w:val="16"/>
                <w:szCs w:val="16"/>
                <w:lang w:val="en-GB"/>
              </w:rPr>
              <w:t>−</w:t>
            </w:r>
          </w:p>
        </w:tc>
      </w:tr>
      <w:tr>
        <w:trPr>
          <w:cantSplit w:val="true"/>
        </w:trPr>
        <w:tc>
          <w:tcPr>
            <w:tcW w:w="9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T, </w:t>
            </w:r>
            <w:r>
              <w:rPr>
                <w:rFonts w:cs="Times New Roman" w:ascii="Arial" w:hAnsi="Arial"/>
                <w:b/>
                <w:bCs/>
                <w:i w:val="false"/>
                <w:iCs w:val="false"/>
                <w:sz w:val="16"/>
                <w:szCs w:val="16"/>
                <w:vertAlign w:val="superscript"/>
                <w:lang w:val="en-GB"/>
              </w:rPr>
              <w:t>о</w:t>
            </w:r>
            <w:r>
              <w:rPr>
                <w:rFonts w:cs="Times New Roman" w:ascii="Arial" w:hAnsi="Arial"/>
                <w:b/>
                <w:bCs/>
                <w:i w:val="false"/>
                <w:iCs w:val="false"/>
                <w:sz w:val="16"/>
                <w:szCs w:val="16"/>
                <w:lang w:val="en-GB"/>
              </w:rPr>
              <w:t>С</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2.2</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0.6</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13.5</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14.7</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10.3</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17.0</w:t>
            </w:r>
          </w:p>
        </w:tc>
        <w:tc>
          <w:tcPr>
            <w:tcW w:w="64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19.0</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23.2</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13.1</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13.1</w:t>
            </w:r>
          </w:p>
        </w:tc>
        <w:tc>
          <w:tcPr>
            <w:tcW w:w="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7.6</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12.8</w:t>
            </w:r>
          </w:p>
        </w:tc>
        <w:tc>
          <w:tcPr>
            <w:tcW w:w="64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12.3</w:t>
            </w:r>
          </w:p>
        </w:tc>
      </w:tr>
      <w:tr>
        <w:trPr>
          <w:cantSplit w:val="true"/>
        </w:trPr>
        <w:tc>
          <w:tcPr>
            <w:tcW w:w="962" w:type="dxa"/>
            <w:tcBorders>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S </w:t>
            </w:r>
            <w:r>
              <w:rPr>
                <w:rFonts w:cs="Times New Roman" w:ascii="Arial" w:hAnsi="Arial"/>
                <w:i w:val="false"/>
                <w:iCs w:val="false"/>
                <w:sz w:val="16"/>
                <w:szCs w:val="16"/>
                <w:vertAlign w:val="superscript"/>
                <w:lang w:val="en-GB"/>
              </w:rPr>
              <w:t>5)</w:t>
            </w:r>
            <w:r>
              <w:rPr>
                <w:rFonts w:cs="Times New Roman" w:ascii="Arial" w:hAnsi="Arial"/>
                <w:i w:val="false"/>
                <w:iCs w:val="false"/>
                <w:sz w:val="16"/>
                <w:szCs w:val="16"/>
                <w:lang w:val="en-GB"/>
              </w:rPr>
              <w:t>, ‰</w:t>
            </w:r>
          </w:p>
        </w:tc>
        <w:tc>
          <w:tcPr>
            <w:tcW w:w="641"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3.993</w:t>
            </w:r>
          </w:p>
        </w:tc>
        <w:tc>
          <w:tcPr>
            <w:tcW w:w="646"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3.798</w:t>
            </w:r>
          </w:p>
        </w:tc>
        <w:tc>
          <w:tcPr>
            <w:tcW w:w="645"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2.311</w:t>
            </w:r>
          </w:p>
        </w:tc>
        <w:tc>
          <w:tcPr>
            <w:tcW w:w="643"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3.416</w:t>
            </w:r>
          </w:p>
        </w:tc>
        <w:tc>
          <w:tcPr>
            <w:tcW w:w="646"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3.459</w:t>
            </w:r>
          </w:p>
        </w:tc>
        <w:tc>
          <w:tcPr>
            <w:tcW w:w="642"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2.632</w:t>
            </w:r>
          </w:p>
        </w:tc>
        <w:tc>
          <w:tcPr>
            <w:tcW w:w="642"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3.050</w:t>
            </w:r>
          </w:p>
        </w:tc>
        <w:tc>
          <w:tcPr>
            <w:tcW w:w="645"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3.083</w:t>
            </w:r>
          </w:p>
        </w:tc>
        <w:tc>
          <w:tcPr>
            <w:tcW w:w="643"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4.073</w:t>
            </w:r>
          </w:p>
        </w:tc>
        <w:tc>
          <w:tcPr>
            <w:tcW w:w="644"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4.303</w:t>
            </w:r>
          </w:p>
        </w:tc>
        <w:tc>
          <w:tcPr>
            <w:tcW w:w="646"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4.342</w:t>
            </w:r>
          </w:p>
        </w:tc>
        <w:tc>
          <w:tcPr>
            <w:tcW w:w="644"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4.637</w:t>
            </w:r>
          </w:p>
        </w:tc>
        <w:tc>
          <w:tcPr>
            <w:tcW w:w="641" w:type="dxa"/>
            <w:tcBorders>
              <w:left w:val="single" w:sz="4" w:space="0" w:color="000000"/>
              <w:bottom w:val="single" w:sz="4" w:space="0" w:color="000000"/>
              <w:right w:val="single" w:sz="4" w:space="0" w:color="000000"/>
            </w:tcBorders>
            <w:vAlign w:val="center"/>
          </w:tcPr>
          <w:p>
            <w:pPr>
              <w:pStyle w:val="TableContents"/>
              <w:spacing w:before="0" w:after="0"/>
              <w:jc w:val="right"/>
              <w:rPr>
                <w:rFonts w:ascii="Arial" w:hAnsi="Arial"/>
                <w:sz w:val="16"/>
                <w:szCs w:val="16"/>
              </w:rPr>
            </w:pPr>
            <w:r>
              <w:rPr>
                <w:rFonts w:ascii="Arial" w:hAnsi="Arial"/>
                <w:sz w:val="16"/>
                <w:szCs w:val="16"/>
              </w:rPr>
              <w:t>3.590</w:t>
            </w:r>
          </w:p>
        </w:tc>
      </w:tr>
      <w:tr>
        <w:trPr>
          <w:cantSplit w:val="true"/>
        </w:trPr>
        <w:tc>
          <w:tcPr>
            <w:tcW w:w="9330" w:type="dxa"/>
            <w:gridSpan w:val="14"/>
            <w:tcBorders>
              <w:top w:val="single" w:sz="4" w:space="0" w:color="000000"/>
              <w:left w:val="single" w:sz="4" w:space="0" w:color="000000"/>
              <w:bottom w:val="single" w:sz="4" w:space="0" w:color="000000"/>
              <w:right w:val="single" w:sz="4" w:space="0" w:color="000000"/>
            </w:tcBorders>
            <w:vAlign w:val="center"/>
          </w:tcPr>
          <w:p>
            <w:pPr>
              <w:pStyle w:val="ABodyText"/>
              <w:suppressAutoHyphens w:val="false"/>
              <w:spacing w:lineRule="auto" w:line="240" w:before="62" w:after="0"/>
              <w:ind w:left="0" w:right="0" w:hanging="0"/>
              <w:jc w:val="left"/>
              <w:rPr>
                <w:rFonts w:ascii="Arial" w:hAnsi="Arial"/>
                <w:sz w:val="16"/>
                <w:szCs w:val="16"/>
              </w:rPr>
            </w:pPr>
            <w:r>
              <w:rPr>
                <w:rFonts w:ascii="Arial" w:hAnsi="Arial"/>
                <w:sz w:val="16"/>
                <w:szCs w:val="16"/>
                <w:vertAlign w:val="superscript"/>
                <w:lang w:val="en-GB"/>
              </w:rPr>
              <w:t>1)</w:t>
            </w:r>
            <w:r>
              <w:rPr>
                <w:rFonts w:ascii="Arial" w:hAnsi="Arial"/>
                <w:sz w:val="16"/>
                <w:szCs w:val="16"/>
                <w:lang w:val="en-GB"/>
              </w:rPr>
              <w:t>According to the water intake records for 2022;</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2)</w:t>
            </w:r>
            <w:r>
              <w:rPr>
                <w:rFonts w:ascii="Arial" w:hAnsi="Arial"/>
                <w:sz w:val="16"/>
                <w:szCs w:val="16"/>
                <w:vertAlign w:val="superscript"/>
                <w:lang w:val="en-US"/>
              </w:rPr>
              <w:t xml:space="preserve"> </w:t>
            </w:r>
            <w:r>
              <w:rPr>
                <w:rFonts w:ascii="Arial" w:hAnsi="Arial"/>
                <w:sz w:val="16"/>
                <w:szCs w:val="16"/>
                <w:lang w:val="en-GB"/>
              </w:rPr>
              <w:t>According to the water intake records for 2022. The lower value for January is due to block repairs;</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3)</w:t>
            </w:r>
            <w:r>
              <w:rPr>
                <w:rFonts w:ascii="Arial" w:hAnsi="Arial"/>
                <w:sz w:val="16"/>
                <w:szCs w:val="16"/>
                <w:lang w:val="en-GB"/>
              </w:rPr>
              <w:t>NPP design data;</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4)</w:t>
            </w:r>
            <w:r>
              <w:rPr>
                <w:rFonts w:ascii="Arial" w:hAnsi="Arial"/>
                <w:sz w:val="16"/>
                <w:szCs w:val="16"/>
                <w:vertAlign w:val="superscript"/>
                <w:lang w:val="en-US"/>
              </w:rPr>
              <w:t xml:space="preserve"> </w:t>
            </w:r>
            <w:r>
              <w:rPr>
                <w:rFonts w:ascii="Arial" w:hAnsi="Arial"/>
                <w:sz w:val="16"/>
                <w:szCs w:val="16"/>
                <w:lang w:val="en-GB"/>
              </w:rPr>
              <w:t>Total intake volume for the four units of LNPP-2 and the decommissioned units 1 and 2 of LNPP-1;</w:t>
            </w:r>
          </w:p>
          <w:p>
            <w:pPr>
              <w:pStyle w:val="ABodyText"/>
              <w:suppressAutoHyphens w:val="false"/>
              <w:spacing w:lineRule="auto" w:line="240" w:before="0" w:after="62"/>
              <w:ind w:left="0" w:right="0" w:hanging="0"/>
              <w:jc w:val="left"/>
              <w:rPr>
                <w:rFonts w:ascii="Arial" w:hAnsi="Arial"/>
                <w:sz w:val="16"/>
                <w:szCs w:val="16"/>
              </w:rPr>
            </w:pPr>
            <w:r>
              <w:rPr>
                <w:rFonts w:ascii="Arial" w:hAnsi="Arial"/>
                <w:sz w:val="16"/>
                <w:szCs w:val="16"/>
                <w:vertAlign w:val="superscript"/>
                <w:lang w:val="en-GB"/>
              </w:rPr>
              <w:t>5)</w:t>
            </w:r>
            <w:r>
              <w:rPr>
                <w:rFonts w:ascii="Arial" w:hAnsi="Arial"/>
                <w:sz w:val="16"/>
                <w:szCs w:val="16"/>
                <w:vertAlign w:val="superscript"/>
                <w:lang w:val="en-US"/>
              </w:rPr>
              <w:t xml:space="preserve"> </w:t>
            </w:r>
            <w:r>
              <w:rPr>
                <w:rFonts w:ascii="Arial" w:hAnsi="Arial"/>
                <w:sz w:val="16"/>
                <w:szCs w:val="16"/>
                <w:lang w:val="en-GB"/>
              </w:rPr>
              <w:t>Values are given for the dry residue.</w:t>
            </w:r>
          </w:p>
          <w:p>
            <w:pPr>
              <w:pStyle w:val="ABodyText"/>
              <w:suppressAutoHyphens w:val="false"/>
              <w:spacing w:lineRule="auto" w:line="240" w:before="0" w:after="62"/>
              <w:ind w:left="0" w:right="0" w:hanging="0"/>
              <w:jc w:val="left"/>
              <w:rPr>
                <w:rFonts w:ascii="Arial" w:hAnsi="Arial"/>
                <w:sz w:val="16"/>
                <w:szCs w:val="16"/>
              </w:rPr>
            </w:pPr>
            <w:r>
              <w:rPr>
                <w:rFonts w:ascii="Arial" w:hAnsi="Arial"/>
                <w:sz w:val="16"/>
                <w:szCs w:val="16"/>
                <w:lang w:val="en-GB"/>
              </w:rPr>
              <w:t>* Program for Regular Observations of Water Bodies and Their Protective Zones, Branch of JSC “Concern Rosenergoatom,” Leningrad Nuclear Power Plant, Sosnovy Bor, 2018.</w:t>
            </w:r>
          </w:p>
        </w:tc>
      </w:tr>
    </w:tbl>
    <w:p>
      <w:pPr>
        <w:pStyle w:val="Normal"/>
        <w:spacing w:lineRule="auto" w:line="240" w:before="62" w:after="62"/>
        <w:ind w:left="0" w:right="0" w:hanging="0"/>
        <w:rPr>
          <w:sz w:val="20"/>
          <w:szCs w:val="20"/>
          <w:lang w:val="en-GB"/>
        </w:rPr>
      </w:pPr>
      <w:r>
        <w:rPr>
          <w:b/>
          <w:bCs/>
          <w:sz w:val="20"/>
          <w:szCs w:val="20"/>
          <w:lang w:val="en-GB"/>
        </w:rPr>
      </w:r>
      <w:r>
        <w:br w:type="page"/>
      </w:r>
    </w:p>
    <w:p>
      <w:pPr>
        <w:pStyle w:val="ABodyText"/>
        <w:spacing w:lineRule="auto" w:line="240" w:before="62" w:after="62"/>
        <w:ind w:left="0" w:right="0" w:hanging="0"/>
        <w:rPr/>
      </w:pPr>
      <w:r>
        <w:rPr>
          <w:b/>
          <w:bCs/>
          <w:sz w:val="20"/>
          <w:szCs w:val="20"/>
          <w:lang w:val="en-GB"/>
        </w:rPr>
        <w:t>Table 4</w:t>
      </w:r>
      <w:r>
        <w:rPr>
          <w:sz w:val="20"/>
          <w:szCs w:val="20"/>
          <w:lang w:val="en-GB"/>
        </w:rPr>
        <w:t xml:space="preserve"> Characteristics of Discharged Water (Flow Rate </w:t>
      </w:r>
      <w:r>
        <w:rPr>
          <w:i/>
          <w:sz w:val="20"/>
          <w:szCs w:val="20"/>
          <w:lang w:val="en-GB"/>
        </w:rPr>
        <w:t>V</w:t>
      </w:r>
      <w:r>
        <w:rPr>
          <w:sz w:val="20"/>
          <w:szCs w:val="20"/>
          <w:lang w:val="en-GB"/>
        </w:rPr>
        <w:t xml:space="preserve">, Temperature </w:t>
      </w:r>
      <w:r>
        <w:rPr>
          <w:i/>
          <w:sz w:val="20"/>
          <w:szCs w:val="20"/>
          <w:lang w:val="en-GB"/>
        </w:rPr>
        <w:t>T</w:t>
      </w:r>
      <w:r>
        <w:rPr>
          <w:sz w:val="20"/>
          <w:szCs w:val="20"/>
          <w:lang w:val="en-GB"/>
        </w:rPr>
        <w:t xml:space="preserve">, Salinity </w:t>
      </w:r>
      <w:r>
        <w:rPr>
          <w:i/>
          <w:sz w:val="20"/>
          <w:szCs w:val="20"/>
          <w:lang w:val="en-GB"/>
        </w:rPr>
        <w:t>S</w:t>
      </w:r>
      <w:r>
        <w:rPr>
          <w:sz w:val="20"/>
          <w:szCs w:val="20"/>
          <w:lang w:val="en-GB"/>
        </w:rPr>
        <w:t xml:space="preserve">, Concentrations of Suspended Solids </w:t>
      </w:r>
      <w:r>
        <w:rPr>
          <w:i/>
          <w:sz w:val="20"/>
          <w:szCs w:val="20"/>
          <w:lang w:val="en-GB"/>
        </w:rPr>
        <w:t>SS</w:t>
      </w:r>
      <w:r>
        <w:rPr>
          <w:sz w:val="20"/>
          <w:szCs w:val="20"/>
          <w:lang w:val="en-GB"/>
        </w:rPr>
        <w:t xml:space="preserve">, Oil Products </w:t>
      </w:r>
      <w:r>
        <w:rPr>
          <w:i/>
          <w:sz w:val="20"/>
          <w:szCs w:val="20"/>
          <w:lang w:val="en-GB"/>
        </w:rPr>
        <w:t>OP</w:t>
      </w:r>
      <w:r>
        <w:rPr>
          <w:sz w:val="20"/>
          <w:szCs w:val="20"/>
          <w:lang w:val="en-GB"/>
        </w:rPr>
        <w:t xml:space="preserve">, Dissolved Iron </w:t>
      </w:r>
      <w:r>
        <w:rPr>
          <w:i/>
          <w:sz w:val="20"/>
          <w:szCs w:val="20"/>
          <w:lang w:val="en-GB"/>
        </w:rPr>
        <w:t>Fe</w:t>
      </w:r>
      <w:r>
        <w:rPr>
          <w:sz w:val="20"/>
          <w:szCs w:val="20"/>
          <w:lang w:val="en-GB"/>
        </w:rPr>
        <w:t xml:space="preserve">, Dissolved Oxygen </w:t>
      </w:r>
      <w:r>
        <w:rPr>
          <w:i/>
          <w:sz w:val="20"/>
          <w:szCs w:val="20"/>
          <w:lang w:val="en-GB"/>
        </w:rPr>
        <w:t>O₂</w:t>
      </w:r>
      <w:r>
        <w:rPr>
          <w:sz w:val="20"/>
          <w:szCs w:val="20"/>
          <w:lang w:val="en-GB"/>
        </w:rPr>
        <w:t xml:space="preserve">, and Hydrazine </w:t>
      </w:r>
      <w:r>
        <w:rPr>
          <w:i/>
          <w:sz w:val="20"/>
          <w:szCs w:val="20"/>
          <w:lang w:val="en-GB"/>
        </w:rPr>
        <w:t>N₂H₄</w:t>
      </w:r>
      <w:r>
        <w:rPr>
          <w:sz w:val="20"/>
          <w:szCs w:val="20"/>
          <w:lang w:val="en-GB"/>
        </w:rPr>
        <w:t>) in the Scenarios "LNPP-1 and LNPP-2" and "LNPP-2"</w:t>
      </w:r>
    </w:p>
    <w:tbl>
      <w:tblPr>
        <w:tblW w:w="9261" w:type="dxa"/>
        <w:jc w:val="center"/>
        <w:tblInd w:w="0" w:type="dxa"/>
        <w:tblCellMar>
          <w:top w:w="0" w:type="dxa"/>
          <w:left w:w="108" w:type="dxa"/>
          <w:bottom w:w="0" w:type="dxa"/>
          <w:right w:w="108" w:type="dxa"/>
        </w:tblCellMar>
      </w:tblPr>
      <w:tblGrid>
        <w:gridCol w:w="1009"/>
        <w:gridCol w:w="607"/>
        <w:gridCol w:w="655"/>
        <w:gridCol w:w="655"/>
        <w:gridCol w:w="655"/>
        <w:gridCol w:w="629"/>
        <w:gridCol w:w="635"/>
        <w:gridCol w:w="643"/>
        <w:gridCol w:w="645"/>
        <w:gridCol w:w="648"/>
        <w:gridCol w:w="650"/>
        <w:gridCol w:w="642"/>
        <w:gridCol w:w="652"/>
        <w:gridCol w:w="535"/>
      </w:tblGrid>
      <w:tr>
        <w:trPr>
          <w:cantSplit w:val="true"/>
        </w:trPr>
        <w:tc>
          <w:tcPr>
            <w:tcW w:w="100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Charasteristic</w:t>
            </w:r>
          </w:p>
        </w:tc>
        <w:tc>
          <w:tcPr>
            <w:tcW w:w="7716" w:type="dxa"/>
            <w:gridSpan w:val="1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Month</w:t>
            </w:r>
          </w:p>
        </w:tc>
        <w:tc>
          <w:tcPr>
            <w:tcW w:w="5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Annual aver. value</w:t>
            </w:r>
          </w:p>
        </w:tc>
      </w:tr>
      <w:tr>
        <w:trPr/>
        <w:tc>
          <w:tcPr>
            <w:tcW w:w="100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pPr>
            <w:r>
              <w:rPr/>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3</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4</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5</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6</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7</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8</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11</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w:t>
            </w:r>
          </w:p>
        </w:tc>
        <w:tc>
          <w:tcPr>
            <w:tcW w:w="535" w:type="dxa"/>
            <w:vMerge w:val="continu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rPr/>
            </w:pPr>
            <w:r>
              <w:rPr/>
            </w:r>
          </w:p>
        </w:tc>
      </w:tr>
      <w:tr>
        <w:trPr>
          <w:cantSplit w:val="true"/>
        </w:trPr>
        <w:tc>
          <w:tcPr>
            <w:tcW w:w="926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sz w:val="16"/>
                <w:szCs w:val="16"/>
              </w:rPr>
            </w:pPr>
            <w:r>
              <w:rPr>
                <w:rFonts w:cs="Times New Roman" w:ascii="Arial" w:hAnsi="Arial"/>
                <w:sz w:val="16"/>
                <w:szCs w:val="16"/>
                <w:lang w:val="en-GB"/>
              </w:rPr>
              <w:t xml:space="preserve"> </w:t>
            </w:r>
            <w:r>
              <w:rPr>
                <w:rFonts w:cs="Times New Roman" w:ascii="Arial" w:hAnsi="Arial"/>
                <w:sz w:val="16"/>
                <w:szCs w:val="16"/>
                <w:lang w:val="en-GB"/>
              </w:rPr>
              <w:t>Water Discharge of LNPP-1 units 1 and 2 point No. 3,</w:t>
            </w:r>
            <w:r>
              <w:rPr>
                <w:rFonts w:cs="Times New Roman" w:ascii="Arial" w:hAnsi="Arial"/>
                <w:sz w:val="16"/>
                <w:szCs w:val="16"/>
                <w:lang w:val="en-US"/>
              </w:rPr>
              <w:t xml:space="preserve"> </w:t>
            </w:r>
            <w:r>
              <w:rPr>
                <w:rFonts w:cs="Times New Roman" w:ascii="Arial" w:hAnsi="Arial"/>
                <w:sz w:val="16"/>
                <w:szCs w:val="16"/>
                <w:lang w:val="en-GB"/>
              </w:rPr>
              <w:t>discharge B1a in (Program for …, 2018 *</w:t>
            </w:r>
            <w:r>
              <w:rPr>
                <w:rFonts w:cs="Times New Roman" w:ascii="Arial" w:hAnsi="Arial"/>
                <w:sz w:val="16"/>
                <w:szCs w:val="16"/>
                <w:lang w:val="en-US"/>
              </w:rPr>
              <w:t>)</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b w:val="false"/>
                <w:b w:val="false"/>
                <w:bCs w:val="false"/>
              </w:rPr>
            </w:pPr>
            <w:r>
              <w:rPr>
                <w:rFonts w:cs="Times New Roman" w:ascii="Arial" w:hAnsi="Arial"/>
                <w:b w:val="false"/>
                <w:bCs w:val="false"/>
                <w:i w:val="false"/>
                <w:iCs w:val="false"/>
                <w:sz w:val="16"/>
                <w:szCs w:val="16"/>
                <w:lang w:val="en-GB"/>
              </w:rPr>
              <w:t xml:space="preserve">V </w:t>
            </w:r>
            <w:r>
              <w:rPr>
                <w:rFonts w:cs="Times New Roman" w:ascii="Arial" w:hAnsi="Arial"/>
                <w:b w:val="false"/>
                <w:bCs w:val="false"/>
                <w:sz w:val="16"/>
                <w:szCs w:val="16"/>
                <w:vertAlign w:val="superscript"/>
                <w:lang w:val="en-GB"/>
              </w:rPr>
              <w:t>1)</w:t>
            </w:r>
            <w:r>
              <w:rPr>
                <w:rFonts w:cs="Times New Roman" w:ascii="Arial" w:hAnsi="Arial"/>
                <w:b w:val="false"/>
                <w:bCs w:val="false"/>
                <w:sz w:val="16"/>
                <w:szCs w:val="16"/>
                <w:lang w:val="en-GB"/>
              </w:rPr>
              <w:t>, m</w:t>
            </w:r>
            <w:r>
              <w:rPr>
                <w:rFonts w:cs="Times New Roman" w:ascii="Arial" w:hAnsi="Arial"/>
                <w:b w:val="false"/>
                <w:bCs w:val="false"/>
                <w:sz w:val="16"/>
                <w:szCs w:val="16"/>
                <w:vertAlign w:val="superscript"/>
                <w:lang w:val="en-GB"/>
              </w:rPr>
              <w:t>3</w:t>
            </w:r>
            <w:r>
              <w:rPr>
                <w:rFonts w:cs="Times New Roman" w:ascii="Arial" w:hAnsi="Arial"/>
                <w:b w:val="false"/>
                <w:bCs w:val="false"/>
                <w:sz w:val="16"/>
                <w:szCs w:val="16"/>
                <w:lang w:val="en-GB"/>
              </w:rPr>
              <w:t>/s</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2.51</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2.27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2.50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2.24</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2.51</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2.43</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2.67</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2.51</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2.08</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1.09</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1.05</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3.71</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2.30</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sz w:val="16"/>
                <w:szCs w:val="16"/>
                <w:lang w:val="en-GB"/>
              </w:rPr>
              <w:t xml:space="preserve">Measurement date </w:t>
            </w:r>
            <w:r>
              <w:rPr>
                <w:rFonts w:cs="Times New Roman" w:ascii="Arial" w:hAnsi="Arial"/>
                <w:i/>
                <w:iCs/>
                <w:sz w:val="16"/>
                <w:szCs w:val="16"/>
                <w:lang w:val="en-GB"/>
              </w:rPr>
              <w:t>T, S</w:t>
            </w:r>
            <w:r>
              <w:rPr>
                <w:rFonts w:cs="Times New Roman" w:ascii="Arial" w:hAnsi="Arial"/>
                <w:sz w:val="16"/>
                <w:szCs w:val="16"/>
                <w:lang w:val="en-GB"/>
              </w:rPr>
              <w:t xml:space="preserve"> and</w:t>
            </w:r>
            <w:r>
              <w:rPr>
                <w:rFonts w:cs="Times New Roman" w:ascii="Arial" w:hAnsi="Arial"/>
                <w:i/>
                <w:iCs/>
                <w:sz w:val="16"/>
                <w:szCs w:val="16"/>
                <w:lang w:val="en-GB"/>
              </w:rPr>
              <w:t xml:space="preserve"> C</w:t>
            </w:r>
            <w:r>
              <w:rPr>
                <w:rFonts w:cs="Times New Roman" w:ascii="Arial" w:hAnsi="Arial"/>
                <w:i/>
                <w:iCs/>
                <w:sz w:val="16"/>
                <w:szCs w:val="16"/>
                <w:vertAlign w:val="subscript"/>
                <w:lang w:val="en-GB"/>
              </w:rPr>
              <w:t>i</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w w:val="91"/>
                <w:kern w:val="0"/>
                <w:sz w:val="16"/>
                <w:szCs w:val="16"/>
                <w:lang w:val="en-GB"/>
              </w:rPr>
            </w:pPr>
            <w:r>
              <w:rPr>
                <w:rFonts w:cs="Times New Roman" w:ascii="Arial" w:hAnsi="Arial"/>
                <w:spacing w:val="0"/>
                <w:w w:val="91"/>
                <w:kern w:val="0"/>
                <w:sz w:val="16"/>
                <w:szCs w:val="16"/>
                <w:lang w:val="en-GB"/>
              </w:rPr>
              <w:t>13/01</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w w:val="91"/>
                <w:kern w:val="0"/>
                <w:sz w:val="16"/>
                <w:szCs w:val="16"/>
                <w:lang w:val="en-GB"/>
              </w:rPr>
              <w:t>2022</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08/02</w:t>
            </w:r>
          </w:p>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2022</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76" w:before="0" w:after="0"/>
              <w:ind w:left="0" w:right="0" w:hanging="0"/>
              <w:jc w:val="center"/>
              <w:rPr>
                <w:rFonts w:ascii="Arial" w:hAnsi="Arial"/>
                <w:spacing w:val="0"/>
                <w:sz w:val="16"/>
                <w:szCs w:val="16"/>
              </w:rPr>
            </w:pPr>
            <w:r>
              <w:rPr>
                <w:rFonts w:cs="Times New Roman" w:ascii="Arial" w:hAnsi="Arial"/>
                <w:spacing w:val="0"/>
                <w:kern w:val="0"/>
                <w:sz w:val="16"/>
                <w:szCs w:val="16"/>
                <w:lang w:val="en-GB"/>
              </w:rPr>
              <w:t>16/03</w:t>
            </w:r>
          </w:p>
          <w:p>
            <w:pPr>
              <w:pStyle w:val="Normal"/>
              <w:spacing w:lineRule="auto" w:line="276" w:before="0" w:after="0"/>
              <w:ind w:left="0" w:right="0" w:hanging="0"/>
              <w:jc w:val="center"/>
              <w:rPr>
                <w:rFonts w:ascii="Arial" w:hAnsi="Arial"/>
                <w:spacing w:val="0"/>
                <w:sz w:val="16"/>
                <w:szCs w:val="16"/>
              </w:rPr>
            </w:pPr>
            <w:r>
              <w:rPr>
                <w:rFonts w:cs="Times New Roman" w:ascii="Arial" w:hAnsi="Arial"/>
                <w:spacing w:val="0"/>
                <w:kern w:val="0"/>
                <w:sz w:val="16"/>
                <w:szCs w:val="16"/>
                <w:lang w:val="en-GB"/>
              </w:rPr>
              <w:t>2022</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06/04</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04/05</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01/06</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18/07</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10/08</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14/09</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18/10</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02/11</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0" w:after="0"/>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14/12</w:t>
            </w:r>
          </w:p>
          <w:p>
            <w:pPr>
              <w:pStyle w:val="Normal"/>
              <w:spacing w:lineRule="auto" w:line="240" w:before="0" w:after="0"/>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22</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Т, </w:t>
            </w:r>
            <w:r>
              <w:rPr>
                <w:rFonts w:cs="Times New Roman" w:ascii="Arial" w:hAnsi="Arial"/>
                <w:b/>
                <w:bCs/>
                <w:i w:val="false"/>
                <w:iCs w:val="false"/>
                <w:sz w:val="16"/>
                <w:szCs w:val="16"/>
                <w:vertAlign w:val="superscript"/>
                <w:lang w:val="en-GB"/>
              </w:rPr>
              <w:t>°</w:t>
            </w:r>
            <w:r>
              <w:rPr>
                <w:rFonts w:cs="Times New Roman" w:ascii="Arial" w:hAnsi="Arial"/>
                <w:b/>
                <w:bCs/>
                <w:i w:val="false"/>
                <w:iCs w:val="false"/>
                <w:sz w:val="16"/>
                <w:szCs w:val="16"/>
                <w:lang w:val="en-GB"/>
              </w:rPr>
              <w:t>С</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8.0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3.1</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11.3</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5.8</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13.9</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15.4</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18.2</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22.4</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13.4</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12.1</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9.2</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8.7</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11.8</w:t>
            </w:r>
          </w:p>
        </w:tc>
      </w:tr>
      <w:tr>
        <w:trPr>
          <w:cantSplit w:val="true"/>
        </w:trPr>
        <w:tc>
          <w:tcPr>
            <w:tcW w:w="1009" w:type="dxa"/>
            <w:tcBorders>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S </w:t>
            </w:r>
            <w:r>
              <w:rPr>
                <w:rFonts w:cs="Times New Roman" w:ascii="Arial" w:hAnsi="Arial"/>
                <w:i w:val="false"/>
                <w:iCs w:val="false"/>
                <w:sz w:val="16"/>
                <w:szCs w:val="16"/>
                <w:vertAlign w:val="superscript"/>
                <w:lang w:val="en-GB"/>
              </w:rPr>
              <w:t>2)</w:t>
            </w:r>
            <w:r>
              <w:rPr>
                <w:rFonts w:cs="Times New Roman" w:ascii="Arial" w:hAnsi="Arial"/>
                <w:i w:val="false"/>
                <w:iCs w:val="false"/>
                <w:sz w:val="16"/>
                <w:szCs w:val="16"/>
                <w:lang w:val="en-GB"/>
              </w:rPr>
              <w:t>, ‰</w:t>
            </w:r>
          </w:p>
        </w:tc>
        <w:tc>
          <w:tcPr>
            <w:tcW w:w="607"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4.090</w:t>
            </w:r>
          </w:p>
        </w:tc>
        <w:tc>
          <w:tcPr>
            <w:tcW w:w="65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4.237</w:t>
            </w:r>
          </w:p>
        </w:tc>
        <w:tc>
          <w:tcPr>
            <w:tcW w:w="65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3.572</w:t>
            </w:r>
          </w:p>
        </w:tc>
        <w:tc>
          <w:tcPr>
            <w:tcW w:w="65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2.190</w:t>
            </w:r>
          </w:p>
        </w:tc>
        <w:tc>
          <w:tcPr>
            <w:tcW w:w="629"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2.801</w:t>
            </w:r>
          </w:p>
        </w:tc>
        <w:tc>
          <w:tcPr>
            <w:tcW w:w="63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3.212</w:t>
            </w:r>
          </w:p>
        </w:tc>
        <w:tc>
          <w:tcPr>
            <w:tcW w:w="643"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2.559</w:t>
            </w:r>
          </w:p>
        </w:tc>
        <w:tc>
          <w:tcPr>
            <w:tcW w:w="64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3.022</w:t>
            </w:r>
          </w:p>
        </w:tc>
        <w:tc>
          <w:tcPr>
            <w:tcW w:w="648"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3.768</w:t>
            </w:r>
          </w:p>
        </w:tc>
        <w:tc>
          <w:tcPr>
            <w:tcW w:w="650"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4.203</w:t>
            </w:r>
          </w:p>
        </w:tc>
        <w:tc>
          <w:tcPr>
            <w:tcW w:w="642"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4.098</w:t>
            </w:r>
          </w:p>
        </w:tc>
        <w:tc>
          <w:tcPr>
            <w:tcW w:w="652"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4.457</w:t>
            </w:r>
          </w:p>
        </w:tc>
        <w:tc>
          <w:tcPr>
            <w:tcW w:w="53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3.516</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sz w:val="16"/>
                <w:szCs w:val="16"/>
              </w:rPr>
            </w:pPr>
            <w:r>
              <w:rPr>
                <w:rFonts w:cs="Times New Roman" w:ascii="Arial" w:hAnsi="Arial"/>
                <w:i w:val="false"/>
                <w:iCs w:val="false"/>
                <w:sz w:val="16"/>
                <w:szCs w:val="16"/>
                <w:lang w:val="en-GB"/>
              </w:rPr>
              <w:t>Suspended Solids (SS)</w:t>
            </w:r>
            <w:r>
              <w:rPr>
                <w:rFonts w:cs="Times New Roman" w:ascii="Arial" w:hAnsi="Arial"/>
                <w:sz w:val="16"/>
                <w:szCs w:val="16"/>
                <w:lang w:val="en-GB"/>
              </w:rPr>
              <w:t>, mg/dm</w:t>
            </w:r>
            <w:r>
              <w:rPr>
                <w:rFonts w:cs="Times New Roman" w:ascii="Arial" w:hAnsi="Arial"/>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2.4</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2.2</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0.6</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2.3</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2.8</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0.5</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1.9</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2.8</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1.3</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1.3</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1.5</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1.7</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Oil Products (OP),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0.027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0.017</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0.004</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&lt;0.005</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0.009</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0.018</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0.013</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0.005</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0.008</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0.014</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0.012</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Total Iron (Fe),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0.24</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0.23</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0.47</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0.39</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0.20</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0.24</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0.24</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0.36</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0.27</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0.36</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0.26</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0.297</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Dissolved oxygen (</w:t>
            </w:r>
            <w:r>
              <w:rPr>
                <w:rFonts w:cs="Times New Roman" w:ascii="Arial" w:hAnsi="Arial"/>
                <w:i w:val="false"/>
                <w:iCs w:val="false"/>
                <w:sz w:val="16"/>
                <w:szCs w:val="16"/>
                <w:lang w:val="en-GB"/>
              </w:rPr>
              <w:t>O</w:t>
            </w:r>
            <w:r>
              <w:rPr>
                <w:rFonts w:cs="Times New Roman" w:ascii="Arial" w:hAnsi="Arial"/>
                <w:i w:val="false"/>
                <w:iCs w:val="false"/>
                <w:sz w:val="16"/>
                <w:szCs w:val="16"/>
                <w:vertAlign w:val="subscript"/>
                <w:lang w:val="en-GB"/>
              </w:rPr>
              <w:t>2</w:t>
            </w:r>
            <w:r>
              <w:rPr>
                <w:rFonts w:cs="Times New Roman" w:ascii="Arial" w:hAnsi="Arial"/>
                <w:i w:val="false"/>
                <w:iCs w:val="false"/>
                <w:sz w:val="16"/>
                <w:szCs w:val="16"/>
                <w:lang w:val="en-GB"/>
              </w:rPr>
              <w:t>),</w:t>
            </w:r>
            <w:r>
              <w:rPr>
                <w:rFonts w:cs="Times New Roman" w:ascii="Arial" w:hAnsi="Arial"/>
                <w:i w:val="false"/>
                <w:iCs w:val="false"/>
                <w:sz w:val="16"/>
                <w:szCs w:val="16"/>
                <w:lang w:val="en-GB"/>
              </w:rPr>
              <w:t xml:space="preserve"> mgO</w:t>
            </w:r>
            <w:r>
              <w:rPr>
                <w:rFonts w:cs="Times New Roman" w:ascii="Arial" w:hAnsi="Arial"/>
                <w:i w:val="false"/>
                <w:iCs w:val="false"/>
                <w:sz w:val="16"/>
                <w:szCs w:val="16"/>
                <w:vertAlign w:val="subscript"/>
                <w:lang w:val="en-GB"/>
              </w:rPr>
              <w:t>2</w:t>
            </w:r>
            <w:r>
              <w:rPr>
                <w:rFonts w:cs="Times New Roman" w:ascii="Arial" w:hAnsi="Arial"/>
                <w:i w:val="false"/>
                <w:iCs w:val="false"/>
                <w:sz w:val="16"/>
                <w:szCs w:val="16"/>
                <w:lang w:val="en-GB"/>
              </w:rPr>
              <w:t>/dm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12.85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12.73</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12.70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12.31</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10.77</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9.75</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8.77</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9.22</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9.53</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9.80</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10.78</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12.40</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10.97</w:t>
            </w:r>
          </w:p>
        </w:tc>
      </w:tr>
      <w:tr>
        <w:trPr>
          <w:cantSplit w:val="true"/>
        </w:trPr>
        <w:tc>
          <w:tcPr>
            <w:tcW w:w="926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sz w:val="16"/>
                <w:szCs w:val="16"/>
              </w:rPr>
            </w:pPr>
            <w:r>
              <w:rPr>
                <w:rFonts w:cs="Times New Roman" w:ascii="Arial" w:hAnsi="Arial"/>
                <w:sz w:val="16"/>
                <w:szCs w:val="16"/>
                <w:lang w:val="en-GB"/>
              </w:rPr>
              <w:t xml:space="preserve">Water Discharge of LNPP-1 units 3 and 4, point No. 11 </w:t>
            </w:r>
            <w:r>
              <w:rPr>
                <w:rFonts w:cs="Times New Roman" w:ascii="Arial" w:hAnsi="Arial"/>
                <w:sz w:val="16"/>
                <w:szCs w:val="16"/>
                <w:lang w:val="en-US"/>
              </w:rPr>
              <w:t>at the channel</w:t>
            </w:r>
            <w:r>
              <w:rPr>
                <w:rFonts w:cs="Times New Roman" w:ascii="Arial" w:hAnsi="Arial"/>
                <w:sz w:val="16"/>
                <w:szCs w:val="16"/>
                <w:lang w:val="en-GB"/>
              </w:rPr>
              <w:t xml:space="preserve"> discharge B</w:t>
            </w:r>
            <w:r>
              <w:rPr>
                <w:rFonts w:eastAsia="Times New Roman" w:cs="Times New Roman" w:ascii="Arial" w:hAnsi="Arial"/>
                <w:color w:val="000000"/>
                <w:kern w:val="2"/>
                <w:sz w:val="16"/>
                <w:szCs w:val="16"/>
                <w:lang w:val="en-GB" w:eastAsia="en-US" w:bidi="ar-SA"/>
              </w:rPr>
              <w:t>6</w:t>
            </w:r>
            <w:r>
              <w:rPr>
                <w:rFonts w:cs="Times New Roman" w:ascii="Arial" w:hAnsi="Arial"/>
                <w:sz w:val="16"/>
                <w:szCs w:val="16"/>
                <w:lang w:val="en-GB"/>
              </w:rPr>
              <w:t>a in (Program for …, 2018 *</w:t>
            </w:r>
            <w:r>
              <w:rPr>
                <w:rFonts w:cs="Times New Roman" w:ascii="Arial" w:hAnsi="Arial"/>
                <w:sz w:val="16"/>
                <w:szCs w:val="16"/>
                <w:lang w:val="en-US"/>
              </w:rPr>
              <w:t>)</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rFonts w:ascii="Arial" w:hAnsi="Arial"/>
                <w:b/>
                <w:b/>
                <w:bCs/>
                <w:sz w:val="16"/>
                <w:szCs w:val="16"/>
              </w:rPr>
            </w:pPr>
            <w:r>
              <w:rPr>
                <w:rFonts w:cs="Times New Roman" w:ascii="Arial" w:hAnsi="Arial"/>
                <w:b/>
                <w:bCs/>
                <w:i w:val="false"/>
                <w:iCs w:val="false"/>
                <w:sz w:val="16"/>
                <w:szCs w:val="16"/>
                <w:lang w:val="en-GB"/>
              </w:rPr>
              <w:t>V</w:t>
            </w:r>
            <w:r>
              <w:rPr>
                <w:rFonts w:cs="Times New Roman" w:ascii="Arial" w:hAnsi="Arial"/>
                <w:b/>
                <w:bCs/>
                <w:i/>
                <w:iCs/>
                <w:sz w:val="16"/>
                <w:szCs w:val="16"/>
                <w:lang w:val="en-GB"/>
              </w:rPr>
              <w:t xml:space="preserve"> </w:t>
            </w:r>
            <w:r>
              <w:rPr>
                <w:rFonts w:cs="Times New Roman" w:ascii="Arial" w:hAnsi="Arial"/>
                <w:b/>
                <w:bCs/>
                <w:sz w:val="16"/>
                <w:szCs w:val="16"/>
                <w:vertAlign w:val="superscript"/>
                <w:lang w:val="en-GB"/>
              </w:rPr>
              <w:t>1)</w:t>
            </w:r>
            <w:r>
              <w:rPr>
                <w:rFonts w:cs="Times New Roman" w:ascii="Arial" w:hAnsi="Arial"/>
                <w:b/>
                <w:bCs/>
                <w:sz w:val="16"/>
                <w:szCs w:val="16"/>
                <w:lang w:val="en-GB"/>
              </w:rPr>
              <w:t>,</w:t>
            </w:r>
          </w:p>
          <w:p>
            <w:pPr>
              <w:pStyle w:val="Normal"/>
              <w:spacing w:lineRule="auto" w:line="240" w:before="62" w:after="62"/>
              <w:ind w:left="0" w:right="0" w:hanging="0"/>
              <w:rPr>
                <w:rFonts w:ascii="Arial" w:hAnsi="Arial"/>
                <w:b/>
                <w:b/>
                <w:bCs/>
                <w:sz w:val="16"/>
                <w:szCs w:val="16"/>
              </w:rPr>
            </w:pPr>
            <w:r>
              <w:rPr>
                <w:rFonts w:cs="Times New Roman" w:ascii="Arial" w:hAnsi="Arial"/>
                <w:b/>
                <w:bCs/>
                <w:sz w:val="16"/>
                <w:szCs w:val="16"/>
                <w:lang w:val="en-GB"/>
              </w:rPr>
              <w:t>m</w:t>
            </w:r>
            <w:r>
              <w:rPr>
                <w:rFonts w:cs="Times New Roman" w:ascii="Arial" w:hAnsi="Arial"/>
                <w:b/>
                <w:bCs/>
                <w:sz w:val="16"/>
                <w:szCs w:val="16"/>
                <w:vertAlign w:val="superscript"/>
                <w:lang w:val="en-GB"/>
              </w:rPr>
              <w:t>3</w:t>
            </w:r>
            <w:r>
              <w:rPr>
                <w:rFonts w:cs="Times New Roman" w:ascii="Arial" w:hAnsi="Arial"/>
                <w:b/>
                <w:bCs/>
                <w:sz w:val="16"/>
                <w:szCs w:val="16"/>
                <w:lang w:val="en-GB"/>
              </w:rPr>
              <w:t>/s</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107.09</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96.15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105.64</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100.59</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56.6</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47.8</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48.55</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74.79</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109.53</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105.22</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102.79</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104.09</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88.24</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Measurement date T, S and C</w:t>
            </w:r>
            <w:r>
              <w:rPr>
                <w:rFonts w:cs="Times New Roman" w:ascii="Arial" w:hAnsi="Arial"/>
                <w:i w:val="false"/>
                <w:iCs w:val="false"/>
                <w:sz w:val="16"/>
                <w:szCs w:val="16"/>
                <w:vertAlign w:val="subscript"/>
                <w:lang w:val="en-GB"/>
              </w:rPr>
              <w:t>i</w:t>
            </w:r>
            <w:r>
              <w:rPr>
                <w:rFonts w:cs="Times New Roman" w:ascii="Arial" w:hAnsi="Arial"/>
                <w:i w:val="false"/>
                <w:iCs w:val="false"/>
                <w:sz w:val="16"/>
                <w:szCs w:val="16"/>
                <w:lang w:val="en-GB"/>
              </w:rPr>
              <w:t xml:space="preserve"> </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w:t>
            </w:r>
            <w:r>
              <w:rPr>
                <w:rFonts w:cs="Times New Roman" w:ascii="Arial" w:hAnsi="Arial"/>
                <w:spacing w:val="0"/>
                <w:kern w:val="0"/>
                <w:sz w:val="16"/>
                <w:szCs w:val="16"/>
                <w:lang w:val="en-GB"/>
              </w:rPr>
              <w:t>5/01</w:t>
            </w:r>
          </w:p>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2017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15/02</w:t>
            </w:r>
          </w:p>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2017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15/03</w:t>
            </w:r>
          </w:p>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2017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19/04</w:t>
            </w:r>
          </w:p>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2017</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10/05</w:t>
            </w:r>
          </w:p>
          <w:p>
            <w:pPr>
              <w:pStyle w:val="Normal"/>
              <w:spacing w:lineRule="auto" w:line="240" w:before="5" w:after="5"/>
              <w:ind w:left="0" w:right="0" w:hanging="0"/>
              <w:jc w:val="center"/>
              <w:rPr>
                <w:rFonts w:ascii="Arial" w:hAnsi="Arial"/>
                <w:spacing w:val="0"/>
                <w:sz w:val="16"/>
                <w:szCs w:val="16"/>
              </w:rPr>
            </w:pPr>
            <w:r>
              <w:rPr>
                <w:rFonts w:cs="Times New Roman" w:ascii="Arial" w:hAnsi="Arial"/>
                <w:spacing w:val="0"/>
                <w:kern w:val="0"/>
                <w:sz w:val="16"/>
                <w:szCs w:val="16"/>
                <w:lang w:val="en-GB" w:eastAsia="zh-CN" w:bidi="hi-IN"/>
              </w:rPr>
              <w:t>20</w:t>
            </w:r>
            <w:r>
              <w:rPr>
                <w:rFonts w:cs="Times New Roman" w:ascii="Arial" w:hAnsi="Arial"/>
                <w:spacing w:val="0"/>
                <w:kern w:val="0"/>
                <w:sz w:val="16"/>
                <w:szCs w:val="16"/>
                <w:lang w:val="en-GB"/>
              </w:rPr>
              <w:t>17</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14/06</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19/07</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17/08</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27/09</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18/10</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29/11</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5" w:after="5"/>
              <w:ind w:left="0" w:right="0" w:hanging="0"/>
              <w:jc w:val="center"/>
              <w:rPr>
                <w:rFonts w:ascii="Arial" w:hAnsi="Arial" w:cs="Times New Roman"/>
                <w:spacing w:val="0"/>
                <w:kern w:val="0"/>
                <w:sz w:val="16"/>
                <w:szCs w:val="16"/>
                <w:lang w:val="en-GB"/>
              </w:rPr>
            </w:pPr>
            <w:r>
              <w:rPr>
                <w:rFonts w:cs="Times New Roman" w:ascii="Arial" w:hAnsi="Arial"/>
                <w:spacing w:val="0"/>
                <w:kern w:val="0"/>
                <w:sz w:val="16"/>
                <w:szCs w:val="16"/>
                <w:lang w:val="en-GB"/>
              </w:rPr>
              <w:t>13/12</w:t>
            </w:r>
          </w:p>
          <w:p>
            <w:pPr>
              <w:pStyle w:val="Normal"/>
              <w:spacing w:lineRule="auto" w:line="240" w:before="5" w:after="5"/>
              <w:ind w:left="0" w:right="0" w:hanging="0"/>
              <w:jc w:val="center"/>
              <w:rPr>
                <w:rFonts w:ascii="Arial" w:hAnsi="Arial" w:cs="Times New Roman"/>
                <w:spacing w:val="0"/>
                <w:kern w:val="0"/>
                <w:sz w:val="16"/>
                <w:szCs w:val="16"/>
                <w:lang w:val="en-GB" w:eastAsia="zh-CN" w:bidi="hi-IN"/>
              </w:rPr>
            </w:pPr>
            <w:r>
              <w:rPr>
                <w:rFonts w:cs="Times New Roman" w:ascii="Arial" w:hAnsi="Arial"/>
                <w:spacing w:val="0"/>
                <w:kern w:val="0"/>
                <w:sz w:val="16"/>
                <w:szCs w:val="16"/>
                <w:lang w:val="en-GB" w:eastAsia="zh-CN" w:bidi="hi-IN"/>
              </w:rPr>
              <w:t>2017</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pacing w:val="0"/>
                <w:sz w:val="16"/>
                <w:szCs w:val="16"/>
                <w:lang w:val="en-GB"/>
              </w:rPr>
            </w:pPr>
            <w:r>
              <w:rPr>
                <w:rFonts w:cs="Times New Roman" w:ascii="Arial" w:hAnsi="Arial"/>
                <w:spacing w:val="0"/>
                <w:sz w:val="16"/>
                <w:szCs w:val="16"/>
                <w:lang w:val="en-GB"/>
              </w:rPr>
              <w:t>−</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Т, </w:t>
            </w:r>
            <w:r>
              <w:rPr>
                <w:rFonts w:cs="Times New Roman" w:ascii="Arial" w:hAnsi="Arial"/>
                <w:b/>
                <w:bCs/>
                <w:i w:val="false"/>
                <w:iCs w:val="false"/>
                <w:sz w:val="16"/>
                <w:szCs w:val="16"/>
                <w:vertAlign w:val="superscript"/>
                <w:lang w:val="en-GB"/>
              </w:rPr>
              <w:t>°</w:t>
            </w:r>
            <w:r>
              <w:rPr>
                <w:rFonts w:cs="Times New Roman" w:ascii="Arial" w:hAnsi="Arial"/>
                <w:b/>
                <w:bCs/>
                <w:i w:val="false"/>
                <w:iCs w:val="false"/>
                <w:sz w:val="16"/>
                <w:szCs w:val="16"/>
                <w:lang w:val="en-GB"/>
              </w:rPr>
              <w:t>С</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10.6</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14.6</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22.8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15.4</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17.2</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22.6</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26.6</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28.2</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19.4</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18.8</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24.3</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7.2</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19.0</w:t>
            </w:r>
          </w:p>
        </w:tc>
      </w:tr>
      <w:tr>
        <w:trPr>
          <w:cantSplit w:val="true"/>
        </w:trPr>
        <w:tc>
          <w:tcPr>
            <w:tcW w:w="1009" w:type="dxa"/>
            <w:tcBorders>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S </w:t>
            </w:r>
            <w:r>
              <w:rPr>
                <w:rFonts w:cs="Times New Roman" w:ascii="Arial" w:hAnsi="Arial"/>
                <w:i w:val="false"/>
                <w:iCs w:val="false"/>
                <w:sz w:val="16"/>
                <w:szCs w:val="16"/>
                <w:vertAlign w:val="superscript"/>
                <w:lang w:val="en-GB"/>
              </w:rPr>
              <w:t>2)</w:t>
            </w:r>
            <w:r>
              <w:rPr>
                <w:rFonts w:cs="Times New Roman" w:ascii="Arial" w:hAnsi="Arial"/>
                <w:i w:val="false"/>
                <w:iCs w:val="false"/>
                <w:sz w:val="16"/>
                <w:szCs w:val="16"/>
                <w:lang w:val="en-GB"/>
              </w:rPr>
              <w:t>, ‰</w:t>
            </w:r>
          </w:p>
        </w:tc>
        <w:tc>
          <w:tcPr>
            <w:tcW w:w="607"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3.209</w:t>
            </w:r>
          </w:p>
        </w:tc>
        <w:tc>
          <w:tcPr>
            <w:tcW w:w="65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2.697</w:t>
            </w:r>
          </w:p>
        </w:tc>
        <w:tc>
          <w:tcPr>
            <w:tcW w:w="65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3.465</w:t>
            </w:r>
          </w:p>
        </w:tc>
        <w:tc>
          <w:tcPr>
            <w:tcW w:w="65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3.630</w:t>
            </w:r>
          </w:p>
        </w:tc>
        <w:tc>
          <w:tcPr>
            <w:tcW w:w="629"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3.602</w:t>
            </w:r>
          </w:p>
        </w:tc>
        <w:tc>
          <w:tcPr>
            <w:tcW w:w="63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3.587</w:t>
            </w:r>
          </w:p>
        </w:tc>
        <w:tc>
          <w:tcPr>
            <w:tcW w:w="643"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2.973</w:t>
            </w:r>
          </w:p>
        </w:tc>
        <w:tc>
          <w:tcPr>
            <w:tcW w:w="64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2.820</w:t>
            </w:r>
          </w:p>
        </w:tc>
        <w:tc>
          <w:tcPr>
            <w:tcW w:w="648"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3.825</w:t>
            </w:r>
          </w:p>
        </w:tc>
        <w:tc>
          <w:tcPr>
            <w:tcW w:w="650"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4.244</w:t>
            </w:r>
          </w:p>
        </w:tc>
        <w:tc>
          <w:tcPr>
            <w:tcW w:w="642"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2.868</w:t>
            </w:r>
          </w:p>
        </w:tc>
        <w:tc>
          <w:tcPr>
            <w:tcW w:w="652"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3.663</w:t>
            </w:r>
          </w:p>
        </w:tc>
        <w:tc>
          <w:tcPr>
            <w:tcW w:w="535" w:type="dxa"/>
            <w:tcBorders>
              <w:left w:val="single" w:sz="4" w:space="0" w:color="000000"/>
              <w:bottom w:val="single" w:sz="4" w:space="0" w:color="000000"/>
              <w:right w:val="single" w:sz="4" w:space="0" w:color="000000"/>
            </w:tcBorders>
            <w:tcMar>
              <w:left w:w="57" w:type="dxa"/>
              <w:right w:w="57" w:type="dxa"/>
            </w:tcMar>
            <w:vAlign w:val="center"/>
          </w:tcPr>
          <w:p>
            <w:pPr>
              <w:pStyle w:val="TableContents"/>
              <w:spacing w:before="0" w:after="0"/>
              <w:jc w:val="right"/>
              <w:rPr>
                <w:rFonts w:ascii="Arial" w:hAnsi="Arial"/>
                <w:sz w:val="16"/>
                <w:szCs w:val="16"/>
              </w:rPr>
            </w:pPr>
            <w:r>
              <w:rPr>
                <w:rFonts w:ascii="Arial" w:hAnsi="Arial"/>
                <w:sz w:val="16"/>
                <w:szCs w:val="16"/>
              </w:rPr>
              <w:t>3.382</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Suspended Solids (SS),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3.0</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1.5</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1.5</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5.0</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3.5</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3.5</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&lt; 3.0</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&lt; 3.0</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2.4</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Oil Products (OP),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0.009</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0.008</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0.011</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0.014</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0.014</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0.024</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0.011</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Total Iron (Fe),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0.19</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0.22</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0.27</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0.29</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0.18</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0.22</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0.86</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0.19</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0.48</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0.30</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Dissolved oxygen (</w:t>
            </w:r>
            <w:r>
              <w:rPr>
                <w:rFonts w:cs="Times New Roman" w:ascii="Arial" w:hAnsi="Arial"/>
                <w:i w:val="false"/>
                <w:iCs w:val="false"/>
                <w:sz w:val="16"/>
                <w:szCs w:val="16"/>
                <w:lang w:val="en-GB"/>
              </w:rPr>
              <w:t>O</w:t>
            </w:r>
            <w:r>
              <w:rPr>
                <w:rFonts w:cs="Times New Roman" w:ascii="Arial" w:hAnsi="Arial"/>
                <w:i w:val="false"/>
                <w:iCs w:val="false"/>
                <w:sz w:val="16"/>
                <w:szCs w:val="16"/>
                <w:vertAlign w:val="subscript"/>
                <w:lang w:val="en-GB"/>
              </w:rPr>
              <w:t>2</w:t>
            </w:r>
            <w:r>
              <w:rPr>
                <w:rFonts w:cs="Times New Roman" w:ascii="Arial" w:hAnsi="Arial"/>
                <w:i w:val="false"/>
                <w:iCs w:val="false"/>
                <w:sz w:val="16"/>
                <w:szCs w:val="16"/>
                <w:lang w:val="en-GB"/>
              </w:rPr>
              <w:t>)</w:t>
            </w:r>
            <w:r>
              <w:rPr>
                <w:rFonts w:cs="Times New Roman" w:ascii="Arial" w:hAnsi="Arial"/>
                <w:i w:val="false"/>
                <w:iCs w:val="false"/>
                <w:sz w:val="16"/>
                <w:szCs w:val="16"/>
                <w:lang w:val="en-GB"/>
              </w:rPr>
              <w:t>, mgO</w:t>
            </w:r>
            <w:r>
              <w:rPr>
                <w:rFonts w:cs="Times New Roman" w:ascii="Arial" w:hAnsi="Arial"/>
                <w:i w:val="false"/>
                <w:iCs w:val="false"/>
                <w:sz w:val="16"/>
                <w:szCs w:val="16"/>
                <w:vertAlign w:val="subscript"/>
                <w:lang w:val="en-GB"/>
              </w:rPr>
              <w:t>2</w:t>
            </w:r>
            <w:r>
              <w:rPr>
                <w:rFonts w:cs="Times New Roman" w:ascii="Arial" w:hAnsi="Arial"/>
                <w:i w:val="false"/>
                <w:iCs w:val="false"/>
                <w:sz w:val="16"/>
                <w:szCs w:val="16"/>
                <w:lang w:val="en-GB"/>
              </w:rPr>
              <w:t>/dm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10.90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10.20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8.50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9.85</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9.60</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8.40</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7.80</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7.83</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9.13</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9.20</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8.27</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11.93</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9.30</w:t>
            </w:r>
          </w:p>
        </w:tc>
      </w:tr>
      <w:tr>
        <w:trPr>
          <w:cantSplit w:val="true"/>
        </w:trPr>
        <w:tc>
          <w:tcPr>
            <w:tcW w:w="926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i w:val="false"/>
                <w:i w:val="false"/>
                <w:iCs w:val="false"/>
              </w:rPr>
            </w:pPr>
            <w:r>
              <w:rPr>
                <w:rFonts w:cs="Times New Roman" w:ascii="Arial" w:hAnsi="Arial"/>
                <w:i w:val="false"/>
                <w:iCs w:val="false"/>
                <w:sz w:val="16"/>
                <w:szCs w:val="16"/>
                <w:lang w:val="en-GB"/>
              </w:rPr>
              <w:t xml:space="preserve">Water Discharge LNPP-2 units 1-4, point No. 11 </w:t>
            </w:r>
            <w:r>
              <w:rPr>
                <w:rFonts w:cs="Times New Roman" w:ascii="Arial" w:hAnsi="Arial"/>
                <w:i w:val="false"/>
                <w:iCs w:val="false"/>
                <w:sz w:val="16"/>
                <w:szCs w:val="16"/>
                <w:lang w:val="en-US"/>
              </w:rPr>
              <w:t xml:space="preserve">at the channel </w:t>
            </w:r>
            <w:r>
              <w:rPr>
                <w:rFonts w:cs="Times New Roman" w:ascii="Arial" w:hAnsi="Arial"/>
                <w:i w:val="false"/>
                <w:iCs w:val="false"/>
                <w:sz w:val="16"/>
                <w:szCs w:val="16"/>
                <w:lang w:val="en-GB"/>
              </w:rPr>
              <w:t>discharge B</w:t>
            </w:r>
            <w:r>
              <w:rPr>
                <w:rFonts w:eastAsia="Times New Roman" w:cs="Times New Roman" w:ascii="Arial" w:hAnsi="Arial"/>
                <w:i w:val="false"/>
                <w:iCs w:val="false"/>
                <w:color w:val="000000"/>
                <w:kern w:val="2"/>
                <w:sz w:val="16"/>
                <w:szCs w:val="16"/>
                <w:lang w:val="en-GB" w:eastAsia="en-US" w:bidi="ar-SA"/>
              </w:rPr>
              <w:t>6</w:t>
            </w:r>
            <w:r>
              <w:rPr>
                <w:rFonts w:cs="Times New Roman" w:ascii="Arial" w:hAnsi="Arial"/>
                <w:i w:val="false"/>
                <w:iCs w:val="false"/>
                <w:sz w:val="16"/>
                <w:szCs w:val="16"/>
                <w:lang w:val="en-GB"/>
              </w:rPr>
              <w:t xml:space="preserve">a in </w:t>
            </w:r>
            <w:r>
              <w:rPr>
                <w:rFonts w:ascii="Arial" w:hAnsi="Arial"/>
                <w:i w:val="false"/>
                <w:iCs w:val="false"/>
                <w:sz w:val="16"/>
                <w:szCs w:val="16"/>
                <w:lang w:val="en-GB"/>
              </w:rPr>
              <w:t>(</w:t>
            </w:r>
            <w:r>
              <w:rPr>
                <w:rFonts w:ascii="Arial" w:hAnsi="Arial"/>
                <w:i w:val="false"/>
                <w:iCs w:val="false"/>
                <w:sz w:val="16"/>
                <w:szCs w:val="16"/>
                <w:lang w:val="en-US"/>
              </w:rPr>
              <w:t>Program for …, 2018 *</w:t>
            </w:r>
            <w:r>
              <w:rPr>
                <w:rFonts w:cs="Times New Roman" w:ascii="Arial" w:hAnsi="Arial"/>
                <w:i w:val="false"/>
                <w:iCs w:val="false"/>
                <w:sz w:val="16"/>
                <w:szCs w:val="16"/>
                <w:lang w:val="en-US"/>
              </w:rPr>
              <w:t xml:space="preserve">) </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V </w:t>
            </w:r>
            <w:r>
              <w:rPr>
                <w:rFonts w:cs="Times New Roman" w:ascii="Arial" w:hAnsi="Arial"/>
                <w:i w:val="false"/>
                <w:iCs w:val="false"/>
                <w:sz w:val="16"/>
                <w:szCs w:val="16"/>
                <w:vertAlign w:val="superscript"/>
                <w:lang w:val="en-GB"/>
              </w:rPr>
              <w:t>4)</w:t>
            </w:r>
            <w:r>
              <w:rPr>
                <w:rFonts w:cs="Times New Roman" w:ascii="Arial" w:hAnsi="Arial"/>
                <w:i w:val="false"/>
                <w:iCs w:val="false"/>
                <w:sz w:val="16"/>
                <w:szCs w:val="16"/>
                <w:lang w:val="en-GB"/>
              </w:rPr>
              <w:t>, m</w:t>
            </w:r>
            <w:r>
              <w:rPr>
                <w:rFonts w:cs="Times New Roman" w:ascii="Arial" w:hAnsi="Arial"/>
                <w:i w:val="false"/>
                <w:iCs w:val="false"/>
                <w:sz w:val="16"/>
                <w:szCs w:val="16"/>
                <w:vertAlign w:val="superscript"/>
                <w:lang w:val="en-GB"/>
              </w:rPr>
              <w:t>3</w:t>
            </w:r>
            <w:r>
              <w:rPr>
                <w:rFonts w:cs="Times New Roman" w:ascii="Arial" w:hAnsi="Arial"/>
                <w:i w:val="false"/>
                <w:iCs w:val="false"/>
                <w:sz w:val="16"/>
                <w:szCs w:val="16"/>
                <w:lang w:val="en-GB"/>
              </w:rPr>
              <w:t>/s (Units 1, 2)</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0.16</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0.41</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0.50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0.44</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0.45</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0.51</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0.95</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0.68</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0.49</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0.81</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0.69</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0.23</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0.53</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V </w:t>
            </w:r>
            <w:r>
              <w:rPr>
                <w:rFonts w:cs="Times New Roman" w:ascii="Arial" w:hAnsi="Arial"/>
                <w:i w:val="false"/>
                <w:iCs w:val="false"/>
                <w:sz w:val="16"/>
                <w:szCs w:val="16"/>
                <w:vertAlign w:val="superscript"/>
                <w:lang w:val="en-GB"/>
              </w:rPr>
              <w:t>5)</w:t>
            </w:r>
            <w:r>
              <w:rPr>
                <w:rFonts w:cs="Times New Roman" w:ascii="Arial" w:hAnsi="Arial"/>
                <w:i w:val="false"/>
                <w:iCs w:val="false"/>
                <w:sz w:val="16"/>
                <w:szCs w:val="16"/>
                <w:lang w:val="en-GB"/>
              </w:rPr>
              <w:t>, m</w:t>
            </w:r>
            <w:r>
              <w:rPr>
                <w:rFonts w:cs="Times New Roman" w:ascii="Arial" w:hAnsi="Arial"/>
                <w:i w:val="false"/>
                <w:iCs w:val="false"/>
                <w:sz w:val="16"/>
                <w:szCs w:val="16"/>
                <w:vertAlign w:val="superscript"/>
                <w:lang w:val="en-GB"/>
              </w:rPr>
              <w:t>3</w:t>
            </w:r>
            <w:r>
              <w:rPr>
                <w:rFonts w:cs="Times New Roman" w:ascii="Arial" w:hAnsi="Arial"/>
                <w:i w:val="false"/>
                <w:iCs w:val="false"/>
                <w:sz w:val="16"/>
                <w:szCs w:val="16"/>
                <w:lang w:val="en-GB"/>
              </w:rPr>
              <w:t>/s (Units 3, 4)</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0.82</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0.74</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0.89</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0.95</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1.08</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1.11</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1.19</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1.16</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1.06</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1.01</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0.90</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0.87</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color w:val="000000"/>
                <w:sz w:val="16"/>
                <w:szCs w:val="16"/>
                <w:lang w:val="en-GB"/>
              </w:rPr>
            </w:pPr>
            <w:r>
              <w:rPr>
                <w:rFonts w:cs="Times New Roman" w:ascii="Arial" w:hAnsi="Arial"/>
                <w:color w:val="000000"/>
                <w:sz w:val="16"/>
                <w:szCs w:val="16"/>
                <w:lang w:val="en-GB"/>
              </w:rPr>
              <w:t>0.98</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V, m</w:t>
            </w:r>
            <w:r>
              <w:rPr>
                <w:rFonts w:cs="Times New Roman" w:ascii="Arial" w:hAnsi="Arial"/>
                <w:b/>
                <w:bCs/>
                <w:i w:val="false"/>
                <w:iCs w:val="false"/>
                <w:sz w:val="16"/>
                <w:szCs w:val="16"/>
                <w:vertAlign w:val="superscript"/>
                <w:lang w:val="en-GB"/>
              </w:rPr>
              <w:t>3</w:t>
            </w:r>
            <w:r>
              <w:rPr>
                <w:rFonts w:cs="Times New Roman" w:ascii="Arial" w:hAnsi="Arial"/>
                <w:b/>
                <w:bCs/>
                <w:i w:val="false"/>
                <w:iCs w:val="false"/>
                <w:sz w:val="16"/>
                <w:szCs w:val="16"/>
                <w:lang w:val="en-GB"/>
              </w:rPr>
              <w:t>/s Total</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0.98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1.15</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1.38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1.38</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1.53</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1.62</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2.14</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1.85</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1.54</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1.82</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1.59</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1.10</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color w:val="000000"/>
                <w:sz w:val="16"/>
                <w:szCs w:val="16"/>
                <w:lang w:val="en-GB"/>
              </w:rPr>
            </w:pPr>
            <w:r>
              <w:rPr>
                <w:rFonts w:cs="Times New Roman" w:ascii="Arial" w:hAnsi="Arial"/>
                <w:b/>
                <w:bCs/>
                <w:color w:val="000000"/>
                <w:sz w:val="16"/>
                <w:szCs w:val="16"/>
                <w:lang w:val="en-GB"/>
              </w:rPr>
              <w:t>1.51</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 xml:space="preserve">Т </w:t>
            </w:r>
            <w:r>
              <w:rPr>
                <w:rFonts w:cs="Times New Roman" w:ascii="Arial" w:hAnsi="Arial"/>
                <w:b/>
                <w:bCs/>
                <w:i w:val="false"/>
                <w:iCs w:val="false"/>
                <w:sz w:val="16"/>
                <w:szCs w:val="16"/>
                <w:vertAlign w:val="superscript"/>
                <w:lang w:val="en-GB"/>
              </w:rPr>
              <w:t>5)</w:t>
            </w:r>
            <w:r>
              <w:rPr>
                <w:rFonts w:cs="Times New Roman" w:ascii="Arial" w:hAnsi="Arial"/>
                <w:b/>
                <w:bCs/>
                <w:i w:val="false"/>
                <w:iCs w:val="false"/>
                <w:sz w:val="16"/>
                <w:szCs w:val="16"/>
                <w:lang w:val="en-GB"/>
              </w:rPr>
              <w:t xml:space="preserve">, </w:t>
            </w:r>
            <w:r>
              <w:rPr>
                <w:rFonts w:cs="Times New Roman" w:ascii="Arial" w:hAnsi="Arial"/>
                <w:b/>
                <w:bCs/>
                <w:i w:val="false"/>
                <w:iCs w:val="false"/>
                <w:sz w:val="16"/>
                <w:szCs w:val="16"/>
                <w:vertAlign w:val="superscript"/>
                <w:lang w:val="en-GB"/>
              </w:rPr>
              <w:t>°</w:t>
            </w:r>
            <w:r>
              <w:rPr>
                <w:rFonts w:cs="Times New Roman" w:ascii="Arial" w:hAnsi="Arial"/>
                <w:b/>
                <w:bCs/>
                <w:i w:val="false"/>
                <w:iCs w:val="false"/>
                <w:sz w:val="16"/>
                <w:szCs w:val="16"/>
                <w:lang w:val="en-GB"/>
              </w:rPr>
              <w:t>С</w:t>
            </w:r>
          </w:p>
          <w:p>
            <w:pPr>
              <w:pStyle w:val="Normal"/>
              <w:spacing w:lineRule="auto" w:line="240" w:before="62" w:after="62"/>
              <w:ind w:left="0" w:right="0" w:hanging="0"/>
              <w:rPr>
                <w:i w:val="false"/>
                <w:i w:val="false"/>
                <w:iCs w:val="false"/>
              </w:rPr>
            </w:pPr>
            <w:r>
              <w:rPr>
                <w:rFonts w:cs="Times New Roman" w:ascii="Arial" w:hAnsi="Arial"/>
                <w:b/>
                <w:bCs/>
                <w:i w:val="false"/>
                <w:iCs w:val="false"/>
                <w:sz w:val="16"/>
                <w:szCs w:val="16"/>
                <w:lang w:val="en-GB"/>
              </w:rPr>
              <w:t>Average</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18.0</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21.2</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24.0</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25.8</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25.3</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22.8</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19.9</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16.9</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12.0</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b/>
                <w:b/>
                <w:bCs/>
                <w:sz w:val="16"/>
                <w:szCs w:val="16"/>
                <w:lang w:val="en-GB"/>
              </w:rPr>
            </w:pPr>
            <w:r>
              <w:rPr>
                <w:rFonts w:cs="Times New Roman" w:ascii="Arial" w:hAnsi="Arial"/>
                <w:b/>
                <w:bCs/>
                <w:sz w:val="16"/>
                <w:szCs w:val="16"/>
                <w:lang w:val="en-GB"/>
              </w:rPr>
              <w:t>18.5</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S </w:t>
            </w:r>
            <w:r>
              <w:rPr>
                <w:rFonts w:cs="Times New Roman" w:ascii="Arial" w:hAnsi="Arial"/>
                <w:i w:val="false"/>
                <w:iCs w:val="false"/>
                <w:sz w:val="16"/>
                <w:szCs w:val="16"/>
                <w:vertAlign w:val="superscript"/>
                <w:lang w:val="en-GB"/>
              </w:rPr>
              <w:t>2),6)</w:t>
            </w:r>
            <w:r>
              <w:rPr>
                <w:rFonts w:cs="Times New Roman" w:ascii="Arial" w:hAnsi="Arial"/>
                <w:i w:val="false"/>
                <w:iCs w:val="false"/>
                <w:sz w:val="16"/>
                <w:szCs w:val="16"/>
                <w:lang w:val="en-GB"/>
              </w:rPr>
              <w:t>, ‰</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right"/>
              <w:rPr>
                <w:rFonts w:ascii="Arial" w:hAnsi="Arial" w:cs="Times New Roman"/>
                <w:sz w:val="16"/>
                <w:szCs w:val="16"/>
                <w:lang w:val="en-GB"/>
              </w:rPr>
            </w:pPr>
            <w:r>
              <w:rPr>
                <w:rFonts w:cs="Times New Roman" w:ascii="Arial" w:hAnsi="Arial"/>
                <w:sz w:val="16"/>
                <w:szCs w:val="16"/>
                <w:lang w:val="en-GB"/>
              </w:rPr>
              <w:t>9.028</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Suspended Solids (SS) </w:t>
            </w:r>
            <w:r>
              <w:rPr>
                <w:rFonts w:cs="Times New Roman" w:ascii="Arial" w:hAnsi="Arial"/>
                <w:i w:val="false"/>
                <w:iCs w:val="false"/>
                <w:sz w:val="16"/>
                <w:szCs w:val="16"/>
                <w:vertAlign w:val="superscript"/>
                <w:lang w:val="en-GB"/>
              </w:rPr>
              <w:t>6)</w:t>
            </w:r>
            <w:r>
              <w:rPr>
                <w:rFonts w:cs="Times New Roman" w:ascii="Arial" w:hAnsi="Arial"/>
                <w:i w:val="false"/>
                <w:iCs w:val="false"/>
                <w:sz w:val="16"/>
                <w:szCs w:val="16"/>
                <w:lang w:val="en-GB"/>
              </w:rPr>
              <w:t>,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13.08</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Oil Products (OP) </w:t>
            </w:r>
            <w:r>
              <w:rPr>
                <w:rFonts w:cs="Times New Roman" w:ascii="Arial" w:hAnsi="Arial"/>
                <w:i w:val="false"/>
                <w:iCs w:val="false"/>
                <w:sz w:val="16"/>
                <w:szCs w:val="16"/>
                <w:vertAlign w:val="superscript"/>
                <w:lang w:val="en-GB"/>
              </w:rPr>
              <w:t>7)</w:t>
            </w:r>
            <w:r>
              <w:rPr>
                <w:rFonts w:cs="Times New Roman" w:ascii="Arial" w:hAnsi="Arial"/>
                <w:i w:val="false"/>
                <w:iCs w:val="false"/>
                <w:sz w:val="16"/>
                <w:szCs w:val="16"/>
                <w:lang w:val="en-GB"/>
              </w:rPr>
              <w:t>,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0.010</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0.005</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105" w:right="0" w:hanging="0"/>
              <w:jc w:val="center"/>
              <w:rPr>
                <w:rFonts w:ascii="Arial" w:hAnsi="Arial" w:cs="Times New Roman"/>
                <w:sz w:val="16"/>
                <w:szCs w:val="16"/>
                <w:lang w:val="en-GB"/>
              </w:rPr>
            </w:pPr>
            <w:r>
              <w:rPr>
                <w:rFonts w:cs="Times New Roman" w:ascii="Arial" w:hAnsi="Arial"/>
                <w:sz w:val="16"/>
                <w:szCs w:val="16"/>
                <w:lang w:val="en-GB"/>
              </w:rPr>
              <w:t>&lt; 0.005</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0.009</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105" w:right="0" w:hanging="0"/>
              <w:jc w:val="center"/>
              <w:rPr>
                <w:rFonts w:ascii="Arial" w:hAnsi="Arial" w:cs="Times New Roman"/>
                <w:sz w:val="16"/>
                <w:szCs w:val="16"/>
                <w:lang w:val="en-GB"/>
              </w:rPr>
            </w:pPr>
            <w:r>
              <w:rPr>
                <w:rFonts w:cs="Times New Roman" w:ascii="Arial" w:hAnsi="Arial"/>
                <w:sz w:val="16"/>
                <w:szCs w:val="16"/>
                <w:lang w:val="en-GB"/>
              </w:rPr>
              <w:t>&lt; 0.005</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0.006</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0.007</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Total Iron (Fe) </w:t>
            </w:r>
            <w:r>
              <w:rPr>
                <w:rFonts w:cs="Times New Roman" w:ascii="Arial" w:hAnsi="Arial"/>
                <w:i w:val="false"/>
                <w:iCs w:val="false"/>
                <w:sz w:val="16"/>
                <w:szCs w:val="16"/>
                <w:vertAlign w:val="superscript"/>
                <w:lang w:val="en-GB"/>
              </w:rPr>
              <w:t>7)</w:t>
            </w:r>
            <w:r>
              <w:rPr>
                <w:rFonts w:cs="Times New Roman" w:ascii="Arial" w:hAnsi="Arial"/>
                <w:i w:val="false"/>
                <w:iCs w:val="false"/>
                <w:sz w:val="16"/>
                <w:szCs w:val="16"/>
                <w:lang w:val="en-GB"/>
              </w:rPr>
              <w:t>,</w:t>
            </w:r>
            <w:r>
              <w:rPr>
                <w:rFonts w:cs="Times New Roman" w:ascii="Arial" w:hAnsi="Arial"/>
                <w:i w:val="false"/>
                <w:iCs w:val="false"/>
                <w:sz w:val="16"/>
                <w:szCs w:val="16"/>
                <w:vertAlign w:val="superscript"/>
                <w:lang w:val="en-GB"/>
              </w:rPr>
              <w:t xml:space="preserve"> </w:t>
            </w:r>
            <w:r>
              <w:rPr>
                <w:rFonts w:cs="Times New Roman" w:ascii="Arial" w:hAnsi="Arial"/>
                <w:i w:val="false"/>
                <w:iCs w:val="false"/>
                <w:sz w:val="16"/>
                <w:szCs w:val="16"/>
                <w:lang w:val="en-GB"/>
              </w:rPr>
              <w:t>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0.18</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0.19</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0.26</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0.32</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0.25</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0.18</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0.18</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0.21</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0.31</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0.40</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0.28</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0.26</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0.25</w:t>
            </w:r>
          </w:p>
        </w:tc>
      </w:tr>
      <w:tr>
        <w:trPr>
          <w:cantSplit w:val="true"/>
        </w:trPr>
        <w:tc>
          <w:tcPr>
            <w:tcW w:w="10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2" w:after="62"/>
              <w:ind w:left="0" w:right="0" w:hanging="0"/>
              <w:rPr>
                <w:i w:val="false"/>
                <w:i w:val="false"/>
                <w:iCs w:val="false"/>
              </w:rPr>
            </w:pPr>
            <w:r>
              <w:rPr>
                <w:rFonts w:cs="Times New Roman" w:ascii="Arial" w:hAnsi="Arial"/>
                <w:i w:val="false"/>
                <w:iCs w:val="false"/>
                <w:sz w:val="16"/>
                <w:szCs w:val="16"/>
                <w:lang w:val="en-GB"/>
              </w:rPr>
              <w:t xml:space="preserve">Hydrazine (N₂H₄) </w:t>
            </w:r>
            <w:r>
              <w:rPr>
                <w:rFonts w:cs="Times New Roman" w:ascii="Arial" w:hAnsi="Arial"/>
                <w:i w:val="false"/>
                <w:iCs w:val="false"/>
                <w:sz w:val="16"/>
                <w:szCs w:val="16"/>
                <w:vertAlign w:val="superscript"/>
                <w:lang w:val="en-GB"/>
              </w:rPr>
              <w:t>6)</w:t>
            </w:r>
            <w:r>
              <w:rPr>
                <w:rFonts w:cs="Times New Roman" w:ascii="Arial" w:hAnsi="Arial"/>
                <w:i w:val="false"/>
                <w:iCs w:val="false"/>
                <w:sz w:val="16"/>
                <w:szCs w:val="16"/>
                <w:lang w:val="en-GB"/>
              </w:rPr>
              <w:t>, mg/dm</w:t>
            </w:r>
            <w:r>
              <w:rPr>
                <w:rFonts w:cs="Times New Roman" w:ascii="Arial" w:hAnsi="Arial"/>
                <w:i w:val="false"/>
                <w:iCs w:val="false"/>
                <w:sz w:val="16"/>
                <w:szCs w:val="16"/>
                <w:vertAlign w:val="superscript"/>
                <w:lang w:val="en-GB"/>
              </w:rPr>
              <w:t>3</w:t>
            </w:r>
          </w:p>
        </w:tc>
        <w:tc>
          <w:tcPr>
            <w:tcW w:w="60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2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4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0" w:right="0" w:hanging="0"/>
              <w:jc w:val="center"/>
              <w:rPr>
                <w:rFonts w:ascii="Arial" w:hAnsi="Arial" w:cs="Times New Roman"/>
                <w:sz w:val="16"/>
                <w:szCs w:val="16"/>
                <w:lang w:val="en-GB"/>
              </w:rPr>
            </w:pPr>
            <w:r>
              <w:rPr>
                <w:rFonts w:cs="Times New Roman" w:ascii="Arial" w:hAnsi="Arial"/>
                <w:sz w:val="16"/>
                <w:szCs w:val="16"/>
                <w:lang w:val="en-GB"/>
              </w:rPr>
              <w:t>−</w:t>
            </w:r>
          </w:p>
        </w:tc>
        <w:tc>
          <w:tcPr>
            <w:tcW w:w="65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105" w:right="0" w:hanging="0"/>
              <w:jc w:val="center"/>
              <w:rPr>
                <w:rFonts w:ascii="Arial" w:hAnsi="Arial" w:cs="Times New Roman"/>
                <w:sz w:val="16"/>
                <w:szCs w:val="16"/>
                <w:lang w:val="en-GB"/>
              </w:rPr>
            </w:pPr>
            <w:r>
              <w:rPr>
                <w:rFonts w:cs="Times New Roman" w:ascii="Arial" w:hAnsi="Arial"/>
                <w:sz w:val="16"/>
                <w:szCs w:val="16"/>
                <w:lang w:val="en-GB"/>
              </w:rPr>
              <w:t>−</w:t>
            </w:r>
          </w:p>
        </w:tc>
        <w:tc>
          <w:tcPr>
            <w:tcW w:w="535"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spacing w:lineRule="auto" w:line="240" w:before="62" w:after="62"/>
              <w:ind w:left="-74" w:right="0" w:hanging="0"/>
              <w:jc w:val="right"/>
              <w:rPr>
                <w:rFonts w:ascii="Arial" w:hAnsi="Arial" w:cs="Times New Roman"/>
                <w:sz w:val="16"/>
                <w:szCs w:val="16"/>
                <w:lang w:val="en-GB"/>
              </w:rPr>
            </w:pPr>
            <w:r>
              <w:rPr>
                <w:rFonts w:cs="Times New Roman" w:ascii="Arial" w:hAnsi="Arial"/>
                <w:sz w:val="16"/>
                <w:szCs w:val="16"/>
                <w:lang w:val="en-GB"/>
              </w:rPr>
              <w:t>.00041</w:t>
            </w:r>
          </w:p>
        </w:tc>
      </w:tr>
      <w:tr>
        <w:trPr>
          <w:cantSplit w:val="true"/>
        </w:trPr>
        <w:tc>
          <w:tcPr>
            <w:tcW w:w="9260" w:type="dxa"/>
            <w:gridSpan w:val="14"/>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ABodyText"/>
              <w:suppressAutoHyphens w:val="false"/>
              <w:spacing w:lineRule="auto" w:line="240" w:before="62" w:after="0"/>
              <w:ind w:left="0" w:right="0" w:hanging="0"/>
              <w:jc w:val="left"/>
              <w:rPr>
                <w:rFonts w:ascii="Arial" w:hAnsi="Arial"/>
                <w:sz w:val="16"/>
                <w:szCs w:val="16"/>
              </w:rPr>
            </w:pPr>
            <w:r>
              <w:rPr>
                <w:rFonts w:ascii="Arial" w:hAnsi="Arial"/>
                <w:sz w:val="16"/>
                <w:szCs w:val="16"/>
                <w:vertAlign w:val="superscript"/>
                <w:lang w:val="en-GB"/>
              </w:rPr>
              <w:t>1)</w:t>
            </w:r>
            <w:r>
              <w:rPr>
                <w:rFonts w:ascii="Arial" w:hAnsi="Arial"/>
                <w:sz w:val="16"/>
                <w:szCs w:val="16"/>
                <w:lang w:val="en-GB"/>
              </w:rPr>
              <w:t>According to the water intake records for 2022;</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2)</w:t>
            </w:r>
            <w:r>
              <w:rPr>
                <w:rFonts w:ascii="Arial" w:hAnsi="Arial"/>
                <w:sz w:val="16"/>
                <w:szCs w:val="16"/>
                <w:lang w:val="en-GB"/>
              </w:rPr>
              <w:t xml:space="preserve"> Values are given for the dry residue.</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3)</w:t>
            </w:r>
            <w:r>
              <w:rPr>
                <w:rFonts w:ascii="Arial" w:hAnsi="Arial"/>
                <w:sz w:val="16"/>
                <w:szCs w:val="16"/>
                <w:lang w:val="en-GB"/>
              </w:rPr>
              <w:t>Measurements at point No. 11 before the commissioning of LNPP-2;</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4)</w:t>
            </w:r>
            <w:r>
              <w:rPr>
                <w:rFonts w:ascii="Arial" w:hAnsi="Arial"/>
                <w:sz w:val="16"/>
                <w:szCs w:val="16"/>
                <w:lang w:val="en-US"/>
              </w:rPr>
              <w:t xml:space="preserve"> </w:t>
            </w:r>
            <w:r>
              <w:rPr>
                <w:rFonts w:ascii="Arial" w:hAnsi="Arial"/>
                <w:sz w:val="16"/>
                <w:szCs w:val="16"/>
                <w:lang w:val="en-GB"/>
              </w:rPr>
              <w:t>According to the water discharge records for 2022. The lower value for January is due to block repairs;</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 xml:space="preserve">5) </w:t>
            </w:r>
            <w:r>
              <w:rPr>
                <w:rFonts w:ascii="Arial" w:hAnsi="Arial"/>
                <w:sz w:val="16"/>
                <w:szCs w:val="16"/>
                <w:lang w:val="en-GB"/>
              </w:rPr>
              <w:t>NPP design data;</w:t>
            </w:r>
          </w:p>
          <w:p>
            <w:pPr>
              <w:pStyle w:val="ABodyText"/>
              <w:suppressAutoHyphens w:val="false"/>
              <w:spacing w:lineRule="auto" w:line="240" w:before="0" w:after="0"/>
              <w:ind w:left="0" w:right="0" w:hanging="0"/>
              <w:jc w:val="left"/>
              <w:rPr>
                <w:rFonts w:ascii="Arial" w:hAnsi="Arial"/>
                <w:sz w:val="16"/>
                <w:szCs w:val="16"/>
              </w:rPr>
            </w:pPr>
            <w:r>
              <w:rPr>
                <w:rFonts w:ascii="Arial" w:hAnsi="Arial"/>
                <w:sz w:val="16"/>
                <w:szCs w:val="16"/>
                <w:vertAlign w:val="superscript"/>
                <w:lang w:val="en-GB"/>
              </w:rPr>
              <w:t>6)</w:t>
            </w:r>
            <w:r>
              <w:rPr>
                <w:rFonts w:ascii="Arial" w:hAnsi="Arial"/>
                <w:sz w:val="16"/>
                <w:szCs w:val="16"/>
                <w:lang w:val="en-GB"/>
              </w:rPr>
              <w:t xml:space="preserve"> Calculated value at the discharge point into the channel;</w:t>
            </w:r>
          </w:p>
          <w:p>
            <w:pPr>
              <w:pStyle w:val="ABodyText"/>
              <w:suppressAutoHyphens w:val="false"/>
              <w:spacing w:lineRule="auto" w:line="240" w:before="0" w:after="62"/>
              <w:ind w:left="0" w:right="0" w:hanging="0"/>
              <w:jc w:val="left"/>
              <w:rPr>
                <w:rFonts w:ascii="Arial" w:hAnsi="Arial"/>
                <w:sz w:val="16"/>
                <w:szCs w:val="16"/>
              </w:rPr>
            </w:pPr>
            <w:r>
              <w:rPr>
                <w:rFonts w:ascii="Arial" w:hAnsi="Arial"/>
                <w:sz w:val="16"/>
                <w:szCs w:val="16"/>
                <w:vertAlign w:val="superscript"/>
                <w:lang w:val="en-GB"/>
              </w:rPr>
              <w:t>7)</w:t>
            </w:r>
            <w:r>
              <w:rPr>
                <w:rFonts w:ascii="Arial" w:hAnsi="Arial"/>
                <w:sz w:val="16"/>
                <w:szCs w:val="16"/>
                <w:lang w:val="en-GB"/>
              </w:rPr>
              <w:t xml:space="preserve"> Values based on measurements at Point No. 11 in 2022.</w:t>
            </w:r>
          </w:p>
          <w:p>
            <w:pPr>
              <w:pStyle w:val="ABodyText"/>
              <w:suppressAutoHyphens w:val="false"/>
              <w:spacing w:lineRule="auto" w:line="240" w:before="0" w:after="62"/>
              <w:ind w:left="0" w:right="0" w:hanging="0"/>
              <w:jc w:val="left"/>
              <w:rPr>
                <w:rFonts w:ascii="Arial" w:hAnsi="Arial"/>
                <w:sz w:val="16"/>
                <w:szCs w:val="16"/>
              </w:rPr>
            </w:pPr>
            <w:r>
              <w:rPr>
                <w:rFonts w:ascii="Arial" w:hAnsi="Arial"/>
                <w:sz w:val="16"/>
                <w:szCs w:val="16"/>
                <w:lang w:val="en-GB"/>
              </w:rPr>
              <w:t>* Program for Regular Observations of Water Bodies and Their Protective Zones, Branch of JSC “Concern Rosenergoatom,” Leningrad Nuclear Power Plant, Sosnovy Bor, 2018.</w:t>
            </w:r>
          </w:p>
        </w:tc>
      </w:tr>
    </w:tbl>
    <w:p>
      <w:pPr>
        <w:pStyle w:val="Normal"/>
        <w:widowControl/>
        <w:numPr>
          <w:ilvl w:val="0"/>
          <w:numId w:val="0"/>
        </w:numPr>
        <w:suppressAutoHyphens w:val="true"/>
        <w:bidi w:val="0"/>
        <w:spacing w:lineRule="auto" w:line="259" w:before="0" w:after="160"/>
        <w:ind w:left="0" w:right="0" w:hanging="0"/>
        <w:jc w:val="left"/>
        <w:rPr>
          <w:sz w:val="20"/>
          <w:szCs w:val="20"/>
        </w:rPr>
      </w:pPr>
      <w:r>
        <w:rPr/>
      </w:r>
    </w:p>
    <w:p>
      <w:pPr>
        <w:pStyle w:val="Normal"/>
        <w:widowControl/>
        <w:numPr>
          <w:ilvl w:val="0"/>
          <w:numId w:val="0"/>
        </w:numPr>
        <w:suppressAutoHyphens w:val="true"/>
        <w:bidi w:val="0"/>
        <w:spacing w:lineRule="auto" w:line="259" w:before="0" w:after="160"/>
        <w:ind w:left="720" w:right="0" w:hanging="0"/>
        <w:jc w:val="left"/>
        <w:rPr>
          <w:sz w:val="20"/>
          <w:szCs w:val="20"/>
        </w:rPr>
      </w:pPr>
      <w:r>
        <w:rPr>
          <w:sz w:val="20"/>
          <w:szCs w:val="20"/>
        </w:rPr>
      </w:r>
    </w:p>
    <w:p>
      <w:pPr>
        <w:pStyle w:val="Normal"/>
        <w:widowControl/>
        <w:numPr>
          <w:ilvl w:val="0"/>
          <w:numId w:val="0"/>
        </w:numPr>
        <w:suppressAutoHyphens w:val="true"/>
        <w:bidi w:val="0"/>
        <w:spacing w:lineRule="auto" w:line="259" w:before="0" w:after="160"/>
        <w:ind w:left="720" w:right="0" w:hanging="0"/>
        <w:jc w:val="left"/>
        <w:rPr>
          <w:sz w:val="20"/>
          <w:szCs w:val="20"/>
        </w:rPr>
      </w:pPr>
      <w:r>
        <w:rPr>
          <w:sz w:val="20"/>
          <w:szCs w:val="20"/>
        </w:rPr>
      </w:r>
    </w:p>
    <w:p>
      <w:pPr>
        <w:pStyle w:val="Normal"/>
        <w:widowControl/>
        <w:numPr>
          <w:ilvl w:val="0"/>
          <w:numId w:val="0"/>
        </w:numPr>
        <w:suppressAutoHyphens w:val="true"/>
        <w:bidi w:val="0"/>
        <w:spacing w:lineRule="auto" w:line="259" w:before="0" w:after="160"/>
        <w:ind w:left="720" w:right="0" w:hanging="0"/>
        <w:jc w:val="left"/>
        <w:rPr>
          <w:sz w:val="20"/>
          <w:szCs w:val="20"/>
        </w:rPr>
      </w:pPr>
      <w:r>
        <w:rPr>
          <w:sz w:val="20"/>
          <w:szCs w:val="20"/>
        </w:rPr>
      </w:r>
      <w:r>
        <w:br w:type="page"/>
      </w:r>
    </w:p>
    <w:p>
      <w:pPr>
        <w:pStyle w:val="Normal"/>
        <w:widowControl/>
        <w:numPr>
          <w:ilvl w:val="0"/>
          <w:numId w:val="0"/>
        </w:numPr>
        <w:suppressAutoHyphens w:val="true"/>
        <w:bidi w:val="0"/>
        <w:spacing w:lineRule="auto" w:line="259" w:before="0" w:after="160"/>
        <w:ind w:left="720" w:right="0" w:hanging="0"/>
        <w:jc w:val="left"/>
        <w:rPr>
          <w:rFonts w:ascii="Times New Roman" w:hAnsi="Times New Roman"/>
          <w:b/>
          <w:b/>
          <w:bCs/>
          <w:sz w:val="20"/>
          <w:szCs w:val="20"/>
        </w:rPr>
      </w:pPr>
      <w:r>
        <w:rPr>
          <w:b/>
          <w:bCs/>
          <w:sz w:val="20"/>
          <w:szCs w:val="20"/>
        </w:rPr>
        <w:t>Brief model description</w:t>
      </w:r>
    </w:p>
    <w:p>
      <w:pPr>
        <w:pStyle w:val="Normal"/>
        <w:jc w:val="both"/>
        <w:rPr>
          <w:rFonts w:ascii="Times New Roman" w:hAnsi="Times New Roman"/>
          <w:sz w:val="20"/>
          <w:szCs w:val="20"/>
        </w:rPr>
      </w:pPr>
      <w:r>
        <w:rPr>
          <w:sz w:val="20"/>
          <w:szCs w:val="20"/>
        </w:rPr>
        <w:tab/>
        <w:t xml:space="preserve">To calculate currents in the Koporye Bay of the Gulf of Finland, the POM (Princeton Ocean Model) we employed is based on the primitive equations and utilizes </w:t>
      </w:r>
      <w:r>
        <w:rPr>
          <w:i/>
          <w:iCs/>
          <w:sz w:val="20"/>
          <w:szCs w:val="20"/>
        </w:rPr>
        <w:t>σ</w:t>
      </w:r>
      <w:r>
        <w:rPr>
          <w:sz w:val="20"/>
          <w:szCs w:val="20"/>
        </w:rPr>
        <w:t xml:space="preserve">-coordinates in the vertical dimension. This model offers the additional advantage of describing vertical and horizontal turbulent transport through well-established parameterization schemes - specifically, the Mellor-Yamada scheme for vertical mixing and Smagorinsky formulation for horizontal diffusion (see </w:t>
      </w:r>
      <w:hyperlink r:id="rId2">
        <w:r>
          <w:rPr>
            <w:rStyle w:val="InternetLink"/>
            <w:sz w:val="20"/>
            <w:szCs w:val="20"/>
          </w:rPr>
          <w:t>http://www.ccpo.odu.edu/POMWEB/UG.10-2002.pdf</w:t>
        </w:r>
      </w:hyperlink>
      <w:r>
        <w:rPr>
          <w:sz w:val="20"/>
          <w:szCs w:val="20"/>
        </w:rPr>
        <w:t>).</w:t>
      </w:r>
    </w:p>
    <w:p>
      <w:pPr>
        <w:pStyle w:val="TextBodyIndent"/>
        <w:ind w:firstLine="709"/>
        <w:jc w:val="both"/>
        <w:rPr>
          <w:rFonts w:ascii="Times New Roman" w:hAnsi="Times New Roman"/>
          <w:sz w:val="20"/>
          <w:szCs w:val="20"/>
        </w:rPr>
      </w:pPr>
      <w:r>
        <w:rPr>
          <w:sz w:val="20"/>
          <w:szCs w:val="20"/>
        </w:rPr>
        <w:t>This study analyzes chemical contaminants as hydrodynamically passive dissolved substances that do not participate in chemical or biological interactions, spreading within the water body under the influence of currents and turbulence. The dispersion of such a substance from point sources when using σ-coordinates can be described by the following equation:</w:t>
      </w:r>
    </w:p>
    <w:p>
      <w:pPr>
        <w:pStyle w:val="Normal"/>
        <w:ind w:firstLine="709"/>
        <w:jc w:val="both"/>
        <w:rPr>
          <w:rFonts w:ascii="Times New Roman" w:hAnsi="Times New Roman"/>
          <w:sz w:val="20"/>
          <w:szCs w:val="20"/>
        </w:rPr>
      </w:pPr>
      <w:r>
        <w:rPr/>
      </w:r>
      <m:oMath xmlns:m="http://schemas.openxmlformats.org/officeDocument/2006/math">
        <m:eqArr>
          <m:e>
            <m:f>
              <m:num>
                <m:r>
                  <w:rPr>
                    <w:rFonts w:ascii="Cambria Math" w:hAnsi="Cambria Math"/>
                  </w:rPr>
                  <m:t xml:space="preserve">∂</m:t>
                </m:r>
                <m:r>
                  <m:rPr>
                    <m:lit/>
                    <m:nor/>
                  </m:rPr>
                  <w:rPr>
                    <w:rFonts w:ascii="Cambria Math" w:hAnsi="Cambria Math"/>
                  </w:rPr>
                  <m:t xml:space="preserve">CD</m:t>
                </m:r>
              </m:num>
              <m:den>
                <m:r>
                  <w:rPr>
                    <w:rFonts w:ascii="Cambria Math" w:hAnsi="Cambria Math"/>
                  </w:rPr>
                  <m:t xml:space="preserve">∂</m:t>
                </m:r>
                <m:r>
                  <w:rPr>
                    <w:rFonts w:ascii="Cambria Math" w:hAnsi="Cambria Math"/>
                  </w:rPr>
                  <m:t xml:space="preserve">t</m:t>
                </m:r>
              </m:den>
            </m:f>
            <m:r>
              <m:rPr>
                <m:lit/>
                <m:nor/>
              </m:rPr>
              <w:rPr>
                <w:rFonts w:ascii="Cambria Math" w:hAnsi="Cambria Math"/>
              </w:rPr>
              <m:t xml:space="preserve">+</m:t>
            </m:r>
            <m:f>
              <m:num>
                <m:r>
                  <w:rPr>
                    <w:rFonts w:ascii="Cambria Math" w:hAnsi="Cambria Math"/>
                  </w:rPr>
                  <m:t xml:space="preserve">∂</m:t>
                </m:r>
                <m:r>
                  <m:rPr>
                    <m:lit/>
                    <m:nor/>
                  </m:rPr>
                  <w:rPr>
                    <w:rFonts w:ascii="Cambria Math" w:hAnsi="Cambria Math"/>
                  </w:rPr>
                  <m:t xml:space="preserve">CUD</m:t>
                </m:r>
              </m:num>
              <m:den>
                <m:r>
                  <w:rPr>
                    <w:rFonts w:ascii="Cambria Math" w:hAnsi="Cambria Math"/>
                  </w:rPr>
                  <m:t xml:space="preserve">∂</m:t>
                </m:r>
                <m:r>
                  <w:rPr>
                    <w:rFonts w:ascii="Cambria Math" w:hAnsi="Cambria Math"/>
                  </w:rPr>
                  <m:t xml:space="preserve">x</m:t>
                </m:r>
              </m:den>
            </m:f>
            <m:r>
              <m:rPr>
                <m:lit/>
                <m:nor/>
              </m:rPr>
              <w:rPr>
                <w:rFonts w:ascii="Cambria Math" w:hAnsi="Cambria Math"/>
              </w:rPr>
              <m:t xml:space="preserve">+</m:t>
            </m:r>
            <m:f>
              <m:num>
                <m:r>
                  <w:rPr>
                    <w:rFonts w:ascii="Cambria Math" w:hAnsi="Cambria Math"/>
                  </w:rPr>
                  <m:t xml:space="preserve">∂</m:t>
                </m:r>
                <m:r>
                  <m:rPr>
                    <m:lit/>
                    <m:nor/>
                  </m:rPr>
                  <w:rPr>
                    <w:rFonts w:ascii="Cambria Math" w:hAnsi="Cambria Math"/>
                  </w:rPr>
                  <m:t xml:space="preserve">CVD</m:t>
                </m:r>
              </m:num>
              <m:den>
                <m:r>
                  <w:rPr>
                    <w:rFonts w:ascii="Cambria Math" w:hAnsi="Cambria Math"/>
                  </w:rPr>
                  <m:t xml:space="preserve">∂</m:t>
                </m:r>
                <m:r>
                  <w:rPr>
                    <w:rFonts w:ascii="Cambria Math" w:hAnsi="Cambria Math"/>
                  </w:rPr>
                  <m:t xml:space="preserve">y</m:t>
                </m:r>
              </m:den>
            </m:f>
            <m:r>
              <m:rPr>
                <m:lit/>
                <m:nor/>
              </m:rPr>
              <w:rPr>
                <w:rFonts w:ascii="Cambria Math" w:hAnsi="Cambria Math"/>
              </w:rPr>
              <m:t xml:space="preserve">+</m:t>
            </m:r>
            <m:f>
              <m:num>
                <m:r>
                  <w:rPr>
                    <w:rFonts w:ascii="Cambria Math" w:hAnsi="Cambria Math"/>
                  </w:rPr>
                  <m:t xml:space="preserve">∂</m:t>
                </m:r>
                <m:r>
                  <m:rPr>
                    <m:lit/>
                    <m:nor/>
                  </m:rPr>
                  <w:rPr>
                    <w:rFonts w:ascii="Cambria Math" w:hAnsi="Cambria Math"/>
                  </w:rPr>
                  <m:t xml:space="preserve">CW</m:t>
                </m:r>
              </m:num>
              <m:den>
                <m:r>
                  <w:rPr>
                    <w:rFonts w:ascii="Cambria Math" w:hAnsi="Cambria Math"/>
                  </w:rPr>
                  <m:t xml:space="preserve">∂</m:t>
                </m:r>
                <m:r>
                  <w:rPr>
                    <w:rFonts w:ascii="Cambria Math" w:hAnsi="Cambria Math"/>
                  </w:rPr>
                  <m:t xml:space="preserve">σ</m:t>
                </m:r>
              </m:den>
            </m:f>
            <m:r>
              <m:rPr>
                <m:lit/>
                <m:nor/>
              </m:rPr>
              <w:rPr>
                <w:rFonts w:ascii="Cambria Math" w:hAnsi="Cambria Math"/>
              </w:rPr>
              <m:t xml:space="preserve">  </m:t>
            </m:r>
            <m:r>
              <w:rPr>
                <w:rFonts w:ascii="Cambria Math" w:hAnsi="Cambria Math"/>
              </w:rPr>
              <m:t xml:space="preserve">=</m:t>
            </m:r>
            <m:r>
              <m:rPr>
                <m:lit/>
                <m:nor/>
              </m:rPr>
              <w:rPr>
                <w:rFonts w:ascii="Cambria Math" w:hAnsi="Cambria Math"/>
              </w:rPr>
              <m:t xml:space="preserve">  </m:t>
            </m:r>
            <m:f>
              <m:num>
                <m:r>
                  <w:rPr>
                    <w:rFonts w:ascii="Cambria Math" w:hAnsi="Cambria Math"/>
                  </w:rPr>
                  <m:t xml:space="preserve">∂</m:t>
                </m:r>
              </m:num>
              <m:den>
                <m:r>
                  <w:rPr>
                    <w:rFonts w:ascii="Cambria Math" w:hAnsi="Cambria Math"/>
                  </w:rPr>
                  <m:t xml:space="preserve">∂</m:t>
                </m:r>
                <m:r>
                  <w:rPr>
                    <w:rFonts w:ascii="Cambria Math" w:hAnsi="Cambria Math"/>
                  </w:rPr>
                  <m:t xml:space="preserve">x</m:t>
                </m:r>
              </m:den>
            </m:f>
            <m:d>
              <m:dPr>
                <m:begChr m:val="["/>
                <m:endChr m:val="]"/>
              </m:dPr>
              <m:e>
                <m:sSub>
                  <m:e>
                    <m:r>
                      <m:rPr>
                        <m:lit/>
                        <m:nor/>
                      </m:rPr>
                      <w:rPr>
                        <w:rFonts w:ascii="Cambria Math" w:hAnsi="Cambria Math"/>
                      </w:rPr>
                      <m:t xml:space="preserve">HA</m:t>
                    </m:r>
                  </m:e>
                  <m:sub>
                    <m:r>
                      <w:rPr>
                        <w:rFonts w:ascii="Cambria Math" w:hAnsi="Cambria Math"/>
                      </w:rPr>
                      <m:t xml:space="preserve">H</m:t>
                    </m:r>
                  </m:sub>
                </m:sSub>
                <m:f>
                  <m:num>
                    <m:r>
                      <w:rPr>
                        <w:rFonts w:ascii="Cambria Math" w:hAnsi="Cambria Math"/>
                      </w:rPr>
                      <m:t xml:space="preserve">∂</m:t>
                    </m:r>
                    <m:r>
                      <w:rPr>
                        <w:rFonts w:ascii="Cambria Math" w:hAnsi="Cambria Math"/>
                      </w:rPr>
                      <m:t xml:space="preserve">C</m:t>
                    </m:r>
                  </m:num>
                  <m:den>
                    <m:r>
                      <w:rPr>
                        <w:rFonts w:ascii="Cambria Math" w:hAnsi="Cambria Math"/>
                      </w:rPr>
                      <m:t xml:space="preserve">∂</m:t>
                    </m:r>
                    <m:r>
                      <w:rPr>
                        <w:rFonts w:ascii="Cambria Math" w:hAnsi="Cambria Math"/>
                      </w:rPr>
                      <m:t xml:space="preserve">x</m:t>
                    </m:r>
                  </m:den>
                </m:f>
              </m:e>
            </m:d>
            <m:r>
              <m:rPr>
                <m:lit/>
                <m:nor/>
              </m:rPr>
              <w:rPr>
                <w:rFonts w:ascii="Cambria Math" w:hAnsi="Cambria Math"/>
              </w:rPr>
              <m:t xml:space="preserve">+</m:t>
            </m:r>
            <m:f>
              <m:num>
                <m:r>
                  <w:rPr>
                    <w:rFonts w:ascii="Cambria Math" w:hAnsi="Cambria Math"/>
                  </w:rPr>
                  <m:t xml:space="preserve">∂</m:t>
                </m:r>
              </m:num>
              <m:den>
                <m:r>
                  <w:rPr>
                    <w:rFonts w:ascii="Cambria Math" w:hAnsi="Cambria Math"/>
                  </w:rPr>
                  <m:t xml:space="preserve">∂</m:t>
                </m:r>
                <m:r>
                  <w:rPr>
                    <w:rFonts w:ascii="Cambria Math" w:hAnsi="Cambria Math"/>
                  </w:rPr>
                  <m:t xml:space="preserve">y</m:t>
                </m:r>
              </m:den>
            </m:f>
            <m:d>
              <m:dPr>
                <m:begChr m:val="["/>
                <m:endChr m:val="]"/>
              </m:dPr>
              <m:e>
                <m:sSub>
                  <m:e>
                    <m:r>
                      <m:rPr>
                        <m:lit/>
                        <m:nor/>
                      </m:rPr>
                      <w:rPr>
                        <w:rFonts w:ascii="Cambria Math" w:hAnsi="Cambria Math"/>
                      </w:rPr>
                      <m:t xml:space="preserve">HA</m:t>
                    </m:r>
                  </m:e>
                  <m:sub>
                    <m:r>
                      <w:rPr>
                        <w:rFonts w:ascii="Cambria Math" w:hAnsi="Cambria Math"/>
                      </w:rPr>
                      <m:t xml:space="preserve">H</m:t>
                    </m:r>
                  </m:sub>
                </m:sSub>
                <m:f>
                  <m:num>
                    <m:r>
                      <w:rPr>
                        <w:rFonts w:ascii="Cambria Math" w:hAnsi="Cambria Math"/>
                      </w:rPr>
                      <m:t xml:space="preserve">∂</m:t>
                    </m:r>
                    <m:r>
                      <w:rPr>
                        <w:rFonts w:ascii="Cambria Math" w:hAnsi="Cambria Math"/>
                      </w:rPr>
                      <m:t xml:space="preserve">C</m:t>
                    </m:r>
                  </m:num>
                  <m:den>
                    <m:r>
                      <w:rPr>
                        <w:rFonts w:ascii="Cambria Math" w:hAnsi="Cambria Math"/>
                      </w:rPr>
                      <m:t xml:space="preserve">∂</m:t>
                    </m:r>
                    <m:r>
                      <w:rPr>
                        <w:rFonts w:ascii="Cambria Math" w:hAnsi="Cambria Math"/>
                      </w:rPr>
                      <m:t xml:space="preserve">y</m:t>
                    </m:r>
                  </m:den>
                </m:f>
              </m:e>
            </m:d>
            <m:r>
              <m:rPr>
                <m:lit/>
                <m:nor/>
              </m:rPr>
              <w:rPr>
                <w:rFonts w:ascii="Cambria Math" w:hAnsi="Cambria Math"/>
              </w:rPr>
              <m:t xml:space="preserve">+</m:t>
            </m:r>
            <m:f>
              <m:num>
                <m:r>
                  <w:rPr>
                    <w:rFonts w:ascii="Cambria Math" w:hAnsi="Cambria Math"/>
                  </w:rPr>
                  <m:t xml:space="preserve">∂</m:t>
                </m:r>
              </m:num>
              <m:den>
                <m:r>
                  <w:rPr>
                    <w:rFonts w:ascii="Cambria Math" w:hAnsi="Cambria Math"/>
                  </w:rPr>
                  <m:t xml:space="preserve">∂</m:t>
                </m:r>
                <m:r>
                  <w:rPr>
                    <w:rFonts w:ascii="Cambria Math" w:hAnsi="Cambria Math"/>
                  </w:rPr>
                  <m:t xml:space="preserve">σ</m:t>
                </m:r>
              </m:den>
            </m:f>
            <m:d>
              <m:dPr>
                <m:begChr m:val="["/>
                <m:endChr m:val="]"/>
              </m:dPr>
              <m:e>
                <m:f>
                  <m:num>
                    <m:sSub>
                      <m:e>
                        <m:r>
                          <w:rPr>
                            <w:rFonts w:ascii="Cambria Math" w:hAnsi="Cambria Math"/>
                          </w:rPr>
                          <m:t xml:space="preserve">K</m:t>
                        </m:r>
                      </m:e>
                      <m:sub>
                        <m:r>
                          <w:rPr>
                            <w:rFonts w:ascii="Cambria Math" w:hAnsi="Cambria Math"/>
                          </w:rPr>
                          <m:t xml:space="preserve">H</m:t>
                        </m:r>
                      </m:sub>
                    </m:sSub>
                  </m:num>
                  <m:den>
                    <m:r>
                      <w:rPr>
                        <w:rFonts w:ascii="Cambria Math" w:hAnsi="Cambria Math"/>
                      </w:rPr>
                      <m:t xml:space="preserve">D</m:t>
                    </m:r>
                  </m:den>
                </m:f>
                <m:f>
                  <m:num>
                    <m:r>
                      <w:rPr>
                        <w:rFonts w:ascii="Cambria Math" w:hAnsi="Cambria Math"/>
                      </w:rPr>
                      <m:t xml:space="preserve">∂</m:t>
                    </m:r>
                    <m:r>
                      <w:rPr>
                        <w:rFonts w:ascii="Cambria Math" w:hAnsi="Cambria Math"/>
                      </w:rPr>
                      <m:t xml:space="preserve">C</m:t>
                    </m:r>
                  </m:num>
                  <m:den>
                    <m:r>
                      <w:rPr>
                        <w:rFonts w:ascii="Cambria Math" w:hAnsi="Cambria Math"/>
                      </w:rPr>
                      <m:t xml:space="preserve">∂</m:t>
                    </m:r>
                    <m:r>
                      <w:rPr>
                        <w:rFonts w:ascii="Cambria Math" w:hAnsi="Cambria Math"/>
                      </w:rPr>
                      <m:t xml:space="preserve">σ</m:t>
                    </m:r>
                  </m:den>
                </m:f>
              </m:e>
            </m:d>
            <m:r>
              <m:rPr>
                <m:lit/>
                <m:nor/>
              </m:rPr>
              <w:rPr>
                <w:rFonts w:ascii="Cambria Math" w:hAnsi="Cambria Math"/>
              </w:rPr>
              <m:t xml:space="preserve"> +</m:t>
            </m:r>
          </m:e>
          <m:e>
            <m:r>
              <m:rPr>
                <m:lit/>
                <m:nor/>
              </m:rPr>
              <w:rPr>
                <w:rFonts w:ascii="Cambria Math" w:hAnsi="Cambria Math"/>
              </w:rPr>
              <m:t xml:space="preserve">+ </m:t>
            </m:r>
            <m:nary>
              <m:naryPr>
                <m:chr m:val="∑"/>
                <m:supHide m:val="1"/>
              </m:naryPr>
              <m:sub>
                <m:r>
                  <w:rPr>
                    <w:rFonts w:ascii="Cambria Math" w:hAnsi="Cambria Math"/>
                  </w:rPr>
                  <m:t xml:space="preserve">i</m:t>
                </m:r>
              </m:sub>
              <m:sup/>
              <m:e>
                <m:sSub>
                  <m:e>
                    <m:r>
                      <w:rPr>
                        <w:rFonts w:ascii="Cambria Math" w:hAnsi="Cambria Math"/>
                      </w:rPr>
                      <m:t xml:space="preserve">Q</m:t>
                    </m:r>
                  </m:e>
                  <m:sub>
                    <m:r>
                      <w:rPr>
                        <w:rFonts w:ascii="Cambria Math" w:hAnsi="Cambria Math"/>
                      </w:rPr>
                      <m:t xml:space="preserve">i</m:t>
                    </m:r>
                  </m:sub>
                </m:sSub>
                <m:d>
                  <m:dPr>
                    <m:begChr m:val="("/>
                    <m:endChr m:val=")"/>
                  </m:dPr>
                  <m:e>
                    <m:r>
                      <w:rPr>
                        <w:rFonts w:ascii="Cambria Math" w:hAnsi="Cambria Math"/>
                      </w:rPr>
                      <m:t xml:space="preserve">t</m:t>
                    </m:r>
                  </m:e>
                </m:d>
                <m:r>
                  <w:rPr>
                    <w:rFonts w:ascii="Cambria Math" w:hAnsi="Cambria Math"/>
                  </w:rPr>
                  <m:t xml:space="preserve">δ</m:t>
                </m:r>
                <m:d>
                  <m:dPr>
                    <m:begChr m:val="("/>
                    <m:endChr m:val=")"/>
                  </m:dPr>
                  <m:e>
                    <m:r>
                      <w:rPr>
                        <w:rFonts w:ascii="Cambria Math" w:hAnsi="Cambria Math"/>
                      </w:rPr>
                      <m:t xml:space="preserve">x</m:t>
                    </m:r>
                    <m:r>
                      <w:rPr>
                        <w:rFonts w:ascii="Cambria Math" w:hAnsi="Cambria Math"/>
                      </w:rPr>
                      <m:t xml:space="preserve">−</m:t>
                    </m:r>
                    <m:sSub>
                      <m:e>
                        <m:r>
                          <w:rPr>
                            <w:rFonts w:ascii="Cambria Math" w:hAnsi="Cambria Math"/>
                          </w:rPr>
                          <m:t xml:space="preserve">x</m:t>
                        </m:r>
                      </m:e>
                      <m:sub>
                        <m:r>
                          <w:rPr>
                            <w:rFonts w:ascii="Cambria Math" w:hAnsi="Cambria Math"/>
                          </w:rPr>
                          <m:t xml:space="preserve">i</m:t>
                        </m:r>
                      </m:sub>
                    </m:sSub>
                  </m:e>
                </m:d>
                <m:r>
                  <w:rPr>
                    <w:rFonts w:ascii="Cambria Math" w:hAnsi="Cambria Math"/>
                  </w:rPr>
                  <m:t xml:space="preserve">δ</m:t>
                </m:r>
                <m:d>
                  <m:dPr>
                    <m:begChr m:val="("/>
                    <m:endChr m:val=")"/>
                  </m:dPr>
                  <m:e>
                    <m:r>
                      <w:rPr>
                        <w:rFonts w:ascii="Cambria Math" w:hAnsi="Cambria Math"/>
                      </w:rPr>
                      <m:t xml:space="preserve">y</m:t>
                    </m:r>
                    <m:r>
                      <w:rPr>
                        <w:rFonts w:ascii="Cambria Math" w:hAnsi="Cambria Math"/>
                      </w:rPr>
                      <m:t xml:space="preserve">−</m:t>
                    </m:r>
                    <m:sSub>
                      <m:e>
                        <m:r>
                          <w:rPr>
                            <w:rFonts w:ascii="Cambria Math" w:hAnsi="Cambria Math"/>
                          </w:rPr>
                          <m:t xml:space="preserve">y</m:t>
                        </m:r>
                      </m:e>
                      <m:sub>
                        <m:r>
                          <w:rPr>
                            <w:rFonts w:ascii="Cambria Math" w:hAnsi="Cambria Math"/>
                          </w:rPr>
                          <m:t xml:space="preserve">i</m:t>
                        </m:r>
                      </m:sub>
                    </m:sSub>
                  </m:e>
                </m:d>
                <m:r>
                  <w:rPr>
                    <w:rFonts w:ascii="Cambria Math" w:hAnsi="Cambria Math"/>
                  </w:rPr>
                  <m:t xml:space="preserve">δ</m:t>
                </m:r>
                <m:d>
                  <m:dPr>
                    <m:begChr m:val="("/>
                    <m:endChr m:val=")"/>
                  </m:dPr>
                  <m:e>
                    <m:r>
                      <w:rPr>
                        <w:rFonts w:ascii="Cambria Math" w:hAnsi="Cambria Math"/>
                      </w:rPr>
                      <m:t xml:space="preserve">σ</m:t>
                    </m:r>
                    <m:r>
                      <w:rPr>
                        <w:rFonts w:ascii="Cambria Math" w:hAnsi="Cambria Math"/>
                      </w:rPr>
                      <m:t xml:space="preserve">−</m:t>
                    </m:r>
                    <m:sSub>
                      <m:e>
                        <m:r>
                          <w:rPr>
                            <w:rFonts w:ascii="Cambria Math" w:hAnsi="Cambria Math"/>
                          </w:rPr>
                          <m:t xml:space="preserve">σ</m:t>
                        </m:r>
                      </m:e>
                      <m:sub>
                        <m:r>
                          <w:rPr>
                            <w:rFonts w:ascii="Cambria Math" w:hAnsi="Cambria Math"/>
                          </w:rPr>
                          <m:t xml:space="preserve">i</m:t>
                        </m:r>
                      </m:sub>
                    </m:sSub>
                  </m:e>
                </m:d>
              </m:e>
            </m:nary>
          </m:e>
        </m:eqArr>
      </m:oMath>
    </w:p>
    <w:p>
      <w:pPr>
        <w:pStyle w:val="TextBody"/>
        <w:spacing w:lineRule="auto" w:line="240" w:before="0" w:after="0"/>
        <w:jc w:val="both"/>
        <w:rPr/>
      </w:pPr>
      <w:r>
        <w:rPr>
          <w:rStyle w:val="StrongEmphasis"/>
          <w:rFonts w:cs="Times New Roman"/>
          <w:b w:val="false"/>
          <w:bCs w:val="false"/>
          <w:sz w:val="20"/>
          <w:szCs w:val="20"/>
        </w:rPr>
        <w:t>where:</w:t>
      </w:r>
    </w:p>
    <w:p>
      <w:pPr>
        <w:pStyle w:val="TextBody"/>
        <w:numPr>
          <w:ilvl w:val="0"/>
          <w:numId w:val="3"/>
        </w:numPr>
        <w:spacing w:lineRule="auto" w:line="240" w:before="0" w:after="0"/>
        <w:jc w:val="both"/>
        <w:rPr/>
      </w:pPr>
      <w:r>
        <w:rPr>
          <w:rStyle w:val="StrongEmphasis"/>
          <w:rFonts w:cs="Times New Roman"/>
          <w:b w:val="false"/>
          <w:bCs w:val="false"/>
          <w:i/>
          <w:iCs/>
          <w:sz w:val="20"/>
          <w:szCs w:val="20"/>
        </w:rPr>
        <w:t>D=H+ζ,</w:t>
      </w:r>
    </w:p>
    <w:p>
      <w:pPr>
        <w:pStyle w:val="TextBody"/>
        <w:numPr>
          <w:ilvl w:val="0"/>
          <w:numId w:val="3"/>
        </w:numPr>
        <w:spacing w:before="0" w:after="0"/>
        <w:rPr/>
      </w:pPr>
      <w:r>
        <w:rPr>
          <w:rStyle w:val="StrongEmphasis"/>
          <w:b w:val="false"/>
          <w:bCs w:val="false"/>
          <w:i/>
          <w:iCs/>
          <w:sz w:val="20"/>
          <w:szCs w:val="20"/>
        </w:rPr>
        <w:t>H</w:t>
      </w:r>
      <w:r>
        <w:rPr>
          <w:rStyle w:val="StrongEmphasis"/>
          <w:b w:val="false"/>
          <w:bCs w:val="false"/>
          <w:sz w:val="20"/>
          <w:szCs w:val="20"/>
        </w:rPr>
        <w:t xml:space="preserve"> - </w:t>
      </w:r>
      <w:r>
        <w:rPr>
          <w:sz w:val="20"/>
          <w:szCs w:val="20"/>
        </w:rPr>
        <w:t>is the water body depth,</w:t>
      </w:r>
    </w:p>
    <w:p>
      <w:pPr>
        <w:pStyle w:val="TextBody"/>
        <w:numPr>
          <w:ilvl w:val="0"/>
          <w:numId w:val="3"/>
        </w:numPr>
        <w:spacing w:before="0" w:after="0"/>
        <w:rPr/>
      </w:pPr>
      <w:r>
        <w:rPr>
          <w:rStyle w:val="StrongEmphasis"/>
          <w:b w:val="false"/>
          <w:bCs w:val="false"/>
          <w:i/>
          <w:iCs/>
          <w:sz w:val="20"/>
          <w:szCs w:val="20"/>
        </w:rPr>
        <w:t xml:space="preserve">ζ </w:t>
      </w:r>
      <w:r>
        <w:rPr>
          <w:rStyle w:val="StrongEmphasis"/>
          <w:b w:val="false"/>
          <w:bCs w:val="false"/>
          <w:sz w:val="20"/>
          <w:szCs w:val="20"/>
        </w:rPr>
        <w:t xml:space="preserve">- </w:t>
      </w:r>
      <w:r>
        <w:rPr>
          <w:sz w:val="20"/>
          <w:szCs w:val="20"/>
        </w:rPr>
        <w:t>is the free surface elevation deviation from the undisturbed position,</w:t>
      </w:r>
    </w:p>
    <w:p>
      <w:pPr>
        <w:pStyle w:val="TextBody"/>
        <w:numPr>
          <w:ilvl w:val="0"/>
          <w:numId w:val="3"/>
        </w:numPr>
        <w:spacing w:before="0" w:after="0"/>
        <w:rPr/>
      </w:pPr>
      <w:r>
        <w:rPr>
          <w:rStyle w:val="StrongEmphasis"/>
          <w:b w:val="false"/>
          <w:bCs w:val="false"/>
          <w:i/>
          <w:iCs/>
          <w:sz w:val="20"/>
          <w:szCs w:val="20"/>
        </w:rPr>
        <w:t>(U,V)</w:t>
      </w:r>
      <w:r>
        <w:rPr>
          <w:rStyle w:val="StrongEmphasis"/>
          <w:b w:val="false"/>
          <w:bCs w:val="false"/>
          <w:sz w:val="20"/>
          <w:szCs w:val="20"/>
        </w:rPr>
        <w:t xml:space="preserve"> - </w:t>
      </w:r>
      <w:r>
        <w:rPr>
          <w:sz w:val="20"/>
          <w:szCs w:val="20"/>
        </w:rPr>
        <w:t>are the horizontal velocity components of currents,</w:t>
      </w:r>
    </w:p>
    <w:p>
      <w:pPr>
        <w:pStyle w:val="TextBody"/>
        <w:numPr>
          <w:ilvl w:val="0"/>
          <w:numId w:val="3"/>
        </w:numPr>
        <w:spacing w:before="0" w:after="0"/>
        <w:rPr/>
      </w:pPr>
      <w:r>
        <w:rPr>
          <w:rStyle w:val="StrongEmphasis"/>
          <w:b w:val="false"/>
          <w:bCs w:val="false"/>
          <w:i/>
          <w:iCs/>
          <w:sz w:val="20"/>
          <w:szCs w:val="20"/>
        </w:rPr>
        <w:t>W</w:t>
      </w:r>
      <w:r>
        <w:rPr>
          <w:rStyle w:val="StrongEmphasis"/>
          <w:b w:val="false"/>
          <w:bCs w:val="false"/>
          <w:sz w:val="20"/>
          <w:szCs w:val="20"/>
        </w:rPr>
        <w:t xml:space="preserve"> - </w:t>
      </w:r>
      <w:r>
        <w:rPr>
          <w:sz w:val="20"/>
          <w:szCs w:val="20"/>
        </w:rPr>
        <w:t>is the vertical velocity component (projection of the current velocity vector onto the σ-coordinate),</w:t>
      </w:r>
    </w:p>
    <w:p>
      <w:pPr>
        <w:pStyle w:val="TextBody"/>
        <w:numPr>
          <w:ilvl w:val="0"/>
          <w:numId w:val="3"/>
        </w:numPr>
        <w:spacing w:before="0" w:after="0"/>
        <w:rPr/>
      </w:pPr>
      <w:r>
        <w:rPr>
          <w:rStyle w:val="StrongEmphasis"/>
          <w:b w:val="false"/>
          <w:bCs w:val="false"/>
          <w:i/>
          <w:iCs/>
          <w:sz w:val="20"/>
          <w:szCs w:val="20"/>
        </w:rPr>
        <w:t>C</w:t>
      </w:r>
      <w:r>
        <w:rPr>
          <w:rStyle w:val="StrongEmphasis"/>
          <w:b w:val="false"/>
          <w:bCs w:val="false"/>
          <w:sz w:val="20"/>
          <w:szCs w:val="20"/>
        </w:rPr>
        <w:t xml:space="preserve"> - </w:t>
      </w:r>
      <w:r>
        <w:rPr>
          <w:sz w:val="20"/>
          <w:szCs w:val="20"/>
        </w:rPr>
        <w:t>is the contaminant concentration,</w:t>
      </w:r>
    </w:p>
    <w:p>
      <w:pPr>
        <w:pStyle w:val="TextBody"/>
        <w:numPr>
          <w:ilvl w:val="0"/>
          <w:numId w:val="3"/>
        </w:numPr>
        <w:spacing w:before="0" w:after="0"/>
        <w:rPr/>
      </w:pPr>
      <w:r>
        <w:rPr>
          <w:rStyle w:val="StrongEmphasis"/>
          <w:b w:val="false"/>
          <w:bCs w:val="false"/>
          <w:i/>
          <w:iCs/>
          <w:sz w:val="20"/>
          <w:szCs w:val="20"/>
        </w:rPr>
        <w:t>K</w:t>
      </w:r>
      <w:r>
        <w:rPr>
          <w:rStyle w:val="StrongEmphasis"/>
          <w:b w:val="false"/>
          <w:bCs w:val="false"/>
          <w:i/>
          <w:iCs/>
          <w:sz w:val="20"/>
          <w:szCs w:val="20"/>
          <w:vertAlign w:val="subscript"/>
        </w:rPr>
        <w:t>H</w:t>
      </w:r>
      <w:r>
        <w:rPr>
          <w:rStyle w:val="StrongEmphasis"/>
          <w:b w:val="false"/>
          <w:bCs w:val="false"/>
          <w:i/>
          <w:iCs/>
          <w:sz w:val="20"/>
          <w:szCs w:val="20"/>
        </w:rPr>
        <w:t xml:space="preserve"> - </w:t>
      </w:r>
      <w:r>
        <w:rPr>
          <w:sz w:val="20"/>
          <w:szCs w:val="20"/>
        </w:rPr>
        <w:t>is the vertical turbulent diffusion coefficient,</w:t>
      </w:r>
    </w:p>
    <w:p>
      <w:pPr>
        <w:pStyle w:val="TextBody"/>
        <w:numPr>
          <w:ilvl w:val="0"/>
          <w:numId w:val="3"/>
        </w:numPr>
        <w:spacing w:before="0" w:after="0"/>
        <w:rPr/>
      </w:pPr>
      <w:r>
        <w:rPr>
          <w:rStyle w:val="StrongEmphasis"/>
          <w:b w:val="false"/>
          <w:bCs w:val="false"/>
          <w:i/>
          <w:iCs/>
          <w:sz w:val="20"/>
          <w:szCs w:val="20"/>
        </w:rPr>
        <w:t>A</w:t>
      </w:r>
      <w:r>
        <w:rPr>
          <w:rStyle w:val="StrongEmphasis"/>
          <w:b w:val="false"/>
          <w:bCs w:val="false"/>
          <w:i/>
          <w:iCs/>
          <w:sz w:val="20"/>
          <w:szCs w:val="20"/>
          <w:vertAlign w:val="subscript"/>
        </w:rPr>
        <w:t>H</w:t>
      </w:r>
      <w:r>
        <w:rPr>
          <w:rStyle w:val="StrongEmphasis"/>
          <w:b w:val="false"/>
          <w:bCs w:val="false"/>
          <w:i/>
          <w:iCs/>
          <w:sz w:val="20"/>
          <w:szCs w:val="20"/>
        </w:rPr>
        <w:t xml:space="preserve"> - </w:t>
      </w:r>
      <w:r>
        <w:rPr>
          <w:sz w:val="20"/>
          <w:szCs w:val="20"/>
        </w:rPr>
        <w:t>is the horizontal turbulent diffusion coefficient calculated using the Smagorinsky formula,</w:t>
      </w:r>
    </w:p>
    <w:p>
      <w:pPr>
        <w:pStyle w:val="TextBody"/>
        <w:numPr>
          <w:ilvl w:val="0"/>
          <w:numId w:val="3"/>
        </w:numPr>
        <w:spacing w:before="0" w:after="0"/>
        <w:rPr/>
      </w:pPr>
      <w:r>
        <w:rPr>
          <w:rStyle w:val="StrongEmphasis"/>
          <w:b w:val="false"/>
          <w:bCs w:val="false"/>
          <w:i/>
          <w:iCs/>
          <w:sz w:val="20"/>
          <w:szCs w:val="20"/>
        </w:rPr>
        <w:t>Qi</w:t>
      </w:r>
      <w:r>
        <w:rPr>
          <w:rStyle w:val="StrongEmphasis"/>
          <w:b w:val="false"/>
          <w:bCs w:val="false"/>
          <w:sz w:val="20"/>
          <w:szCs w:val="20"/>
        </w:rPr>
        <w:t xml:space="preserve"> - </w:t>
      </w:r>
      <w:r>
        <w:rPr>
          <w:sz w:val="20"/>
          <w:szCs w:val="20"/>
        </w:rPr>
        <w:t xml:space="preserve">is the contaminant discharge rate at the </w:t>
      </w:r>
      <w:r>
        <w:rPr>
          <w:i/>
          <w:iCs/>
          <w:sz w:val="20"/>
          <w:szCs w:val="20"/>
        </w:rPr>
        <w:t>i</w:t>
      </w:r>
      <w:r>
        <w:rPr>
          <w:sz w:val="20"/>
          <w:szCs w:val="20"/>
        </w:rPr>
        <w:t xml:space="preserve">-th point source located at </w:t>
      </w:r>
      <w:r>
        <w:rPr>
          <w:i/>
          <w:iCs/>
          <w:sz w:val="20"/>
          <w:szCs w:val="20"/>
        </w:rPr>
        <w:t>(x</w:t>
      </w:r>
      <w:r>
        <w:rPr>
          <w:i/>
          <w:iCs/>
          <w:sz w:val="20"/>
          <w:szCs w:val="20"/>
          <w:vertAlign w:val="subscript"/>
        </w:rPr>
        <w:t>i</w:t>
      </w:r>
      <w:r>
        <w:rPr>
          <w:i/>
          <w:iCs/>
          <w:sz w:val="20"/>
          <w:szCs w:val="20"/>
        </w:rPr>
        <w:t>,y</w:t>
      </w:r>
      <w:r>
        <w:rPr>
          <w:i/>
          <w:iCs/>
          <w:sz w:val="20"/>
          <w:szCs w:val="20"/>
          <w:vertAlign w:val="subscript"/>
        </w:rPr>
        <w:t>i</w:t>
      </w:r>
      <w:r>
        <w:rPr>
          <w:i/>
          <w:iCs/>
          <w:sz w:val="20"/>
          <w:szCs w:val="20"/>
        </w:rPr>
        <w:t>,σ</w:t>
      </w:r>
      <w:r>
        <w:rPr>
          <w:i/>
          <w:iCs/>
          <w:sz w:val="20"/>
          <w:szCs w:val="20"/>
          <w:vertAlign w:val="subscript"/>
        </w:rPr>
        <w:t>i</w:t>
      </w:r>
      <w:r>
        <w:rPr>
          <w:i/>
          <w:iCs/>
          <w:sz w:val="20"/>
          <w:szCs w:val="20"/>
        </w:rPr>
        <w:t>),</w:t>
      </w:r>
    </w:p>
    <w:p>
      <w:pPr>
        <w:pStyle w:val="TextBody"/>
        <w:numPr>
          <w:ilvl w:val="0"/>
          <w:numId w:val="3"/>
        </w:numPr>
        <w:spacing w:before="0" w:after="0"/>
        <w:rPr/>
      </w:pPr>
      <w:r>
        <w:rPr>
          <w:rStyle w:val="StrongEmphasis"/>
          <w:b w:val="false"/>
          <w:bCs w:val="false"/>
          <w:i/>
          <w:iCs/>
          <w:sz w:val="20"/>
          <w:szCs w:val="20"/>
        </w:rPr>
        <w:t>δ</w:t>
      </w:r>
      <w:r>
        <w:rPr>
          <w:rStyle w:val="StrongEmphasis"/>
          <w:b w:val="false"/>
          <w:bCs w:val="false"/>
          <w:sz w:val="20"/>
          <w:szCs w:val="20"/>
        </w:rPr>
        <w:t xml:space="preserve"> - </w:t>
      </w:r>
      <w:r>
        <w:rPr>
          <w:sz w:val="20"/>
          <w:szCs w:val="20"/>
        </w:rPr>
        <w:t>is the Dirac delta function.</w:t>
      </w:r>
    </w:p>
    <w:p>
      <w:pPr>
        <w:pStyle w:val="TextBody"/>
        <w:spacing w:before="0" w:after="0"/>
        <w:ind w:left="180" w:hanging="0"/>
        <w:rPr>
          <w:rFonts w:ascii="Times New Roman" w:hAnsi="Times New Roman"/>
          <w:sz w:val="20"/>
          <w:szCs w:val="20"/>
        </w:rPr>
      </w:pPr>
      <w:r>
        <w:rPr>
          <w:sz w:val="20"/>
          <w:szCs w:val="20"/>
        </w:rPr>
      </w:r>
    </w:p>
    <w:p>
      <w:pPr>
        <w:pStyle w:val="TextBody"/>
        <w:spacing w:lineRule="auto" w:line="240"/>
        <w:ind w:left="180" w:hanging="0"/>
        <w:rPr/>
      </w:pPr>
      <w:r>
        <w:rPr>
          <w:sz w:val="20"/>
          <w:szCs w:val="20"/>
        </w:rPr>
        <w:t>The discharge rate</w:t>
      </w:r>
      <w:r>
        <w:rPr>
          <w:i/>
          <w:iCs/>
          <w:sz w:val="20"/>
          <w:szCs w:val="20"/>
        </w:rPr>
        <w:t> </w:t>
      </w:r>
      <w:r>
        <w:rPr>
          <w:rStyle w:val="StrongEmphasis"/>
          <w:b w:val="false"/>
          <w:bCs w:val="false"/>
          <w:i/>
          <w:iCs/>
          <w:sz w:val="20"/>
          <w:szCs w:val="20"/>
        </w:rPr>
        <w:t>Qi</w:t>
      </w:r>
      <w:r>
        <w:rPr>
          <w:i/>
          <w:iCs/>
          <w:sz w:val="20"/>
          <w:szCs w:val="20"/>
        </w:rPr>
        <w:t> </w:t>
      </w:r>
      <w:r>
        <w:rPr>
          <w:sz w:val="20"/>
          <w:szCs w:val="20"/>
        </w:rPr>
        <w:t xml:space="preserve">is determined by: </w:t>
      </w:r>
      <w:r>
        <w:rPr>
          <w:rStyle w:val="StrongEmphasis"/>
          <w:b w:val="false"/>
          <w:bCs w:val="false"/>
          <w:i/>
          <w:iCs/>
          <w:sz w:val="20"/>
          <w:szCs w:val="20"/>
        </w:rPr>
        <w:t>Qi = (Ci·Pi)/Vcell</w:t>
      </w:r>
    </w:p>
    <w:p>
      <w:pPr>
        <w:pStyle w:val="TextBody"/>
        <w:spacing w:lineRule="auto" w:line="240"/>
        <w:ind w:left="180" w:hanging="0"/>
        <w:rPr>
          <w:rFonts w:ascii="Times New Roman" w:hAnsi="Times New Roman"/>
          <w:sz w:val="20"/>
          <w:szCs w:val="20"/>
        </w:rPr>
      </w:pPr>
      <w:r>
        <w:rPr>
          <w:sz w:val="20"/>
          <w:szCs w:val="20"/>
        </w:rPr>
        <w:t>where:</w:t>
      </w:r>
    </w:p>
    <w:p>
      <w:pPr>
        <w:pStyle w:val="TextBody"/>
        <w:numPr>
          <w:ilvl w:val="0"/>
          <w:numId w:val="4"/>
        </w:numPr>
        <w:spacing w:lineRule="auto" w:line="240" w:before="0" w:after="0"/>
        <w:rPr/>
      </w:pPr>
      <w:r>
        <w:rPr>
          <w:rStyle w:val="StrongEmphasis"/>
          <w:b w:val="false"/>
          <w:bCs w:val="false"/>
          <w:i/>
          <w:iCs/>
          <w:sz w:val="20"/>
          <w:szCs w:val="20"/>
        </w:rPr>
        <w:t>Ci</w:t>
      </w:r>
      <w:r>
        <w:rPr>
          <w:rStyle w:val="StrongEmphasis"/>
          <w:b w:val="false"/>
          <w:bCs w:val="false"/>
          <w:sz w:val="20"/>
          <w:szCs w:val="20"/>
        </w:rPr>
        <w:t xml:space="preserve"> - </w:t>
      </w:r>
      <w:r>
        <w:rPr>
          <w:sz w:val="20"/>
          <w:szCs w:val="20"/>
        </w:rPr>
        <w:t>is the contaminant concentration in the wastewater from the i-th source,</w:t>
      </w:r>
    </w:p>
    <w:p>
      <w:pPr>
        <w:pStyle w:val="TextBody"/>
        <w:numPr>
          <w:ilvl w:val="0"/>
          <w:numId w:val="4"/>
        </w:numPr>
        <w:spacing w:lineRule="auto" w:line="240" w:before="0" w:after="0"/>
        <w:rPr/>
      </w:pPr>
      <w:r>
        <w:rPr>
          <w:rStyle w:val="StrongEmphasis"/>
          <w:b w:val="false"/>
          <w:bCs w:val="false"/>
          <w:i/>
          <w:iCs/>
          <w:sz w:val="20"/>
          <w:szCs w:val="20"/>
        </w:rPr>
        <w:t>Pi</w:t>
      </w:r>
      <w:r>
        <w:rPr>
          <w:rStyle w:val="StrongEmphasis"/>
          <w:b w:val="false"/>
          <w:bCs w:val="false"/>
          <w:sz w:val="20"/>
          <w:szCs w:val="20"/>
        </w:rPr>
        <w:t xml:space="preserve"> - </w:t>
      </w:r>
      <w:r>
        <w:rPr>
          <w:sz w:val="20"/>
          <w:szCs w:val="20"/>
        </w:rPr>
        <w:t>is its volumetric flow rate,</w:t>
      </w:r>
    </w:p>
    <w:p>
      <w:pPr>
        <w:pStyle w:val="TextBody"/>
        <w:numPr>
          <w:ilvl w:val="0"/>
          <w:numId w:val="4"/>
        </w:numPr>
        <w:spacing w:lineRule="auto" w:line="240" w:before="0" w:after="0"/>
        <w:rPr/>
      </w:pPr>
      <w:r>
        <w:rPr>
          <w:rStyle w:val="StrongEmphasis"/>
          <w:b w:val="false"/>
          <w:bCs w:val="false"/>
          <w:i/>
          <w:iCs/>
          <w:sz w:val="20"/>
          <w:szCs w:val="20"/>
        </w:rPr>
        <w:t>Vcell</w:t>
      </w:r>
      <w:r>
        <w:rPr>
          <w:rStyle w:val="StrongEmphasis"/>
          <w:b w:val="false"/>
          <w:bCs w:val="false"/>
          <w:sz w:val="20"/>
          <w:szCs w:val="20"/>
        </w:rPr>
        <w:t xml:space="preserve"> - </w:t>
      </w:r>
      <w:r>
        <w:rPr>
          <w:sz w:val="20"/>
          <w:szCs w:val="20"/>
        </w:rPr>
        <w:t>is the volume of the grid cell containing the source.</w:t>
      </w:r>
    </w:p>
    <w:p>
      <w:pPr>
        <w:pStyle w:val="TextBody"/>
        <w:spacing w:lineRule="auto" w:line="240"/>
        <w:ind w:left="180" w:hanging="0"/>
        <w:rPr>
          <w:rFonts w:ascii="Times New Roman" w:hAnsi="Times New Roman"/>
          <w:sz w:val="20"/>
          <w:szCs w:val="20"/>
        </w:rPr>
      </w:pPr>
      <w:r>
        <w:rPr>
          <w:sz w:val="20"/>
          <w:szCs w:val="20"/>
        </w:rPr>
      </w:r>
    </w:p>
    <w:p>
      <w:pPr>
        <w:pStyle w:val="TextBody"/>
        <w:spacing w:lineRule="auto" w:line="240"/>
        <w:ind w:left="180" w:hanging="0"/>
        <w:rPr>
          <w:rFonts w:ascii="Times New Roman" w:hAnsi="Times New Roman"/>
          <w:sz w:val="20"/>
          <w:szCs w:val="20"/>
        </w:rPr>
      </w:pPr>
      <w:r>
        <w:rPr>
          <w:sz w:val="20"/>
          <w:szCs w:val="20"/>
        </w:rPr>
        <w:t>The model assumes no contaminant exchange with either the atmosphere or the bottom. Thus, the boundary conditions are applied:</w:t>
      </w:r>
    </w:p>
    <w:p>
      <w:pPr>
        <w:pStyle w:val="TextBody"/>
        <w:numPr>
          <w:ilvl w:val="0"/>
          <w:numId w:val="2"/>
        </w:numPr>
        <w:spacing w:lineRule="auto" w:line="240" w:before="0" w:after="0"/>
        <w:rPr/>
      </w:pPr>
      <w:r>
        <w:rPr>
          <w:sz w:val="20"/>
          <w:szCs w:val="20"/>
        </w:rPr>
        <w:t>At the free surface (σ = 0): </w:t>
      </w:r>
      <w:r>
        <w:rPr>
          <w:rStyle w:val="StrongEmphasis"/>
          <w:b w:val="false"/>
          <w:bCs w:val="false"/>
          <w:sz w:val="20"/>
          <w:szCs w:val="20"/>
        </w:rPr>
        <w:t>[vertical flux condition]</w:t>
      </w:r>
    </w:p>
    <w:p>
      <w:pPr>
        <w:pStyle w:val="TextBody"/>
        <w:numPr>
          <w:ilvl w:val="0"/>
          <w:numId w:val="2"/>
        </w:numPr>
        <w:spacing w:lineRule="auto" w:line="240" w:before="0" w:after="0"/>
        <w:rPr/>
      </w:pPr>
      <w:r>
        <w:rPr>
          <w:sz w:val="20"/>
          <w:szCs w:val="20"/>
        </w:rPr>
        <w:t>At the bottom (σ = 1): </w:t>
      </w:r>
      <w:r>
        <w:rPr>
          <w:rStyle w:val="StrongEmphasis"/>
          <w:b w:val="false"/>
          <w:bCs w:val="false"/>
          <w:sz w:val="20"/>
          <w:szCs w:val="20"/>
        </w:rPr>
        <w:t>[bottom flux condition]</w:t>
      </w:r>
    </w:p>
    <w:sectPr>
      <w:footerReference w:type="default" r:id="rId3"/>
      <w:type w:val="nextPage"/>
      <w:pgSz w:w="11906" w:h="16838"/>
      <w:pgMar w:left="1701" w:right="850" w:header="0" w:top="1134" w:footer="1134" w:bottom="1673"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imes New Roman Полужирный">
    <w:charset w:val="01"/>
    <w:family w:val="roman"/>
    <w:pitch w:val="variable"/>
  </w:font>
  <w:font w:name="Liberation Sans">
    <w:altName w:val="Arial"/>
    <w:charset w:val="01"/>
    <w:family w:val="roman"/>
    <w:pitch w:val="variable"/>
  </w:font>
  <w:font w:name="Arial">
    <w:charset w:val="01"/>
    <w:family w:val="roman"/>
    <w:pitch w:val="variable"/>
  </w:font>
  <w:font w:name="Arial">
    <w:charset w:val="01"/>
    <w:family w:val="swiss"/>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6</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suff w:val="space"/>
      <w:lvlText w:val="%1"/>
      <w:lvlJc w:val="left"/>
      <w:pPr>
        <w:tabs>
          <w:tab w:val="num" w:pos="0"/>
        </w:tabs>
        <w:ind w:left="0" w:firstLine="851"/>
      </w:pPr>
    </w:lvl>
    <w:lvl w:ilvl="1">
      <w:start w:val="1"/>
      <w:pStyle w:val="Heading2"/>
      <w:numFmt w:val="decimal"/>
      <w:suff w:val="space"/>
      <w:lvlText w:val="%1.%2"/>
      <w:lvlJc w:val="left"/>
      <w:pPr>
        <w:tabs>
          <w:tab w:val="num" w:pos="0"/>
        </w:tabs>
        <w:ind w:left="-141" w:firstLine="851"/>
      </w:pPr>
    </w:lvl>
    <w:lvl w:ilvl="2">
      <w:start w:val="1"/>
      <w:pStyle w:val="Heading3"/>
      <w:numFmt w:val="decimal"/>
      <w:suff w:val="space"/>
      <w:lvlText w:val="%1.%2.%3"/>
      <w:lvlJc w:val="left"/>
      <w:pPr>
        <w:tabs>
          <w:tab w:val="num" w:pos="0"/>
        </w:tabs>
        <w:ind w:left="284" w:firstLine="851"/>
      </w:pPr>
    </w:lvl>
    <w:lvl w:ilvl="3">
      <w:start w:val="1"/>
      <w:pStyle w:val="Heading4"/>
      <w:numFmt w:val="decimal"/>
      <w:suff w:val="space"/>
      <w:lvlText w:val="%1.%2.%3.%4"/>
      <w:lvlJc w:val="left"/>
      <w:pPr>
        <w:tabs>
          <w:tab w:val="num" w:pos="0"/>
        </w:tabs>
        <w:ind w:left="0" w:firstLine="851"/>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kern w:val="2"/>
        <w:sz w:val="20"/>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59" w:before="0" w:after="160"/>
      <w:jc w:val="left"/>
    </w:pPr>
    <w:rPr>
      <w:rFonts w:ascii="Times New Roman" w:hAnsi="Times New Roman" w:eastAsia="Times New Roman" w:cs="DejaVu Sans"/>
      <w:color w:val="auto"/>
      <w:kern w:val="2"/>
      <w:sz w:val="22"/>
      <w:szCs w:val="22"/>
      <w:lang w:val="ru-RU" w:eastAsia="en-US" w:bidi="ar-SA"/>
    </w:rPr>
  </w:style>
  <w:style w:type="paragraph" w:styleId="Heading1">
    <w:name w:val="Heading 1"/>
    <w:basedOn w:val="Normal"/>
    <w:next w:val="Normal"/>
    <w:qFormat/>
    <w:pPr>
      <w:keepNext w:val="true"/>
      <w:keepLines/>
      <w:numPr>
        <w:ilvl w:val="0"/>
        <w:numId w:val="1"/>
      </w:numPr>
      <w:spacing w:lineRule="auto" w:line="240" w:before="120" w:after="120"/>
      <w:jc w:val="both"/>
      <w:outlineLvl w:val="0"/>
    </w:pPr>
    <w:rPr>
      <w:rFonts w:eastAsia="Calibri" w:cs="DejaVu Sans"/>
      <w:b/>
      <w:caps/>
      <w:kern w:val="0"/>
      <w:sz w:val="32"/>
      <w:szCs w:val="32"/>
    </w:rPr>
  </w:style>
  <w:style w:type="paragraph" w:styleId="Heading2">
    <w:name w:val="Heading 2"/>
    <w:basedOn w:val="Normal"/>
    <w:next w:val="Normal"/>
    <w:qFormat/>
    <w:pPr>
      <w:keepNext w:val="true"/>
      <w:keepLines/>
      <w:numPr>
        <w:ilvl w:val="1"/>
        <w:numId w:val="1"/>
      </w:numPr>
      <w:spacing w:lineRule="auto" w:line="240" w:before="120" w:after="120"/>
      <w:ind w:left="0" w:right="0" w:hanging="0"/>
      <w:jc w:val="both"/>
      <w:outlineLvl w:val="1"/>
    </w:pPr>
    <w:rPr>
      <w:rFonts w:eastAsia="Calibri" w:cs="DejaVu Sans"/>
      <w:b/>
      <w:caps/>
      <w:kern w:val="0"/>
      <w:sz w:val="28"/>
      <w:szCs w:val="26"/>
    </w:rPr>
  </w:style>
  <w:style w:type="paragraph" w:styleId="Heading3">
    <w:name w:val="Heading 3"/>
    <w:basedOn w:val="Normal"/>
    <w:next w:val="Normal"/>
    <w:qFormat/>
    <w:pPr>
      <w:keepNext w:val="true"/>
      <w:keepLines/>
      <w:numPr>
        <w:ilvl w:val="2"/>
        <w:numId w:val="1"/>
      </w:numPr>
      <w:spacing w:lineRule="auto" w:line="240" w:before="60" w:after="60"/>
      <w:ind w:left="0" w:right="0" w:hanging="0"/>
      <w:jc w:val="both"/>
      <w:outlineLvl w:val="2"/>
    </w:pPr>
    <w:rPr>
      <w:rFonts w:ascii="Times New Roman Полужирный" w:hAnsi="Times New Roman Полужирный" w:eastAsia="Calibri" w:cs="DejaVu Sans"/>
      <w:b/>
      <w:bCs/>
      <w:kern w:val="0"/>
      <w:sz w:val="28"/>
      <w:szCs w:val="28"/>
    </w:rPr>
  </w:style>
  <w:style w:type="paragraph" w:styleId="Heading4">
    <w:name w:val="Heading 4"/>
    <w:basedOn w:val="Normal"/>
    <w:next w:val="Normal"/>
    <w:qFormat/>
    <w:pPr>
      <w:keepNext w:val="true"/>
      <w:keepLines/>
      <w:numPr>
        <w:ilvl w:val="3"/>
        <w:numId w:val="1"/>
      </w:numPr>
      <w:spacing w:lineRule="auto" w:line="240" w:before="60" w:after="60"/>
      <w:contextualSpacing/>
      <w:jc w:val="both"/>
      <w:outlineLvl w:val="3"/>
    </w:pPr>
    <w:rPr>
      <w:rFonts w:eastAsia="Calibri" w:cs="DejaVu Sans"/>
      <w:b/>
      <w:iCs/>
      <w:kern w:val="0"/>
      <w:sz w:val="24"/>
      <w:szCs w:val="26"/>
    </w:rPr>
  </w:style>
  <w:style w:type="character" w:styleId="DefaultParagraphFont">
    <w:name w:val="Default Paragraph Font"/>
    <w:qFormat/>
    <w:rPr>
      <w:rFonts w:ascii="Times New Roman" w:hAnsi="Times New Roman"/>
      <w:sz w:val="20"/>
      <w:szCs w:val="20"/>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954F72"/>
      <w:u w:val="single"/>
    </w:rPr>
  </w:style>
  <w:style w:type="character" w:styleId="1">
    <w:name w:val="Неразрешенное упоминание1"/>
    <w:basedOn w:val="DefaultParagraphFont"/>
    <w:qFormat/>
    <w:rPr>
      <w:color w:val="605E5C"/>
      <w:highlight w:val="lightGray"/>
    </w:rPr>
  </w:style>
  <w:style w:type="character" w:styleId="11">
    <w:name w:val="Заголовок 1 Знак"/>
    <w:basedOn w:val="DefaultParagraphFont"/>
    <w:qFormat/>
    <w:rPr>
      <w:rFonts w:ascii="Times New Roman" w:hAnsi="Times New Roman" w:eastAsia="Calibri" w:cs="DejaVu Sans"/>
      <w:b/>
      <w:caps/>
      <w:kern w:val="0"/>
      <w:sz w:val="32"/>
      <w:szCs w:val="32"/>
    </w:rPr>
  </w:style>
  <w:style w:type="character" w:styleId="2">
    <w:name w:val="Заголовок 2 Знак"/>
    <w:basedOn w:val="DefaultParagraphFont"/>
    <w:qFormat/>
    <w:rPr>
      <w:rFonts w:ascii="Times New Roman" w:hAnsi="Times New Roman" w:eastAsia="Calibri" w:cs="DejaVu Sans"/>
      <w:b/>
      <w:caps/>
      <w:kern w:val="0"/>
      <w:sz w:val="28"/>
      <w:szCs w:val="26"/>
    </w:rPr>
  </w:style>
  <w:style w:type="character" w:styleId="3">
    <w:name w:val="Заголовок 3 Знак"/>
    <w:basedOn w:val="DefaultParagraphFont"/>
    <w:qFormat/>
    <w:rPr>
      <w:rFonts w:ascii="Times New Roman Полужирный" w:hAnsi="Times New Roman Полужирный" w:eastAsia="Calibri" w:cs="DejaVu Sans"/>
      <w:b/>
      <w:bCs/>
      <w:kern w:val="0"/>
      <w:sz w:val="28"/>
      <w:szCs w:val="28"/>
    </w:rPr>
  </w:style>
  <w:style w:type="character" w:styleId="4">
    <w:name w:val="Заголовок 4 Знак"/>
    <w:basedOn w:val="DefaultParagraphFont"/>
    <w:qFormat/>
    <w:rPr>
      <w:rFonts w:ascii="Times New Roman" w:hAnsi="Times New Roman" w:eastAsia="Calibri" w:cs="DejaVu Sans"/>
      <w:b/>
      <w:iCs/>
      <w:kern w:val="0"/>
      <w:sz w:val="24"/>
      <w:szCs w:val="26"/>
    </w:rPr>
  </w:style>
  <w:style w:type="character" w:styleId="AFigure">
    <w:name w:val="_A_Figure Знак"/>
    <w:basedOn w:val="DefaultParagraphFont"/>
    <w:qFormat/>
    <w:rPr>
      <w:rFonts w:ascii="Times New Roman" w:hAnsi="Times New Roman" w:eastAsia="Times New Roman" w:cs="Times New Roman"/>
      <w:kern w:val="0"/>
      <w:sz w:val="24"/>
      <w:szCs w:val="24"/>
      <w:lang w:eastAsia="ru-RU"/>
    </w:rPr>
  </w:style>
  <w:style w:type="character" w:styleId="Style10">
    <w:name w:val="Верхний колонтитул Знак"/>
    <w:basedOn w:val="DefaultParagraphFont"/>
    <w:qFormat/>
    <w:rPr/>
  </w:style>
  <w:style w:type="character" w:styleId="Style11">
    <w:name w:val="Нижний колонтитул Знак"/>
    <w:basedOn w:val="DefaultParagraphFont"/>
    <w:qFormat/>
    <w:rPr/>
  </w:style>
  <w:style w:type="character" w:styleId="Style12">
    <w:name w:val="Формула Знак"/>
    <w:basedOn w:val="AFigure"/>
    <w:qFormat/>
    <w:rPr>
      <w:rFonts w:ascii="Times New Roman" w:hAnsi="Times New Roman" w:eastAsia="Arial Unicode MS" w:cs="Times New Roman"/>
      <w:caps/>
      <w:kern w:val="0"/>
      <w:sz w:val="24"/>
      <w:szCs w:val="24"/>
      <w:lang w:eastAsia="ru-RU"/>
    </w:rPr>
  </w:style>
  <w:style w:type="character" w:styleId="MStitleChar">
    <w:name w:val="MS title Char"/>
    <w:basedOn w:val="DefaultParagraphFont"/>
    <w:qFormat/>
    <w:rPr>
      <w:rFonts w:ascii="Times New Roman" w:hAnsi="Times New Roman" w:eastAsia="Times New Roman" w:cs="Times New Roman"/>
      <w:b/>
      <w:kern w:val="0"/>
      <w:sz w:val="34"/>
      <w:szCs w:val="24"/>
      <w:lang w:val="en-GB" w:eastAsia="de-DE"/>
    </w:rPr>
  </w:style>
  <w:style w:type="character" w:styleId="Katexmathml">
    <w:name w:val="katex-mathml"/>
    <w:basedOn w:val="DefaultParagraphFont"/>
    <w:qFormat/>
    <w:rPr/>
  </w:style>
  <w:style w:type="character" w:styleId="Mord">
    <w:name w:val="mord"/>
    <w:basedOn w:val="DefaultParagraphFont"/>
    <w:qFormat/>
    <w:rPr/>
  </w:style>
  <w:style w:type="character" w:styleId="Vlists">
    <w:name w:val="vlist-s"/>
    <w:basedOn w:val="DefaultParagraphFont"/>
    <w:qFormat/>
    <w:rPr/>
  </w:style>
  <w:style w:type="character" w:styleId="Mrel">
    <w:name w:val="mrel"/>
    <w:basedOn w:val="DefaultParagraphFont"/>
    <w:qFormat/>
    <w:rPr/>
  </w:style>
  <w:style w:type="character" w:styleId="Mbin">
    <w:name w:val="mbin"/>
    <w:basedOn w:val="DefaultParagraphFont"/>
    <w:qFormat/>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NumberingSymbols">
    <w:name w:val="Numbering Symbols"/>
    <w:qFormat/>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next w:val="Normal"/>
    <w:qFormat/>
    <w:pPr>
      <w:spacing w:lineRule="auto" w:line="240" w:before="0" w:after="200"/>
    </w:pPr>
    <w:rPr>
      <w:i/>
      <w:iCs/>
      <w:color w:val="44546A"/>
      <w:sz w:val="18"/>
      <w:szCs w:val="18"/>
    </w:rPr>
  </w:style>
  <w:style w:type="paragraph" w:styleId="Index">
    <w:name w:val="Index"/>
    <w:basedOn w:val="Normal"/>
    <w:qFormat/>
    <w:pPr>
      <w:suppressLineNumbers/>
    </w:pPr>
    <w:rPr>
      <w:rFonts w:cs="Lohit Devanagari"/>
    </w:rPr>
  </w:style>
  <w:style w:type="paragraph" w:styleId="Style13">
    <w:name w:val="Наименование документа в Комплекте"/>
    <w:basedOn w:val="Normal"/>
    <w:qFormat/>
    <w:pPr>
      <w:spacing w:lineRule="auto" w:line="240" w:before="120" w:after="240"/>
      <w:ind w:left="0" w:right="0" w:firstLine="851"/>
      <w:jc w:val="both"/>
    </w:pPr>
    <w:rPr>
      <w:rFonts w:cs="Times New Roman"/>
      <w:b/>
      <w:bCs/>
      <w:kern w:val="0"/>
      <w:sz w:val="36"/>
      <w:szCs w:val="20"/>
      <w:lang w:eastAsia="ru-RU"/>
    </w:rPr>
  </w:style>
  <w:style w:type="paragraph" w:styleId="NormalWeb">
    <w:name w:val="Normal (Web)"/>
    <w:basedOn w:val="Normal"/>
    <w:qFormat/>
    <w:pPr>
      <w:keepNext w:val="false"/>
      <w:spacing w:lineRule="auto" w:line="240" w:before="0" w:after="0"/>
    </w:pPr>
    <w:rPr>
      <w:rFonts w:cs="Times New Roman"/>
      <w:kern w:val="0"/>
      <w:sz w:val="24"/>
      <w:szCs w:val="24"/>
      <w:lang w:eastAsia="ru-RU"/>
    </w:rPr>
  </w:style>
  <w:style w:type="paragraph" w:styleId="ListParagraph">
    <w:name w:val="List Paragraph"/>
    <w:basedOn w:val="Normal"/>
    <w:qFormat/>
    <w:pPr>
      <w:spacing w:before="0" w:after="160"/>
      <w:ind w:left="720" w:right="0" w:hanging="0"/>
      <w:contextualSpacing/>
    </w:pPr>
    <w:rPr/>
  </w:style>
  <w:style w:type="paragraph" w:styleId="111">
    <w:name w:val="Основной_текст(1.1)"/>
    <w:basedOn w:val="Normal"/>
    <w:qFormat/>
    <w:pPr>
      <w:tabs>
        <w:tab w:val="clear" w:pos="708"/>
        <w:tab w:val="left" w:pos="360" w:leader="none"/>
      </w:tabs>
      <w:spacing w:lineRule="auto" w:line="240" w:before="0" w:after="0"/>
      <w:jc w:val="both"/>
    </w:pPr>
    <w:rPr>
      <w:rFonts w:cs="Times New Roman"/>
      <w:kern w:val="0"/>
      <w:sz w:val="24"/>
      <w:szCs w:val="20"/>
      <w:lang w:eastAsia="ru-RU"/>
    </w:rPr>
  </w:style>
  <w:style w:type="paragraph" w:styleId="1111">
    <w:name w:val="Основной_текст(1.1.1)"/>
    <w:basedOn w:val="Normal"/>
    <w:qFormat/>
    <w:pPr>
      <w:spacing w:lineRule="auto" w:line="240" w:before="0" w:after="0"/>
      <w:jc w:val="both"/>
    </w:pPr>
    <w:rPr>
      <w:rFonts w:cs="Times New Roman"/>
      <w:kern w:val="0"/>
      <w:sz w:val="24"/>
      <w:szCs w:val="20"/>
      <w:lang w:eastAsia="ru-RU"/>
    </w:rPr>
  </w:style>
  <w:style w:type="paragraph" w:styleId="11111">
    <w:name w:val="Основной_текст(1.1.1.1)"/>
    <w:basedOn w:val="1111"/>
    <w:qFormat/>
    <w:pPr/>
    <w:rPr/>
  </w:style>
  <w:style w:type="paragraph" w:styleId="111111">
    <w:name w:val="Основной_текст(1.1.1.1.1)"/>
    <w:basedOn w:val="11111"/>
    <w:qFormat/>
    <w:pPr>
      <w:tabs>
        <w:tab w:val="clear" w:pos="708"/>
        <w:tab w:val="left" w:pos="360" w:leader="none"/>
      </w:tabs>
    </w:pPr>
    <w:rPr/>
  </w:style>
  <w:style w:type="paragraph" w:styleId="LN2P">
    <w:name w:val="LN2P_Подпись_рисунка"/>
    <w:basedOn w:val="Normal"/>
    <w:qFormat/>
    <w:pPr>
      <w:tabs>
        <w:tab w:val="clear" w:pos="708"/>
        <w:tab w:val="left" w:pos="360" w:leader="none"/>
      </w:tabs>
      <w:spacing w:lineRule="auto" w:line="240" w:before="120" w:after="120"/>
      <w:jc w:val="center"/>
    </w:pPr>
    <w:rPr>
      <w:rFonts w:eastAsia="Calibri" w:cs="Times New Roman"/>
      <w:kern w:val="0"/>
      <w:sz w:val="24"/>
      <w:szCs w:val="24"/>
      <w:lang w:eastAsia="ru-RU"/>
    </w:rPr>
  </w:style>
  <w:style w:type="paragraph" w:styleId="AFigure1">
    <w:name w:val="_A_Figure"/>
    <w:basedOn w:val="Normal"/>
    <w:next w:val="Caption"/>
    <w:qFormat/>
    <w:pPr>
      <w:keepNext w:val="true"/>
      <w:keepLines/>
      <w:spacing w:lineRule="auto" w:line="240" w:before="120" w:after="120"/>
      <w:jc w:val="center"/>
    </w:pPr>
    <w:rPr>
      <w:rFonts w:cs="Times New Roman"/>
      <w:kern w:val="0"/>
      <w:sz w:val="24"/>
      <w:szCs w:val="24"/>
      <w:lang w:eastAsia="ru-RU"/>
    </w:rPr>
  </w:style>
  <w:style w:type="paragraph" w:styleId="ANumberFigureRus">
    <w:name w:val="_A_NumberFigureRus"/>
    <w:basedOn w:val="Normal"/>
    <w:next w:val="Normal"/>
    <w:qFormat/>
    <w:pPr>
      <w:keepLines/>
      <w:spacing w:lineRule="auto" w:line="240" w:before="120" w:after="120"/>
      <w:jc w:val="center"/>
    </w:pPr>
    <w:rPr>
      <w:rFonts w:cs="Times New Roman"/>
      <w:kern w:val="0"/>
      <w:sz w:val="24"/>
      <w:szCs w:val="24"/>
      <w:lang w:eastAsia="ru-RU"/>
    </w:rPr>
  </w:style>
  <w:style w:type="paragraph" w:styleId="ANumberFigureEng">
    <w:name w:val="_A_NumberFigureEng"/>
    <w:basedOn w:val="ANumberFigureRus"/>
    <w:next w:val="Normal"/>
    <w:qFormat/>
    <w:pPr>
      <w:ind w:left="0" w:right="0" w:firstLine="851"/>
    </w:pPr>
    <w:rPr/>
  </w:style>
  <w:style w:type="paragraph" w:styleId="ANumberTableRus">
    <w:name w:val="_A_NumberTableRus"/>
    <w:basedOn w:val="Normal"/>
    <w:next w:val="Normal"/>
    <w:qFormat/>
    <w:pPr>
      <w:keepNext w:val="true"/>
      <w:keepLines/>
      <w:spacing w:lineRule="auto" w:line="240" w:before="120" w:after="120"/>
      <w:jc w:val="both"/>
    </w:pPr>
    <w:rPr>
      <w:rFonts w:cs="Times New Roman"/>
      <w:kern w:val="0"/>
      <w:sz w:val="24"/>
      <w:szCs w:val="24"/>
      <w:lang w:eastAsia="ru-RU"/>
    </w:rPr>
  </w:style>
  <w:style w:type="paragraph" w:styleId="ANumberTableEng">
    <w:name w:val="_A_NumberTableEng"/>
    <w:basedOn w:val="ANumberTableRus"/>
    <w:next w:val="Normal"/>
    <w:qFormat/>
    <w:pPr>
      <w:ind w:left="284" w:right="0" w:firstLine="851"/>
    </w:pPr>
    <w:rPr>
      <w:lang w:val="en-US"/>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spacing w:lineRule="auto" w:line="240" w:before="0" w:after="0"/>
    </w:pPr>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ABodyText">
    <w:name w:val="_A_BodyText"/>
    <w:basedOn w:val="Normal"/>
    <w:qFormat/>
    <w:pPr>
      <w:spacing w:lineRule="auto" w:line="240" w:before="0" w:after="0"/>
      <w:ind w:left="0" w:right="0" w:firstLine="851"/>
      <w:jc w:val="both"/>
    </w:pPr>
    <w:rPr>
      <w:rFonts w:cs="Times New Roman"/>
      <w:kern w:val="0"/>
      <w:sz w:val="24"/>
      <w:szCs w:val="24"/>
      <w:lang w:eastAsia="ru-RU"/>
    </w:rPr>
  </w:style>
  <w:style w:type="paragraph" w:styleId="Style14">
    <w:name w:val="Формула"/>
    <w:basedOn w:val="AFigure1"/>
    <w:qFormat/>
    <w:pPr>
      <w:spacing w:before="0" w:after="0"/>
    </w:pPr>
    <w:rPr>
      <w:rFonts w:eastAsia="Arial Unicode MS"/>
      <w:caps/>
    </w:rPr>
  </w:style>
  <w:style w:type="paragraph" w:styleId="AEPNumberTableRus">
    <w:name w:val="_AEP_NumberTableRus"/>
    <w:basedOn w:val="Normal"/>
    <w:next w:val="Normal"/>
    <w:qFormat/>
    <w:pPr>
      <w:keepNext w:val="true"/>
      <w:keepLines/>
      <w:tabs>
        <w:tab w:val="clear" w:pos="708"/>
        <w:tab w:val="left" w:pos="360" w:leader="none"/>
      </w:tabs>
      <w:spacing w:lineRule="auto" w:line="240" w:before="120" w:after="120"/>
      <w:ind w:left="2149" w:right="0" w:hanging="360"/>
      <w:jc w:val="both"/>
    </w:pPr>
    <w:rPr>
      <w:rFonts w:cs="Times New Roman"/>
      <w:kern w:val="0"/>
      <w:sz w:val="24"/>
      <w:szCs w:val="24"/>
      <w:lang w:eastAsia="ru-RU"/>
    </w:rPr>
  </w:style>
  <w:style w:type="paragraph" w:styleId="ATableNormal">
    <w:name w:val="_A_TableNormal"/>
    <w:basedOn w:val="Normal"/>
    <w:next w:val="Normal"/>
    <w:qFormat/>
    <w:pPr>
      <w:spacing w:lineRule="auto" w:line="240" w:before="20" w:after="20"/>
      <w:ind w:left="57" w:right="57" w:hanging="0"/>
      <w:jc w:val="both"/>
    </w:pPr>
    <w:rPr>
      <w:rFonts w:cs="Times New Roman"/>
      <w:kern w:val="0"/>
      <w:sz w:val="24"/>
      <w:szCs w:val="24"/>
      <w:lang w:eastAsia="ru-RU"/>
    </w:rPr>
  </w:style>
  <w:style w:type="paragraph" w:styleId="NoSpacing">
    <w:name w:val="No Spacing"/>
    <w:qFormat/>
    <w:pPr>
      <w:widowControl/>
      <w:suppressAutoHyphens w:val="true"/>
      <w:overflowPunct w:val="false"/>
      <w:bidi w:val="0"/>
      <w:spacing w:before="0" w:after="0"/>
      <w:jc w:val="both"/>
    </w:pPr>
    <w:rPr>
      <w:rFonts w:ascii="Times New Roman" w:hAnsi="Times New Roman" w:eastAsia="Calibri" w:cs="Times New Roman"/>
      <w:color w:val="auto"/>
      <w:kern w:val="0"/>
      <w:sz w:val="24"/>
      <w:szCs w:val="24"/>
      <w:lang w:val="ru-RU" w:eastAsia="ru-RU" w:bidi="ar-SA"/>
    </w:rPr>
  </w:style>
  <w:style w:type="paragraph" w:styleId="Style15">
    <w:name w:val="Ненумеруемый раздел"/>
    <w:basedOn w:val="Normal"/>
    <w:qFormat/>
    <w:pPr>
      <w:keepNext w:val="true"/>
      <w:keepLines/>
      <w:pageBreakBefore/>
      <w:spacing w:lineRule="auto" w:line="240" w:before="120" w:after="240"/>
      <w:jc w:val="center"/>
      <w:outlineLvl w:val="0"/>
    </w:pPr>
    <w:rPr>
      <w:rFonts w:ascii="Times New Roman Полужирный" w:hAnsi="Times New Roman Полужирный" w:cs="Times New Roman"/>
      <w:b/>
      <w:bCs/>
      <w:caps/>
      <w:kern w:val="0"/>
      <w:sz w:val="28"/>
      <w:szCs w:val="20"/>
    </w:rPr>
  </w:style>
  <w:style w:type="paragraph" w:styleId="MStitle">
    <w:name w:val="MS title"/>
    <w:basedOn w:val="Normal"/>
    <w:qFormat/>
    <w:pPr>
      <w:spacing w:lineRule="exact" w:line="440" w:before="360" w:after="0"/>
      <w:contextualSpacing/>
      <w:jc w:val="both"/>
    </w:pPr>
    <w:rPr>
      <w:rFonts w:cs="Times New Roman"/>
      <w:b/>
      <w:kern w:val="0"/>
      <w:sz w:val="34"/>
      <w:szCs w:val="24"/>
      <w:lang w:val="en-GB" w:eastAsia="de-DE"/>
    </w:rPr>
  </w:style>
  <w:style w:type="paragraph" w:styleId="Default">
    <w:name w:val="Default"/>
    <w:qFormat/>
    <w:pPr>
      <w:widowControl/>
      <w:suppressAutoHyphens w:val="true"/>
      <w:overflowPunct w:val="fals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DefaultStyleph">
    <w:name w:val="Default Styleph"/>
    <w:basedOn w:val="ListParagraph"/>
    <w:qFormat/>
    <w:pPr>
      <w:spacing w:lineRule="auto" w:line="276" w:before="0" w:after="0"/>
      <w:contextualSpacing/>
      <w:jc w:val="both"/>
    </w:pPr>
    <w:rPr>
      <w:b/>
      <w:bCs/>
      <w:sz w:val="24"/>
      <w:szCs w:val="24"/>
      <w:lang w:val="en-GB"/>
    </w:rPr>
  </w:style>
  <w:style w:type="paragraph" w:styleId="TableContents">
    <w:name w:val="Table Contents"/>
    <w:basedOn w:val="Normal"/>
    <w:qFormat/>
    <w:pPr>
      <w:suppressLineNumbers/>
    </w:pPr>
    <w:rPr/>
  </w:style>
  <w:style w:type="paragraph" w:styleId="TableHeading">
    <w:name w:val="Table Heading"/>
    <w:basedOn w:val="TableContents"/>
    <w:qFormat/>
    <w:pPr>
      <w:jc w:val="center"/>
    </w:pPr>
    <w:rPr>
      <w:b/>
      <w:bCs/>
    </w:rPr>
  </w:style>
  <w:style w:type="paragraph" w:styleId="TextBodyIndent">
    <w:name w:val="Body Text Indent"/>
    <w:basedOn w:val="Normal"/>
    <w:pPr/>
    <w:rPr>
      <w:rFonts w:ascii="Times New Roman" w:hAnsi="Times New Roman" w:cs="Times New Roman"/>
      <w:lang w:val="ru-RU"/>
    </w:rPr>
  </w:style>
  <w:style w:type="numbering" w:styleId="NoList">
    <w:name w:val="No List"/>
    <w:qFormat/>
  </w:style>
  <w:style w:type="numbering" w:styleId="AMLFigure3">
    <w:name w:val="_A_ML_Figure3"/>
    <w:qFormat/>
  </w:style>
  <w:style w:type="numbering" w:styleId="AMLFigure">
    <w:name w:val="_A_ML_Figur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cpo.odu.edu/POMWEB/UG.10-2002.pdf"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450</TotalTime>
  <Application>LibreOffice/6.4.7.2$Linux_X86_64 LibreOffice_project/40$Build-2</Application>
  <Pages>6</Pages>
  <Words>2131</Words>
  <Characters>9772</Characters>
  <CharactersWithSpaces>10880</CharactersWithSpaces>
  <Paragraphs>1004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2025-01-14T20:28:00Z</dcterms:created>
  <dc:creator>Владимир Рябченко</dc:creator>
  <dc:description/>
  <dc:language>ru-RU</dc:language>
  <cp:lastModifiedBy/>
  <dcterms:modified xsi:type="dcterms:W3CDTF">2025-06-25T15:03:55Z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