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0BD" w:rsidRPr="002C1B40" w:rsidRDefault="00B620BD" w:rsidP="00B620BD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lang w:val="en-GB"/>
        </w:rPr>
      </w:pPr>
      <w:r w:rsidRPr="003921D8">
        <w:rPr>
          <w:rFonts w:ascii="Arial" w:hAnsi="Arial" w:cs="Arial"/>
          <w:b/>
          <w:sz w:val="28"/>
          <w:szCs w:val="28"/>
          <w:lang w:val="en-GB"/>
        </w:rPr>
        <w:t xml:space="preserve">Assessing livelihood-ecosystem interdependencies and natural resource governance in </w:t>
      </w:r>
      <w:r>
        <w:rPr>
          <w:rFonts w:ascii="Arial" w:hAnsi="Arial" w:cs="Arial"/>
          <w:b/>
          <w:sz w:val="28"/>
          <w:szCs w:val="28"/>
          <w:lang w:val="en-GB"/>
        </w:rPr>
        <w:t xml:space="preserve">a tribally controlled region of India’s north-eastern Middle </w:t>
      </w:r>
      <w:r w:rsidRPr="003921D8">
        <w:rPr>
          <w:rFonts w:ascii="Arial" w:hAnsi="Arial" w:cs="Arial"/>
          <w:b/>
          <w:sz w:val="28"/>
          <w:szCs w:val="28"/>
          <w:lang w:val="en-GB"/>
        </w:rPr>
        <w:t>Himalayas</w:t>
      </w:r>
    </w:p>
    <w:p w:rsidR="00B620BD" w:rsidRDefault="00B620BD" w:rsidP="00B620BD">
      <w:pPr>
        <w:spacing w:after="0" w:line="276" w:lineRule="auto"/>
        <w:rPr>
          <w:rFonts w:ascii="Arial" w:eastAsia="Times New Roman" w:hAnsi="Arial" w:cs="Times New Roman"/>
          <w:sz w:val="24"/>
          <w:szCs w:val="20"/>
          <w:lang w:val="en-GB" w:eastAsia="en-GB"/>
        </w:rPr>
      </w:pPr>
    </w:p>
    <w:p w:rsidR="00B620BD" w:rsidRPr="000A362A" w:rsidRDefault="00B620BD" w:rsidP="00B620BD">
      <w:pPr>
        <w:spacing w:after="0" w:line="276" w:lineRule="auto"/>
        <w:rPr>
          <w:rFonts w:ascii="Arial" w:eastAsia="Times New Roman" w:hAnsi="Arial" w:cs="Times New Roman"/>
          <w:b/>
          <w:lang w:val="en-GB" w:eastAsia="en-GB"/>
        </w:rPr>
      </w:pPr>
      <w:r w:rsidRPr="00B620BD">
        <w:rPr>
          <w:rFonts w:ascii="Arial" w:eastAsia="Times New Roman" w:hAnsi="Arial" w:cs="Times New Roman"/>
          <w:b/>
          <w:sz w:val="28"/>
          <w:szCs w:val="28"/>
          <w:lang w:val="en-GB" w:eastAsia="en-GB"/>
        </w:rPr>
        <w:t xml:space="preserve">Supplementary Material B: STEEP analysis of the </w:t>
      </w:r>
      <w:proofErr w:type="spellStart"/>
      <w:r w:rsidRPr="00B620BD">
        <w:rPr>
          <w:rFonts w:ascii="Arial" w:eastAsia="Times New Roman" w:hAnsi="Arial" w:cs="Times New Roman"/>
          <w:b/>
          <w:sz w:val="28"/>
          <w:szCs w:val="28"/>
          <w:lang w:val="en-GB" w:eastAsia="en-GB"/>
        </w:rPr>
        <w:t>Lileng</w:t>
      </w:r>
      <w:proofErr w:type="spellEnd"/>
      <w:r w:rsidRPr="00B620BD">
        <w:rPr>
          <w:rFonts w:ascii="Arial" w:eastAsia="Times New Roman" w:hAnsi="Arial" w:cs="Times New Roman"/>
          <w:b/>
          <w:sz w:val="28"/>
          <w:szCs w:val="28"/>
          <w:lang w:val="en-GB" w:eastAsia="en-GB"/>
        </w:rPr>
        <w:t xml:space="preserve"> village socio-ecological system</w:t>
      </w:r>
    </w:p>
    <w:p w:rsidR="00B620BD" w:rsidRPr="000A362A" w:rsidRDefault="00B620BD" w:rsidP="00B620BD">
      <w:pPr>
        <w:spacing w:after="0" w:line="276" w:lineRule="auto"/>
        <w:rPr>
          <w:rFonts w:ascii="Arial" w:eastAsia="Times New Roman" w:hAnsi="Arial" w:cs="Times New Roman"/>
          <w:sz w:val="21"/>
          <w:szCs w:val="21"/>
          <w:lang w:val="en-GB" w:eastAsia="en-GB"/>
        </w:rPr>
      </w:pPr>
    </w:p>
    <w:p w:rsidR="00B620BD" w:rsidRPr="000A362A" w:rsidRDefault="00B620BD" w:rsidP="00B620BD">
      <w:pPr>
        <w:spacing w:after="0" w:line="276" w:lineRule="auto"/>
        <w:rPr>
          <w:rFonts w:ascii="Arial" w:eastAsia="Times New Roman" w:hAnsi="Arial" w:cs="Times New Roman"/>
          <w:sz w:val="21"/>
          <w:szCs w:val="21"/>
          <w:lang w:val="en-GB" w:eastAsia="en-GB"/>
        </w:rPr>
      </w:pPr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>E</w:t>
      </w:r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 xml:space="preserve">cosystem-human interdependencies </w:t>
      </w:r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 xml:space="preserve">occur </w:t>
      </w:r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>within complex socio-ecological systems</w:t>
      </w:r>
      <w:r w:rsidR="000A362A"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>.  I</w:t>
      </w:r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 xml:space="preserve">nteractions between social, technological, environmental, economic and political/governance aspects </w:t>
      </w:r>
      <w:r w:rsidR="000A362A"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 xml:space="preserve">are </w:t>
      </w:r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 xml:space="preserve">stratified </w:t>
      </w:r>
      <w:r w:rsidR="000A362A">
        <w:rPr>
          <w:rFonts w:ascii="Arial" w:eastAsia="Times New Roman" w:hAnsi="Arial" w:cs="Times New Roman"/>
          <w:sz w:val="21"/>
          <w:szCs w:val="21"/>
          <w:lang w:val="en-GB" w:eastAsia="en-GB"/>
        </w:rPr>
        <w:t xml:space="preserve">by applying </w:t>
      </w:r>
      <w:r w:rsidRPr="000A362A">
        <w:rPr>
          <w:rFonts w:ascii="Arial" w:hAnsi="Arial" w:cs="Arial"/>
          <w:sz w:val="21"/>
          <w:szCs w:val="21"/>
        </w:rPr>
        <w:t>STEEP</w:t>
      </w:r>
      <w:r w:rsidR="000A362A">
        <w:rPr>
          <w:rFonts w:ascii="Arial" w:hAnsi="Arial" w:cs="Arial"/>
          <w:sz w:val="21"/>
          <w:szCs w:val="21"/>
        </w:rPr>
        <w:t xml:space="preserve"> </w:t>
      </w:r>
      <w:r w:rsidRPr="000A362A">
        <w:rPr>
          <w:rFonts w:ascii="Arial" w:hAnsi="Arial" w:cs="Arial"/>
          <w:sz w:val="21"/>
          <w:szCs w:val="21"/>
        </w:rPr>
        <w:t xml:space="preserve">as a systems framework addressing </w:t>
      </w:r>
      <w:r w:rsidR="000A362A">
        <w:rPr>
          <w:rFonts w:ascii="Arial" w:hAnsi="Arial" w:cs="Arial"/>
          <w:sz w:val="21"/>
          <w:szCs w:val="21"/>
        </w:rPr>
        <w:t xml:space="preserve">5 </w:t>
      </w:r>
      <w:r w:rsidRPr="000A362A">
        <w:rPr>
          <w:rFonts w:ascii="Arial" w:hAnsi="Arial" w:cs="Arial"/>
          <w:sz w:val="21"/>
          <w:szCs w:val="21"/>
        </w:rPr>
        <w:t xml:space="preserve">principal questions (per constituent element) </w:t>
      </w:r>
      <w:r w:rsidR="000A362A">
        <w:rPr>
          <w:rFonts w:ascii="Arial" w:hAnsi="Arial" w:cs="Arial"/>
          <w:sz w:val="21"/>
          <w:szCs w:val="21"/>
        </w:rPr>
        <w:t xml:space="preserve">each </w:t>
      </w:r>
      <w:r w:rsidRPr="000A362A">
        <w:rPr>
          <w:rFonts w:ascii="Arial" w:hAnsi="Arial" w:cs="Arial"/>
          <w:sz w:val="21"/>
          <w:szCs w:val="21"/>
        </w:rPr>
        <w:t xml:space="preserve">supported by </w:t>
      </w:r>
      <w:r w:rsidR="000A362A">
        <w:rPr>
          <w:rFonts w:ascii="Arial" w:hAnsi="Arial" w:cs="Arial"/>
          <w:sz w:val="21"/>
          <w:szCs w:val="21"/>
        </w:rPr>
        <w:t xml:space="preserve">4 </w:t>
      </w:r>
      <w:r w:rsidRPr="000A362A">
        <w:rPr>
          <w:rFonts w:ascii="Arial" w:hAnsi="Arial" w:cs="Arial"/>
          <w:sz w:val="21"/>
          <w:szCs w:val="21"/>
        </w:rPr>
        <w:t xml:space="preserve">contextual </w:t>
      </w:r>
      <w:r w:rsidRPr="000A362A">
        <w:rPr>
          <w:rFonts w:ascii="Arial" w:hAnsi="Arial" w:cs="Arial"/>
          <w:sz w:val="21"/>
          <w:szCs w:val="21"/>
        </w:rPr>
        <w:t xml:space="preserve">questions </w:t>
      </w:r>
      <w:r w:rsidRPr="000A362A">
        <w:rPr>
          <w:rFonts w:ascii="Arial" w:hAnsi="Arial" w:cs="Arial"/>
          <w:sz w:val="21"/>
          <w:szCs w:val="21"/>
        </w:rPr>
        <w:t xml:space="preserve">(interrelationships with other STEEP elements) </w:t>
      </w:r>
      <w:r w:rsidRPr="000A362A">
        <w:rPr>
          <w:rFonts w:ascii="Arial" w:hAnsi="Arial" w:cs="Arial"/>
          <w:sz w:val="21"/>
          <w:szCs w:val="21"/>
        </w:rPr>
        <w:t xml:space="preserve">following </w:t>
      </w:r>
      <w:r w:rsidRPr="000A362A">
        <w:rPr>
          <w:rFonts w:ascii="Arial" w:hAnsi="Arial" w:cs="Arial"/>
          <w:sz w:val="21"/>
          <w:szCs w:val="21"/>
        </w:rPr>
        <w:t>Everard (2020)</w:t>
      </w:r>
      <w:r w:rsidRPr="000A362A">
        <w:rPr>
          <w:rFonts w:ascii="Arial" w:hAnsi="Arial" w:cs="Arial"/>
          <w:sz w:val="21"/>
          <w:szCs w:val="21"/>
        </w:rPr>
        <w:t xml:space="preserve">.  Analysis of the </w:t>
      </w:r>
      <w:proofErr w:type="spellStart"/>
      <w:r w:rsidRPr="000A362A">
        <w:rPr>
          <w:rFonts w:ascii="Arial" w:hAnsi="Arial" w:cs="Arial"/>
          <w:sz w:val="21"/>
          <w:szCs w:val="21"/>
        </w:rPr>
        <w:t>Lileng</w:t>
      </w:r>
      <w:proofErr w:type="spellEnd"/>
      <w:r w:rsidRPr="000A362A">
        <w:rPr>
          <w:rFonts w:ascii="Arial" w:hAnsi="Arial" w:cs="Arial"/>
          <w:sz w:val="21"/>
          <w:szCs w:val="21"/>
        </w:rPr>
        <w:t xml:space="preserve"> village situation is </w:t>
      </w:r>
      <w:r w:rsidRPr="000A362A">
        <w:rPr>
          <w:rFonts w:ascii="Arial" w:hAnsi="Arial" w:cs="Arial"/>
          <w:sz w:val="21"/>
          <w:szCs w:val="21"/>
        </w:rPr>
        <w:t xml:space="preserve">outlined in Table </w:t>
      </w:r>
      <w:r w:rsidRPr="000A362A">
        <w:rPr>
          <w:rFonts w:ascii="Arial" w:hAnsi="Arial" w:cs="Arial"/>
          <w:sz w:val="21"/>
          <w:szCs w:val="21"/>
        </w:rPr>
        <w:t>B1</w:t>
      </w:r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>.</w:t>
      </w:r>
    </w:p>
    <w:p w:rsidR="00B620BD" w:rsidRPr="000A362A" w:rsidRDefault="00B620BD" w:rsidP="00B620BD">
      <w:pPr>
        <w:spacing w:after="0" w:line="276" w:lineRule="auto"/>
        <w:rPr>
          <w:rFonts w:ascii="Arial" w:eastAsia="Times New Roman" w:hAnsi="Arial" w:cs="Times New Roman"/>
          <w:sz w:val="21"/>
          <w:szCs w:val="21"/>
          <w:lang w:val="en-GB" w:eastAsia="en-GB"/>
        </w:rPr>
      </w:pPr>
    </w:p>
    <w:p w:rsidR="000A362A" w:rsidRPr="000A362A" w:rsidRDefault="00B620BD" w:rsidP="00B620BD">
      <w:pPr>
        <w:spacing w:after="0" w:line="276" w:lineRule="auto"/>
        <w:rPr>
          <w:rFonts w:ascii="Arial" w:eastAsia="Times New Roman" w:hAnsi="Arial" w:cs="Times New Roman"/>
          <w:sz w:val="21"/>
          <w:szCs w:val="21"/>
          <w:lang w:val="en-GB" w:eastAsia="en-GB"/>
        </w:rPr>
      </w:pPr>
      <w:r w:rsidRPr="000A362A">
        <w:rPr>
          <w:rFonts w:ascii="Arial" w:eastAsia="Times New Roman" w:hAnsi="Arial" w:cs="Times New Roman"/>
          <w:b/>
          <w:sz w:val="21"/>
          <w:szCs w:val="21"/>
          <w:lang w:val="en-GB" w:eastAsia="en-GB"/>
        </w:rPr>
        <w:t xml:space="preserve">Table </w:t>
      </w:r>
      <w:r w:rsidRPr="000A362A">
        <w:rPr>
          <w:rFonts w:ascii="Arial" w:eastAsia="Times New Roman" w:hAnsi="Arial" w:cs="Times New Roman"/>
          <w:b/>
          <w:sz w:val="21"/>
          <w:szCs w:val="21"/>
          <w:lang w:val="en-GB" w:eastAsia="en-GB"/>
        </w:rPr>
        <w:t>B1</w:t>
      </w:r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 xml:space="preserve">: Interdependencies between STEEP components in </w:t>
      </w:r>
      <w:proofErr w:type="spellStart"/>
      <w:r w:rsidRPr="000A362A">
        <w:rPr>
          <w:rFonts w:ascii="Arial" w:eastAsia="Times New Roman" w:hAnsi="Arial" w:cs="Times New Roman"/>
          <w:sz w:val="21"/>
          <w:szCs w:val="21"/>
          <w:lang w:val="en-GB" w:eastAsia="en-GB"/>
        </w:rPr>
        <w:t>Lileng</w:t>
      </w:r>
      <w:proofErr w:type="spellEnd"/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421"/>
        <w:gridCol w:w="2551"/>
        <w:gridCol w:w="2551"/>
        <w:gridCol w:w="2552"/>
        <w:gridCol w:w="2551"/>
        <w:gridCol w:w="2552"/>
      </w:tblGrid>
      <w:tr w:rsidR="00B620BD" w:rsidRPr="00CD16E7" w:rsidTr="00D52143">
        <w:tc>
          <w:tcPr>
            <w:tcW w:w="421" w:type="dxa"/>
            <w:tcBorders>
              <w:top w:val="nil"/>
              <w:left w:val="nil"/>
              <w:bottom w:val="single" w:sz="4" w:space="0" w:color="auto"/>
            </w:tcBorders>
          </w:tcPr>
          <w:p w:rsidR="00B620BD" w:rsidRDefault="00B620BD" w:rsidP="00D52143">
            <w:pPr>
              <w:rPr>
                <w:rFonts w:ascii="Arial Narrow" w:hAnsi="Arial Narrow"/>
                <w:sz w:val="16"/>
                <w:szCs w:val="16"/>
              </w:rPr>
            </w:pPr>
          </w:p>
          <w:p w:rsidR="00B620BD" w:rsidRPr="00F26EA1" w:rsidRDefault="00B620BD" w:rsidP="00D52143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Social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Technological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Economic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Environmental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Political</w:t>
            </w:r>
          </w:p>
        </w:tc>
      </w:tr>
      <w:tr w:rsidR="00B620BD" w:rsidRPr="00CD16E7" w:rsidTr="00D52143">
        <w:trPr>
          <w:cantSplit/>
          <w:trHeight w:val="1134"/>
        </w:trPr>
        <w:tc>
          <w:tcPr>
            <w:tcW w:w="421" w:type="dxa"/>
            <w:tcBorders>
              <w:top w:val="single" w:sz="4" w:space="0" w:color="auto"/>
            </w:tcBorders>
            <w:textDirection w:val="btLr"/>
          </w:tcPr>
          <w:p w:rsidR="00B620BD" w:rsidRPr="00CD16E7" w:rsidRDefault="00B620BD" w:rsidP="00D52143">
            <w:pPr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bookmarkStart w:id="0" w:name="_Hlk40198192"/>
            <w:r w:rsidRPr="00CD16E7">
              <w:rPr>
                <w:rFonts w:ascii="Arial Narrow" w:hAnsi="Arial Narrow"/>
                <w:b/>
                <w:sz w:val="16"/>
                <w:szCs w:val="16"/>
              </w:rPr>
              <w:t>Social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b/>
                <w:sz w:val="16"/>
                <w:szCs w:val="16"/>
              </w:rPr>
              <w:t>Social structure is protected under tribal rights legislation and traditional Village Council governance arrangements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b/>
                <w:sz w:val="16"/>
                <w:szCs w:val="16"/>
              </w:rPr>
              <w:t>Substantial traditional knowledge is held by the tribe relating to resource use and management</w:t>
            </w:r>
          </w:p>
        </w:tc>
        <w:tc>
          <w:tcPr>
            <w:tcW w:w="2551" w:type="dxa"/>
            <w:tcBorders>
              <w:right w:val="nil"/>
            </w:tcBorders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:rsidR="00B620BD" w:rsidRPr="00CD16E7" w:rsidRDefault="00B620BD" w:rsidP="00D52143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:rsidR="00B620BD" w:rsidRPr="00CD16E7" w:rsidRDefault="00B620BD" w:rsidP="00D52143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B620BD" w:rsidRPr="00CD16E7" w:rsidRDefault="00B620BD" w:rsidP="00D52143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620BD" w:rsidRPr="00CD16E7" w:rsidTr="00D52143">
        <w:trPr>
          <w:cantSplit/>
          <w:trHeight w:val="1134"/>
        </w:trPr>
        <w:tc>
          <w:tcPr>
            <w:tcW w:w="421" w:type="dxa"/>
            <w:textDirection w:val="btLr"/>
          </w:tcPr>
          <w:p w:rsidR="00B620BD" w:rsidRPr="00CD16E7" w:rsidRDefault="00B620BD" w:rsidP="00D52143">
            <w:pPr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Technological</w:t>
            </w:r>
          </w:p>
        </w:tc>
        <w:tc>
          <w:tcPr>
            <w:tcW w:w="2551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Low intervention uses of forests and rivers under the decision-making stewardship of the Village Council and private cropping support traditional village livelihoods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Technology choice focuses on subsistence rather than intensive development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Where heavier technical solutions are required (bridges, telephony, drainage, etc.) requests are relayed upwards to state government via the Panchayat system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House-building and other local infrastructure are based on local and traditional knowledge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b/>
                <w:sz w:val="16"/>
                <w:szCs w:val="16"/>
              </w:rPr>
              <w:t>Habitations are mainly based on traditional techniques and local materials, with some modern structures (hospital, roads, etc.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>)</w:t>
            </w:r>
          </w:p>
        </w:tc>
        <w:tc>
          <w:tcPr>
            <w:tcW w:w="2552" w:type="dxa"/>
            <w:tcBorders>
              <w:right w:val="nil"/>
            </w:tcBorders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:rsidR="00B620BD" w:rsidRPr="00CD16E7" w:rsidRDefault="00B620BD" w:rsidP="00D52143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B620BD" w:rsidRPr="00CD16E7" w:rsidRDefault="00B620BD" w:rsidP="00D52143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620BD" w:rsidRPr="00CD16E7" w:rsidTr="00D52143">
        <w:trPr>
          <w:cantSplit/>
          <w:trHeight w:val="1296"/>
        </w:trPr>
        <w:tc>
          <w:tcPr>
            <w:tcW w:w="421" w:type="dxa"/>
            <w:textDirection w:val="btLr"/>
          </w:tcPr>
          <w:p w:rsidR="00B620BD" w:rsidRPr="00CD16E7" w:rsidRDefault="00B620BD" w:rsidP="00D52143">
            <w:pPr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Economic</w:t>
            </w:r>
          </w:p>
        </w:tc>
        <w:tc>
          <w:tcPr>
            <w:tcW w:w="2551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 xml:space="preserve">Cultural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and angling </w:t>
            </w:r>
            <w:r w:rsidRPr="00CD16E7">
              <w:rPr>
                <w:rFonts w:ascii="Arial Narrow" w:hAnsi="Arial Narrow" w:cs="Arial"/>
                <w:sz w:val="16"/>
                <w:szCs w:val="16"/>
              </w:rPr>
              <w:t>tourism is permitted at managed low intensity as an income stream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 xml:space="preserve">Economic activities are mainly informal in terms of meeting subsistence needs from local resources, with trading primarily relating to exchange of food stuff and other necessary resources (water pipes, wire,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plastic pipes, corrugated iron, </w:t>
            </w:r>
            <w:r w:rsidRPr="00CD16E7">
              <w:rPr>
                <w:rFonts w:ascii="Arial Narrow" w:hAnsi="Arial Narrow" w:cs="Arial"/>
                <w:sz w:val="16"/>
                <w:szCs w:val="16"/>
              </w:rPr>
              <w:t>et</w:t>
            </w:r>
            <w:r>
              <w:rPr>
                <w:rFonts w:ascii="Arial Narrow" w:hAnsi="Arial Narrow" w:cs="Arial"/>
                <w:sz w:val="16"/>
                <w:szCs w:val="16"/>
              </w:rPr>
              <w:t>c</w:t>
            </w:r>
            <w:r w:rsidRPr="00CD16E7">
              <w:rPr>
                <w:rFonts w:ascii="Arial Narrow" w:hAnsi="Arial Narrow" w:cs="Arial"/>
                <w:sz w:val="16"/>
                <w:szCs w:val="16"/>
              </w:rPr>
              <w:t xml:space="preserve">.)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that are </w:t>
            </w:r>
            <w:r w:rsidRPr="00CD16E7">
              <w:rPr>
                <w:rFonts w:ascii="Arial Narrow" w:hAnsi="Arial Narrow" w:cs="Arial"/>
                <w:sz w:val="16"/>
                <w:szCs w:val="16"/>
              </w:rPr>
              <w:t>not produced locally</w:t>
            </w:r>
          </w:p>
        </w:tc>
        <w:tc>
          <w:tcPr>
            <w:tcW w:w="2551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Intensive industry is actively discouraged in Arunachal Pradesh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Intensive technological development, including plans for dams on the Siang River, are strongly resisted as it would undermine the primary natural capital supporting village wellbeing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 xml:space="preserve">The economic system is substantially informal and local; there are no banking ATMs within 58 miles of </w:t>
            </w:r>
            <w:proofErr w:type="spellStart"/>
            <w:r w:rsidRPr="00CD16E7">
              <w:rPr>
                <w:rFonts w:ascii="Arial Narrow" w:hAnsi="Arial Narrow"/>
                <w:b/>
                <w:sz w:val="16"/>
                <w:szCs w:val="16"/>
              </w:rPr>
              <w:t>L</w:t>
            </w:r>
            <w:r>
              <w:rPr>
                <w:rFonts w:ascii="Arial Narrow" w:hAnsi="Arial Narrow"/>
                <w:b/>
                <w:sz w:val="16"/>
                <w:szCs w:val="16"/>
              </w:rPr>
              <w:t>i</w:t>
            </w:r>
            <w:r w:rsidRPr="00CD16E7">
              <w:rPr>
                <w:rFonts w:ascii="Arial Narrow" w:hAnsi="Arial Narrow"/>
                <w:b/>
                <w:sz w:val="16"/>
                <w:szCs w:val="16"/>
              </w:rPr>
              <w:t>leng</w:t>
            </w:r>
            <w:proofErr w:type="spellEnd"/>
            <w:r w:rsidRPr="00CD16E7">
              <w:rPr>
                <w:rFonts w:ascii="Arial Narrow" w:hAnsi="Arial Narrow"/>
                <w:b/>
                <w:sz w:val="16"/>
                <w:szCs w:val="16"/>
              </w:rPr>
              <w:t xml:space="preserve"> (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the </w:t>
            </w:r>
            <w:r w:rsidRPr="00CD16E7">
              <w:rPr>
                <w:rFonts w:ascii="Arial Narrow" w:hAnsi="Arial Narrow"/>
                <w:b/>
                <w:sz w:val="16"/>
                <w:szCs w:val="16"/>
              </w:rPr>
              <w:t xml:space="preserve">nearest is 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in the town of </w:t>
            </w:r>
            <w:proofErr w:type="spellStart"/>
            <w:r w:rsidRPr="00CD16E7">
              <w:rPr>
                <w:rFonts w:ascii="Arial Narrow" w:hAnsi="Arial Narrow"/>
                <w:b/>
                <w:sz w:val="16"/>
                <w:szCs w:val="16"/>
              </w:rPr>
              <w:t>Pasighat</w:t>
            </w:r>
            <w:proofErr w:type="spellEnd"/>
            <w:r>
              <w:rPr>
                <w:rFonts w:ascii="Arial Narrow" w:hAnsi="Arial Narrow"/>
                <w:b/>
                <w:sz w:val="16"/>
                <w:szCs w:val="16"/>
              </w:rPr>
              <w:t xml:space="preserve"> to the south</w:t>
            </w:r>
            <w:r w:rsidRPr="00CD16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  <w:tc>
          <w:tcPr>
            <w:tcW w:w="2551" w:type="dxa"/>
            <w:tcBorders>
              <w:right w:val="nil"/>
            </w:tcBorders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</w:tcBorders>
          </w:tcPr>
          <w:p w:rsidR="00B620BD" w:rsidRPr="00CD16E7" w:rsidRDefault="00B620BD" w:rsidP="00D52143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620BD" w:rsidRPr="00CD16E7" w:rsidTr="00D52143">
        <w:trPr>
          <w:cantSplit/>
          <w:trHeight w:val="1285"/>
        </w:trPr>
        <w:tc>
          <w:tcPr>
            <w:tcW w:w="421" w:type="dxa"/>
            <w:textDirection w:val="btLr"/>
          </w:tcPr>
          <w:p w:rsidR="00B620BD" w:rsidRPr="00CD16E7" w:rsidRDefault="00B620BD" w:rsidP="00D52143">
            <w:pPr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lastRenderedPageBreak/>
              <w:t xml:space="preserve">Environmental </w:t>
            </w:r>
          </w:p>
        </w:tc>
        <w:tc>
          <w:tcPr>
            <w:tcW w:w="2551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Cultural practices, artistic expressions and beliefs are intimately tied to aspects of the village landscape and its conservation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Spiritual significance is afforded to the forest, river and other ecosystems under local beliefs and practices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Protection of forests is recognized as essential for maintaining the supply of largely untreated water for domestic and other uses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Significant use is made of forest plants for medicinal purposes, and various ecosystem products (</w:t>
            </w:r>
            <w:proofErr w:type="spellStart"/>
            <w:r w:rsidRPr="00CD16E7">
              <w:rPr>
                <w:rFonts w:ascii="Arial Narrow" w:hAnsi="Arial Narrow" w:cs="Arial"/>
                <w:sz w:val="16"/>
                <w:szCs w:val="16"/>
              </w:rPr>
              <w:t>mitun</w:t>
            </w:r>
            <w:proofErr w:type="spellEnd"/>
            <w:r w:rsidRPr="00CD16E7">
              <w:rPr>
                <w:rFonts w:ascii="Arial Narrow" w:hAnsi="Arial Narrow" w:cs="Arial"/>
                <w:sz w:val="16"/>
                <w:szCs w:val="16"/>
              </w:rPr>
              <w:t xml:space="preserve"> horns, bamboo products) have ornamental uses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There is a high degree of social knowledge around the natural environment and its many beneficial services</w:t>
            </w:r>
          </w:p>
        </w:tc>
        <w:tc>
          <w:tcPr>
            <w:tcW w:w="2551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Low-impact fish traps provide for the needs of local people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 xml:space="preserve">Houses and fuel </w:t>
            </w:r>
            <w:r>
              <w:rPr>
                <w:rFonts w:ascii="Arial Narrow" w:hAnsi="Arial Narrow"/>
                <w:sz w:val="16"/>
                <w:szCs w:val="16"/>
              </w:rPr>
              <w:t xml:space="preserve">are </w:t>
            </w:r>
            <w:r w:rsidRPr="00CD16E7">
              <w:rPr>
                <w:rFonts w:ascii="Arial Narrow" w:hAnsi="Arial Narrow"/>
                <w:sz w:val="16"/>
                <w:szCs w:val="16"/>
              </w:rPr>
              <w:t>derive</w:t>
            </w:r>
            <w:r>
              <w:rPr>
                <w:rFonts w:ascii="Arial Narrow" w:hAnsi="Arial Narrow"/>
                <w:sz w:val="16"/>
                <w:szCs w:val="16"/>
              </w:rPr>
              <w:t>d</w:t>
            </w:r>
            <w:r w:rsidRPr="00CD16E7">
              <w:rPr>
                <w:rFonts w:ascii="Arial Narrow" w:hAnsi="Arial Narrow"/>
                <w:sz w:val="16"/>
                <w:szCs w:val="16"/>
              </w:rPr>
              <w:t xml:space="preserve"> overwhelmingly from adjacent renewable bamboo groves with some use of local palm leaves for roofing, and some modern materials (</w:t>
            </w:r>
            <w:r>
              <w:rPr>
                <w:rFonts w:ascii="Arial Narrow" w:hAnsi="Arial Narrow"/>
                <w:sz w:val="16"/>
                <w:szCs w:val="16"/>
              </w:rPr>
              <w:t xml:space="preserve">e.g. </w:t>
            </w:r>
            <w:r w:rsidRPr="00CD16E7">
              <w:rPr>
                <w:rFonts w:ascii="Arial Narrow" w:hAnsi="Arial Narrow"/>
                <w:sz w:val="16"/>
                <w:szCs w:val="16"/>
              </w:rPr>
              <w:t>corrugated iron</w:t>
            </w:r>
            <w:r>
              <w:rPr>
                <w:rFonts w:ascii="Arial Narrow" w:hAnsi="Arial Narrow"/>
                <w:sz w:val="16"/>
                <w:szCs w:val="16"/>
              </w:rPr>
              <w:t xml:space="preserve"> and plastic pipes</w:t>
            </w:r>
            <w:r w:rsidRPr="00CD16E7">
              <w:rPr>
                <w:rFonts w:ascii="Arial Narrow" w:hAnsi="Arial Narrow"/>
                <w:sz w:val="16"/>
                <w:szCs w:val="16"/>
              </w:rPr>
              <w:t>) used by some in applications such as roof ridges</w:t>
            </w:r>
          </w:p>
        </w:tc>
        <w:tc>
          <w:tcPr>
            <w:tcW w:w="2552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The village is largely self-sufficient in food, with trading of excess for food items not grown locally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The tribe licenses aggregate extraction from floodplains to contractors for economic income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Multiple regulating and supporting services provided by largely intact and functional habitat provide a range of benefits expressed over multiple scales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Natural pollinator and pest predator populations stabilize food production without reliance on chemical agents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 xml:space="preserve">Protection of the mahseer and </w:t>
            </w:r>
            <w:proofErr w:type="spellStart"/>
            <w:r w:rsidRPr="00CD16E7">
              <w:rPr>
                <w:rFonts w:ascii="Arial Narrow" w:hAnsi="Arial Narrow"/>
                <w:sz w:val="16"/>
                <w:szCs w:val="16"/>
              </w:rPr>
              <w:t>goonch</w:t>
            </w:r>
            <w:proofErr w:type="spellEnd"/>
            <w:r w:rsidRPr="00CD16E7">
              <w:rPr>
                <w:rFonts w:ascii="Arial Narrow" w:hAnsi="Arial Narrow"/>
                <w:sz w:val="16"/>
                <w:szCs w:val="16"/>
              </w:rPr>
              <w:t xml:space="preserve"> fishery as a lucrative source of angling tourism provides valuable village income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The largely informal but also trading economic system of the village is based on sustainable use of natural capital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Intensive economic development is resisted as it would undermine the primary natural capital supporting village wellbeing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 xml:space="preserve">Multiple regulating and supporting services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from </w:t>
            </w:r>
            <w:r w:rsidRPr="00CD16E7">
              <w:rPr>
                <w:rFonts w:ascii="Arial Narrow" w:hAnsi="Arial Narrow" w:cs="Arial"/>
                <w:sz w:val="16"/>
                <w:szCs w:val="16"/>
              </w:rPr>
              <w:t>largely intact and functional habitat provide a range of benefits underpinning sustainability of the environment and tribal livelihoods</w:t>
            </w:r>
          </w:p>
        </w:tc>
        <w:tc>
          <w:tcPr>
            <w:tcW w:w="2552" w:type="dxa"/>
          </w:tcPr>
          <w:p w:rsidR="00B620BD" w:rsidRPr="00CD16E7" w:rsidRDefault="00B620BD" w:rsidP="00D52143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B620BD" w:rsidRPr="00F26EA1" w:rsidTr="00D52143">
        <w:trPr>
          <w:cantSplit/>
          <w:trHeight w:val="1272"/>
        </w:trPr>
        <w:tc>
          <w:tcPr>
            <w:tcW w:w="421" w:type="dxa"/>
            <w:textDirection w:val="btLr"/>
          </w:tcPr>
          <w:p w:rsidR="00B620BD" w:rsidRPr="00CD16E7" w:rsidRDefault="00B620BD" w:rsidP="00D52143">
            <w:pPr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Political</w:t>
            </w:r>
          </w:p>
        </w:tc>
        <w:tc>
          <w:tcPr>
            <w:tcW w:w="2551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Governance systems are predominantly participatory via democratic Village Councils, decisions of which influence resource allocation and use</w:t>
            </w:r>
            <w:r>
              <w:rPr>
                <w:rFonts w:ascii="Arial Narrow" w:hAnsi="Arial Narrow" w:cs="Arial"/>
                <w:sz w:val="16"/>
                <w:szCs w:val="16"/>
              </w:rPr>
              <w:t>,</w:t>
            </w:r>
            <w:r w:rsidRPr="00CD16E7">
              <w:rPr>
                <w:rFonts w:ascii="Arial Narrow" w:hAnsi="Arial Narrow" w:cs="Arial"/>
                <w:sz w:val="16"/>
                <w:szCs w:val="16"/>
              </w:rPr>
              <w:t xml:space="preserve"> as well as discipline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Governance systems are protected by tribal rights legislation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 w:cs="Arial"/>
                <w:sz w:val="16"/>
                <w:szCs w:val="16"/>
              </w:rPr>
            </w:pPr>
            <w:r w:rsidRPr="00CD16E7">
              <w:rPr>
                <w:rFonts w:ascii="Arial Narrow" w:hAnsi="Arial Narrow" w:cs="Arial"/>
                <w:sz w:val="16"/>
                <w:szCs w:val="16"/>
              </w:rPr>
              <w:t>Relationship with formal state and national governance is via the higher-level Panchayat system, which is used for bidding for development resources but is not strongly trusted for ground-level decisions</w:t>
            </w:r>
          </w:p>
        </w:tc>
        <w:tc>
          <w:tcPr>
            <w:tcW w:w="2551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Controls on development are governed by the Village Council, protecting the character and natural assets of the village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Development funds for ‘developed world’ assets (drainage, telecommunications, etc.) are bid for via the Panchayat system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Village Councils and protected tribal rights ensure only sympathetic development</w:t>
            </w:r>
          </w:p>
        </w:tc>
        <w:tc>
          <w:tcPr>
            <w:tcW w:w="2552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Village Councils and protected tribal rights ensure only sympathetic economic development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A focus is kept on subsistence needs of the community, with decisions about tourism and other external revenues taken by the Village Council</w:t>
            </w:r>
          </w:p>
        </w:tc>
        <w:tc>
          <w:tcPr>
            <w:tcW w:w="2551" w:type="dxa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Village Council decisions govern use of forest, riverine and other natural resources/capital, seeking sustainable accommodation of needs through maintaining flows of ecosystem services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sz w:val="16"/>
                <w:szCs w:val="16"/>
              </w:rPr>
              <w:t>Governance at village scale is geared to maintaining the high interdependence of livelihoods and the natural environment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Tribal rights are protected as a basis for natural resource use and stewardship as well as discipline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b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Interfaces with state and national governance via the Panchayat system are used largely for bidding for drainage and other development funds</w:t>
            </w:r>
          </w:p>
          <w:p w:rsidR="00B620BD" w:rsidRPr="00CD16E7" w:rsidRDefault="00B620BD" w:rsidP="00B620BD">
            <w:pPr>
              <w:pStyle w:val="ListParagraph"/>
              <w:numPr>
                <w:ilvl w:val="0"/>
                <w:numId w:val="1"/>
              </w:numPr>
              <w:spacing w:line="23" w:lineRule="atLeast"/>
              <w:ind w:left="109" w:hanging="109"/>
              <w:rPr>
                <w:rFonts w:ascii="Arial Narrow" w:hAnsi="Arial Narrow"/>
                <w:sz w:val="16"/>
                <w:szCs w:val="16"/>
              </w:rPr>
            </w:pPr>
            <w:r w:rsidRPr="00CD16E7">
              <w:rPr>
                <w:rFonts w:ascii="Arial Narrow" w:hAnsi="Arial Narrow"/>
                <w:b/>
                <w:sz w:val="16"/>
                <w:szCs w:val="16"/>
              </w:rPr>
              <w:t>Village Councils and democratic and participatory</w:t>
            </w:r>
            <w:r w:rsidRPr="00CD16E7">
              <w:rPr>
                <w:rFonts w:ascii="Arial Narrow" w:hAnsi="Arial Narrow" w:cs="Arial"/>
                <w:b/>
                <w:sz w:val="16"/>
                <w:szCs w:val="16"/>
              </w:rPr>
              <w:t>, taking many delegated decisions pertaining to resource stewardship, local discipline, etc.</w:t>
            </w:r>
          </w:p>
        </w:tc>
      </w:tr>
      <w:bookmarkEnd w:id="0"/>
    </w:tbl>
    <w:p w:rsidR="00B620BD" w:rsidRPr="000A362A" w:rsidRDefault="00B620BD" w:rsidP="00B620BD">
      <w:pPr>
        <w:spacing w:after="0" w:line="276" w:lineRule="auto"/>
        <w:jc w:val="both"/>
        <w:rPr>
          <w:rFonts w:ascii="Arial" w:hAnsi="Arial" w:cs="Arial"/>
        </w:rPr>
      </w:pPr>
    </w:p>
    <w:p w:rsidR="004838F6" w:rsidRPr="000A362A" w:rsidRDefault="000A362A">
      <w:pPr>
        <w:rPr>
          <w:rFonts w:ascii="Arial" w:hAnsi="Arial" w:cs="Arial"/>
          <w:b/>
        </w:rPr>
      </w:pPr>
      <w:r w:rsidRPr="000A362A">
        <w:rPr>
          <w:rFonts w:ascii="Arial" w:hAnsi="Arial" w:cs="Arial"/>
          <w:b/>
        </w:rPr>
        <w:t>Reference</w:t>
      </w:r>
      <w:bookmarkStart w:id="1" w:name="_GoBack"/>
      <w:bookmarkEnd w:id="1"/>
    </w:p>
    <w:p w:rsidR="000A362A" w:rsidRPr="000A362A" w:rsidRDefault="000A362A" w:rsidP="000A362A">
      <w:pPr>
        <w:spacing w:after="0" w:line="240" w:lineRule="auto"/>
        <w:rPr>
          <w:rFonts w:ascii="Arial" w:eastAsia="Times New Roman" w:hAnsi="Arial" w:cs="Arial"/>
          <w:color w:val="000000" w:themeColor="text1"/>
          <w:lang w:val="en-GB" w:eastAsia="en-GB"/>
        </w:rPr>
      </w:pPr>
      <w:r w:rsidRPr="000A362A">
        <w:rPr>
          <w:rFonts w:ascii="Arial" w:eastAsia="Times New Roman" w:hAnsi="Arial" w:cs="Arial"/>
          <w:color w:val="000000" w:themeColor="text1"/>
          <w:lang w:val="en-GB" w:eastAsia="en-GB"/>
        </w:rPr>
        <w:t>Everard M (2020) Rebuilding the Earth: Regenerating our planet’s life support systems for a sustainable future. Palgrave Macmillan, London</w:t>
      </w:r>
    </w:p>
    <w:p w:rsidR="000A362A" w:rsidRDefault="000A362A"/>
    <w:sectPr w:rsidR="000A362A" w:rsidSect="000A362A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E3D" w:rsidRDefault="00001E3D" w:rsidP="00B620BD">
      <w:pPr>
        <w:spacing w:after="0" w:line="240" w:lineRule="auto"/>
      </w:pPr>
      <w:r>
        <w:separator/>
      </w:r>
    </w:p>
  </w:endnote>
  <w:endnote w:type="continuationSeparator" w:id="0">
    <w:p w:rsidR="00001E3D" w:rsidRDefault="00001E3D" w:rsidP="00B6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37525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94" w:rsidRDefault="00001E3D" w:rsidP="003921D8">
        <w:pPr>
          <w:pStyle w:val="Footer"/>
          <w:jc w:val="center"/>
        </w:pPr>
        <w:r>
          <w:t>L</w:t>
        </w:r>
        <w:r w:rsidRPr="003921D8">
          <w:t>ivelihoo</w:t>
        </w:r>
        <w:r w:rsidRPr="003921D8">
          <w:t xml:space="preserve">d-ecosystem interdependencies </w:t>
        </w:r>
        <w:r>
          <w:t xml:space="preserve">in north-east region of India’s </w:t>
        </w:r>
        <w:r w:rsidRPr="003921D8">
          <w:t>Middle Himalayas</w:t>
        </w:r>
        <w:r w:rsidR="00B620BD">
          <w:t xml:space="preserve"> – Supplementary Material B</w:t>
        </w:r>
        <w:r>
          <w:t xml:space="preserve">; 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E3D" w:rsidRDefault="00001E3D" w:rsidP="00B620BD">
      <w:pPr>
        <w:spacing w:after="0" w:line="240" w:lineRule="auto"/>
      </w:pPr>
      <w:r>
        <w:separator/>
      </w:r>
    </w:p>
  </w:footnote>
  <w:footnote w:type="continuationSeparator" w:id="0">
    <w:p w:rsidR="00001E3D" w:rsidRDefault="00001E3D" w:rsidP="00B62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F606C"/>
    <w:multiLevelType w:val="hybridMultilevel"/>
    <w:tmpl w:val="1A940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0BD"/>
    <w:rsid w:val="00001E3D"/>
    <w:rsid w:val="000A362A"/>
    <w:rsid w:val="003A5D14"/>
    <w:rsid w:val="004C133C"/>
    <w:rsid w:val="00B6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2EDD4"/>
  <w15:chartTrackingRefBased/>
  <w15:docId w15:val="{E1A062C4-1E21-4C19-B6BB-0C636FC0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20B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20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BD"/>
    <w:rPr>
      <w:lang w:val="en-US"/>
    </w:rPr>
  </w:style>
  <w:style w:type="paragraph" w:styleId="ListParagraph">
    <w:name w:val="List Paragraph"/>
    <w:basedOn w:val="Normal"/>
    <w:uiPriority w:val="34"/>
    <w:qFormat/>
    <w:rsid w:val="00B620BD"/>
    <w:pPr>
      <w:ind w:left="720"/>
      <w:contextualSpacing/>
    </w:pPr>
  </w:style>
  <w:style w:type="table" w:styleId="TableGrid">
    <w:name w:val="Table Grid"/>
    <w:basedOn w:val="TableNormal"/>
    <w:uiPriority w:val="39"/>
    <w:rsid w:val="00B620B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620BD"/>
  </w:style>
  <w:style w:type="paragraph" w:styleId="NoSpacing">
    <w:name w:val="No Spacing"/>
    <w:uiPriority w:val="1"/>
    <w:qFormat/>
    <w:rsid w:val="00B620BD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20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B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Everard</dc:creator>
  <cp:keywords/>
  <dc:description/>
  <cp:lastModifiedBy>Mark Everard</cp:lastModifiedBy>
  <cp:revision>2</cp:revision>
  <dcterms:created xsi:type="dcterms:W3CDTF">2020-05-13T06:51:00Z</dcterms:created>
  <dcterms:modified xsi:type="dcterms:W3CDTF">2020-05-13T07:02:00Z</dcterms:modified>
</cp:coreProperties>
</file>