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FABB3" w14:textId="77777777" w:rsidR="00180523" w:rsidRPr="00CE2D5C" w:rsidRDefault="00180523" w:rsidP="00180523">
      <w:pPr>
        <w:spacing w:after="0" w:line="240" w:lineRule="auto"/>
        <w:rPr>
          <w:rFonts w:ascii="Times New Roman" w:hAnsi="Times New Roman" w:cs="Times New Roman"/>
          <w:b/>
          <w:bCs/>
          <w:color w:val="000000" w:themeColor="text1"/>
          <w:sz w:val="18"/>
          <w:szCs w:val="18"/>
        </w:rPr>
      </w:pPr>
      <w:r w:rsidRPr="00CE2D5C">
        <w:rPr>
          <w:rFonts w:ascii="Times New Roman" w:hAnsi="Times New Roman" w:cs="Times New Roman"/>
          <w:b/>
          <w:bCs/>
          <w:color w:val="000000" w:themeColor="text1"/>
          <w:sz w:val="18"/>
          <w:szCs w:val="18"/>
        </w:rPr>
        <w:t>APPENDIX 1</w:t>
      </w:r>
    </w:p>
    <w:p w14:paraId="01BAD7EF" w14:textId="77777777" w:rsidR="00180523" w:rsidRPr="00CE2D5C" w:rsidRDefault="00180523" w:rsidP="00180523">
      <w:pPr>
        <w:spacing w:after="0" w:line="240" w:lineRule="auto"/>
        <w:rPr>
          <w:rFonts w:ascii="Times New Roman" w:hAnsi="Times New Roman" w:cs="Times New Roman"/>
          <w:b/>
          <w:bCs/>
          <w:color w:val="000000" w:themeColor="text1"/>
          <w:sz w:val="18"/>
          <w:szCs w:val="18"/>
        </w:rPr>
      </w:pPr>
    </w:p>
    <w:p w14:paraId="77FAA07F" w14:textId="77777777" w:rsidR="00180523" w:rsidRPr="00B75553" w:rsidRDefault="00180523" w:rsidP="00C07D8A">
      <w:pPr>
        <w:spacing w:after="0" w:line="240" w:lineRule="auto"/>
        <w:rPr>
          <w:rFonts w:ascii="Times New Roman" w:hAnsi="Times New Roman" w:cs="Times New Roman"/>
          <w:color w:val="000000" w:themeColor="text1"/>
        </w:rPr>
      </w:pPr>
      <w:r w:rsidRPr="00B75553">
        <w:rPr>
          <w:rFonts w:ascii="Times New Roman" w:hAnsi="Times New Roman" w:cs="Times New Roman"/>
          <w:b/>
          <w:bCs/>
          <w:color w:val="000000" w:themeColor="text1"/>
        </w:rPr>
        <w:t>Table A1</w:t>
      </w:r>
      <w:r w:rsidRPr="00B75553">
        <w:rPr>
          <w:rFonts w:ascii="Times New Roman" w:hAnsi="Times New Roman" w:cs="Times New Roman"/>
          <w:color w:val="000000" w:themeColor="text1"/>
        </w:rPr>
        <w:t>. Literature Review on Complementarity</w:t>
      </w:r>
    </w:p>
    <w:tbl>
      <w:tblPr>
        <w:tblW w:w="9396" w:type="dxa"/>
        <w:tblLayout w:type="fixed"/>
        <w:tblLook w:val="04A0" w:firstRow="1" w:lastRow="0" w:firstColumn="1" w:lastColumn="0" w:noHBand="0" w:noVBand="1"/>
      </w:tblPr>
      <w:tblGrid>
        <w:gridCol w:w="510"/>
        <w:gridCol w:w="1285"/>
        <w:gridCol w:w="1260"/>
        <w:gridCol w:w="1805"/>
        <w:gridCol w:w="1615"/>
        <w:gridCol w:w="2921"/>
      </w:tblGrid>
      <w:tr w:rsidR="00180523" w:rsidRPr="00B56148" w14:paraId="502B4FAD" w14:textId="77777777" w:rsidTr="00D1236D">
        <w:tc>
          <w:tcPr>
            <w:tcW w:w="510" w:type="dxa"/>
            <w:tcBorders>
              <w:top w:val="single" w:sz="4" w:space="0" w:color="auto"/>
              <w:left w:val="single" w:sz="4" w:space="0" w:color="auto"/>
              <w:bottom w:val="single" w:sz="4" w:space="0" w:color="auto"/>
              <w:right w:val="single" w:sz="4" w:space="0" w:color="auto"/>
            </w:tcBorders>
          </w:tcPr>
          <w:p w14:paraId="64EC1C93" w14:textId="77777777" w:rsidR="00180523" w:rsidRPr="00B56148" w:rsidRDefault="00180523" w:rsidP="00D1236D">
            <w:pPr>
              <w:spacing w:after="0" w:line="240" w:lineRule="auto"/>
              <w:jc w:val="center"/>
              <w:rPr>
                <w:rFonts w:ascii="Times New Roman" w:hAnsi="Times New Roman" w:cs="Times New Roman"/>
                <w:color w:val="000000" w:themeColor="text1"/>
                <w:sz w:val="17"/>
                <w:szCs w:val="17"/>
              </w:rPr>
            </w:pPr>
            <w:r w:rsidRPr="00B56148">
              <w:rPr>
                <w:rFonts w:ascii="Times New Roman" w:hAnsi="Times New Roman" w:cs="Times New Roman"/>
                <w:color w:val="000000" w:themeColor="text1"/>
                <w:sz w:val="17"/>
                <w:szCs w:val="17"/>
              </w:rPr>
              <w:t>No</w:t>
            </w:r>
          </w:p>
        </w:tc>
        <w:tc>
          <w:tcPr>
            <w:tcW w:w="1285" w:type="dxa"/>
            <w:tcBorders>
              <w:top w:val="single" w:sz="4" w:space="0" w:color="auto"/>
              <w:left w:val="single" w:sz="4" w:space="0" w:color="auto"/>
              <w:bottom w:val="single" w:sz="4" w:space="0" w:color="auto"/>
              <w:right w:val="single" w:sz="4" w:space="0" w:color="auto"/>
            </w:tcBorders>
          </w:tcPr>
          <w:p w14:paraId="51112EA9" w14:textId="77777777" w:rsidR="00180523" w:rsidRPr="00B56148" w:rsidRDefault="00180523" w:rsidP="00D1236D">
            <w:pPr>
              <w:spacing w:after="0" w:line="240" w:lineRule="auto"/>
              <w:jc w:val="center"/>
              <w:rPr>
                <w:rFonts w:ascii="Times New Roman" w:hAnsi="Times New Roman" w:cs="Times New Roman"/>
                <w:color w:val="000000" w:themeColor="text1"/>
                <w:sz w:val="17"/>
                <w:szCs w:val="17"/>
              </w:rPr>
            </w:pPr>
            <w:r w:rsidRPr="00B56148">
              <w:rPr>
                <w:rFonts w:ascii="Times New Roman" w:hAnsi="Times New Roman" w:cs="Times New Roman"/>
                <w:color w:val="000000" w:themeColor="text1"/>
                <w:sz w:val="17"/>
                <w:szCs w:val="17"/>
              </w:rPr>
              <w:t>Author</w:t>
            </w:r>
          </w:p>
        </w:tc>
        <w:tc>
          <w:tcPr>
            <w:tcW w:w="1260" w:type="dxa"/>
            <w:tcBorders>
              <w:top w:val="single" w:sz="4" w:space="0" w:color="auto"/>
              <w:left w:val="single" w:sz="4" w:space="0" w:color="auto"/>
              <w:bottom w:val="single" w:sz="4" w:space="0" w:color="auto"/>
              <w:right w:val="single" w:sz="4" w:space="0" w:color="auto"/>
            </w:tcBorders>
          </w:tcPr>
          <w:p w14:paraId="1B37DB85" w14:textId="77777777" w:rsidR="00180523" w:rsidRPr="00B56148" w:rsidRDefault="00180523" w:rsidP="00D1236D">
            <w:pPr>
              <w:spacing w:after="0" w:line="240" w:lineRule="auto"/>
              <w:jc w:val="center"/>
              <w:rPr>
                <w:rFonts w:ascii="Times New Roman" w:hAnsi="Times New Roman" w:cs="Times New Roman"/>
                <w:color w:val="000000" w:themeColor="text1"/>
                <w:sz w:val="17"/>
                <w:szCs w:val="17"/>
              </w:rPr>
            </w:pPr>
            <w:r w:rsidRPr="00B56148">
              <w:rPr>
                <w:rFonts w:ascii="Times New Roman" w:hAnsi="Times New Roman" w:cs="Times New Roman"/>
                <w:color w:val="000000" w:themeColor="text1"/>
                <w:sz w:val="17"/>
                <w:szCs w:val="17"/>
              </w:rPr>
              <w:t>Country and Period</w:t>
            </w:r>
          </w:p>
        </w:tc>
        <w:tc>
          <w:tcPr>
            <w:tcW w:w="1805" w:type="dxa"/>
            <w:tcBorders>
              <w:top w:val="single" w:sz="4" w:space="0" w:color="auto"/>
              <w:left w:val="single" w:sz="4" w:space="0" w:color="auto"/>
              <w:bottom w:val="single" w:sz="4" w:space="0" w:color="auto"/>
              <w:right w:val="single" w:sz="4" w:space="0" w:color="auto"/>
            </w:tcBorders>
          </w:tcPr>
          <w:p w14:paraId="48ED33CA" w14:textId="77777777" w:rsidR="00180523" w:rsidRPr="00B56148" w:rsidRDefault="00180523" w:rsidP="00D1236D">
            <w:pPr>
              <w:spacing w:after="0" w:line="240" w:lineRule="auto"/>
              <w:jc w:val="center"/>
              <w:rPr>
                <w:rFonts w:ascii="Times New Roman" w:hAnsi="Times New Roman" w:cs="Times New Roman"/>
                <w:color w:val="000000" w:themeColor="text1"/>
                <w:sz w:val="17"/>
                <w:szCs w:val="17"/>
              </w:rPr>
            </w:pPr>
            <w:r w:rsidRPr="00B56148">
              <w:rPr>
                <w:rFonts w:ascii="Times New Roman" w:hAnsi="Times New Roman" w:cs="Times New Roman"/>
                <w:color w:val="000000" w:themeColor="text1"/>
                <w:sz w:val="17"/>
                <w:szCs w:val="17"/>
              </w:rPr>
              <w:t>Variables</w:t>
            </w:r>
          </w:p>
        </w:tc>
        <w:tc>
          <w:tcPr>
            <w:tcW w:w="1615" w:type="dxa"/>
            <w:tcBorders>
              <w:top w:val="single" w:sz="4" w:space="0" w:color="auto"/>
              <w:left w:val="single" w:sz="4" w:space="0" w:color="auto"/>
              <w:bottom w:val="single" w:sz="4" w:space="0" w:color="auto"/>
              <w:right w:val="single" w:sz="4" w:space="0" w:color="auto"/>
            </w:tcBorders>
          </w:tcPr>
          <w:p w14:paraId="4EE8A83F" w14:textId="77777777" w:rsidR="00180523" w:rsidRPr="00B56148" w:rsidRDefault="00180523" w:rsidP="00D1236D">
            <w:pPr>
              <w:spacing w:after="0" w:line="240" w:lineRule="auto"/>
              <w:jc w:val="center"/>
              <w:rPr>
                <w:rFonts w:ascii="Times New Roman" w:hAnsi="Times New Roman" w:cs="Times New Roman"/>
                <w:color w:val="000000" w:themeColor="text1"/>
                <w:sz w:val="17"/>
                <w:szCs w:val="17"/>
              </w:rPr>
            </w:pPr>
            <w:r w:rsidRPr="00B56148">
              <w:rPr>
                <w:rFonts w:ascii="Times New Roman" w:hAnsi="Times New Roman" w:cs="Times New Roman"/>
                <w:color w:val="000000" w:themeColor="text1"/>
                <w:sz w:val="17"/>
                <w:szCs w:val="17"/>
              </w:rPr>
              <w:t>Method</w:t>
            </w:r>
          </w:p>
        </w:tc>
        <w:tc>
          <w:tcPr>
            <w:tcW w:w="2921" w:type="dxa"/>
            <w:tcBorders>
              <w:top w:val="single" w:sz="4" w:space="0" w:color="auto"/>
              <w:left w:val="single" w:sz="4" w:space="0" w:color="auto"/>
              <w:bottom w:val="single" w:sz="4" w:space="0" w:color="auto"/>
              <w:right w:val="single" w:sz="4" w:space="0" w:color="auto"/>
            </w:tcBorders>
          </w:tcPr>
          <w:p w14:paraId="4E8B46E3" w14:textId="77777777" w:rsidR="00180523" w:rsidRPr="00B56148" w:rsidRDefault="00180523" w:rsidP="00D1236D">
            <w:pPr>
              <w:spacing w:after="0" w:line="240" w:lineRule="auto"/>
              <w:jc w:val="center"/>
              <w:rPr>
                <w:rFonts w:ascii="Times New Roman" w:hAnsi="Times New Roman" w:cs="Times New Roman"/>
                <w:color w:val="000000" w:themeColor="text1"/>
                <w:sz w:val="17"/>
                <w:szCs w:val="17"/>
              </w:rPr>
            </w:pPr>
            <w:r w:rsidRPr="00B56148">
              <w:rPr>
                <w:rFonts w:ascii="Times New Roman" w:hAnsi="Times New Roman" w:cs="Times New Roman"/>
                <w:color w:val="000000" w:themeColor="text1"/>
                <w:sz w:val="17"/>
                <w:szCs w:val="17"/>
              </w:rPr>
              <w:t>Results</w:t>
            </w:r>
          </w:p>
        </w:tc>
      </w:tr>
      <w:tr w:rsidR="00180523" w:rsidRPr="00B56148" w14:paraId="20CAE759" w14:textId="77777777" w:rsidTr="00D1236D">
        <w:trPr>
          <w:trHeight w:val="1781"/>
        </w:trPr>
        <w:tc>
          <w:tcPr>
            <w:tcW w:w="510" w:type="dxa"/>
            <w:tcBorders>
              <w:top w:val="single" w:sz="4" w:space="0" w:color="auto"/>
              <w:left w:val="single" w:sz="4" w:space="0" w:color="auto"/>
              <w:bottom w:val="single" w:sz="4" w:space="0" w:color="auto"/>
            </w:tcBorders>
          </w:tcPr>
          <w:p w14:paraId="289C7831" w14:textId="77777777" w:rsidR="00180523" w:rsidRPr="00B56148" w:rsidRDefault="00180523" w:rsidP="00D1236D">
            <w:pPr>
              <w:spacing w:after="0" w:line="240" w:lineRule="auto"/>
              <w:jc w:val="both"/>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1</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15BBA933"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Canales et al.</w:t>
            </w:r>
            <w:r w:rsidRPr="00B56148">
              <w:rPr>
                <w:rFonts w:ascii="Times New Roman" w:hAnsi="Times New Roman" w:cs="Times New Roman"/>
                <w:sz w:val="17"/>
                <w:szCs w:val="17"/>
              </w:rPr>
              <w:br/>
              <w:t>(2019)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B56C23F"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Poland</w:t>
            </w:r>
            <w:r w:rsidRPr="00B56148">
              <w:rPr>
                <w:rFonts w:ascii="Times New Roman" w:hAnsi="Times New Roman" w:cs="Times New Roman"/>
                <w:sz w:val="17"/>
                <w:szCs w:val="17"/>
              </w:rPr>
              <w:br/>
              <w:t>(2008)</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2A66D7FC"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Discharge, Solar radiation, Windspeed</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4678A401"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Correlation between each pair of resources and vector representation, Compromise programming, Total temporal</w:t>
            </w:r>
            <w:r>
              <w:rPr>
                <w:rFonts w:ascii="Times New Roman" w:hAnsi="Times New Roman" w:cs="Times New Roman"/>
                <w:sz w:val="17"/>
                <w:szCs w:val="17"/>
              </w:rPr>
              <w:t xml:space="preserve"> </w:t>
            </w:r>
            <w:r w:rsidRPr="00B56148">
              <w:rPr>
                <w:rFonts w:ascii="Times New Roman" w:hAnsi="Times New Roman" w:cs="Times New Roman"/>
                <w:sz w:val="17"/>
                <w:szCs w:val="17"/>
              </w:rPr>
              <w:t xml:space="preserve">complementarity index </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1D38A2D1"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 Timescale selection has a direct impact on the energetic complementa</w:t>
            </w:r>
            <w:r>
              <w:rPr>
                <w:rFonts w:ascii="Times New Roman" w:hAnsi="Times New Roman" w:cs="Times New Roman"/>
                <w:sz w:val="17"/>
                <w:szCs w:val="17"/>
              </w:rPr>
              <w:fldChar w:fldCharType="begin">
                <w:fldData xml:space="preserve">PEVuZE5vdGU+PENpdGUgSGlkZGVuPSIxIj48QXV0aG9yPkNhbmFsZXM8L0F1dGhvcj48WWVhcj4y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</w:fldData>
              </w:fldChar>
            </w:r>
            <w:r>
              <w:rPr>
                <w:rFonts w:ascii="Times New Roman" w:hAnsi="Times New Roman" w:cs="Times New Roman"/>
                <w:sz w:val="17"/>
                <w:szCs w:val="17"/>
              </w:rPr>
              <w:instrText xml:space="preserve"> ADDIN EN.CITE </w:instrText>
            </w:r>
            <w:r>
              <w:rPr>
                <w:rFonts w:ascii="Times New Roman" w:hAnsi="Times New Roman" w:cs="Times New Roman"/>
                <w:sz w:val="17"/>
                <w:szCs w:val="17"/>
              </w:rPr>
              <w:fldChar w:fldCharType="begin">
                <w:fldData xml:space="preserve">PEVuZE5vdGU+PENpdGUgSGlkZGVuPSIxIj48QXV0aG9yPkNhbmFsZXM8L0F1dGhvcj48WWVhcj4y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</w:fldData>
              </w:fldChar>
            </w:r>
            <w:r>
              <w:rPr>
                <w:rFonts w:ascii="Times New Roman" w:hAnsi="Times New Roman" w:cs="Times New Roman"/>
                <w:sz w:val="17"/>
                <w:szCs w:val="17"/>
              </w:rPr>
              <w:instrText xml:space="preserve"> ADDIN EN.CITE.DATA </w:instrText>
            </w:r>
            <w:r>
              <w:rPr>
                <w:rFonts w:ascii="Times New Roman" w:hAnsi="Times New Roman" w:cs="Times New Roman"/>
                <w:sz w:val="17"/>
                <w:szCs w:val="17"/>
              </w:rPr>
            </w:r>
            <w:r>
              <w:rPr>
                <w:rFonts w:ascii="Times New Roman" w:hAnsi="Times New Roman" w:cs="Times New Roman"/>
                <w:sz w:val="17"/>
                <w:szCs w:val="17"/>
              </w:rPr>
              <w:fldChar w:fldCharType="end"/>
            </w:r>
            <w:r w:rsidR="00000000">
              <w:rPr>
                <w:rFonts w:ascii="Times New Roman" w:hAnsi="Times New Roman" w:cs="Times New Roman"/>
                <w:sz w:val="17"/>
                <w:szCs w:val="17"/>
              </w:rPr>
            </w:r>
            <w:r w:rsidR="00000000">
              <w:rPr>
                <w:rFonts w:ascii="Times New Roman" w:hAnsi="Times New Roman" w:cs="Times New Roman"/>
                <w:sz w:val="17"/>
                <w:szCs w:val="17"/>
              </w:rPr>
              <w:fldChar w:fldCharType="separate"/>
            </w:r>
            <w:r>
              <w:rPr>
                <w:rFonts w:ascii="Times New Roman" w:hAnsi="Times New Roman" w:cs="Times New Roman"/>
                <w:sz w:val="17"/>
                <w:szCs w:val="17"/>
              </w:rPr>
              <w:fldChar w:fldCharType="end"/>
            </w:r>
            <w:r w:rsidRPr="00B56148">
              <w:rPr>
                <w:rFonts w:ascii="Times New Roman" w:hAnsi="Times New Roman" w:cs="Times New Roman"/>
                <w:sz w:val="17"/>
                <w:szCs w:val="17"/>
              </w:rPr>
              <w:t>rity index value</w:t>
            </w:r>
          </w:p>
        </w:tc>
      </w:tr>
      <w:tr w:rsidR="00180523" w:rsidRPr="00B56148" w14:paraId="6C82E3B4" w14:textId="77777777" w:rsidTr="00D1236D">
        <w:tc>
          <w:tcPr>
            <w:tcW w:w="510" w:type="dxa"/>
            <w:tcBorders>
              <w:top w:val="single" w:sz="4" w:space="0" w:color="auto"/>
              <w:left w:val="single" w:sz="4" w:space="0" w:color="auto"/>
              <w:bottom w:val="single" w:sz="4" w:space="0" w:color="auto"/>
            </w:tcBorders>
          </w:tcPr>
          <w:p w14:paraId="2319F662" w14:textId="77777777" w:rsidR="00180523" w:rsidRPr="00B56148" w:rsidRDefault="00180523" w:rsidP="00D1236D">
            <w:pPr>
              <w:spacing w:after="0" w:line="240" w:lineRule="auto"/>
              <w:jc w:val="both"/>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2</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360DD828"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Guezgouz et al.</w:t>
            </w:r>
            <w:r w:rsidRPr="00B56148">
              <w:rPr>
                <w:rFonts w:ascii="Times New Roman" w:hAnsi="Times New Roman" w:cs="Times New Roman"/>
                <w:sz w:val="17"/>
                <w:szCs w:val="17"/>
              </w:rPr>
              <w:br/>
              <w:t>(2021)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C2A461B"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Algeria</w:t>
            </w:r>
            <w:r w:rsidRPr="00B56148">
              <w:rPr>
                <w:rFonts w:ascii="Times New Roman" w:hAnsi="Times New Roman" w:cs="Times New Roman"/>
                <w:sz w:val="17"/>
                <w:szCs w:val="17"/>
              </w:rPr>
              <w:br/>
              <w:t>(2019)</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0CD04FE8"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Wind radiation, Solar radiation</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2E961F72"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Spearman's rank coefficient of correlation</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504119AD" w14:textId="77777777" w:rsidR="00180523" w:rsidRPr="00B56148" w:rsidRDefault="00180523" w:rsidP="00D1236D">
            <w:pPr>
              <w:spacing w:after="0" w:line="240" w:lineRule="auto"/>
              <w:rPr>
                <w:rFonts w:ascii="Times New Roman" w:hAnsi="Times New Roman" w:cs="Times New Roman"/>
                <w:sz w:val="17"/>
                <w:szCs w:val="17"/>
              </w:rPr>
            </w:pPr>
            <w:r w:rsidRPr="00B56148">
              <w:rPr>
                <w:rFonts w:ascii="Times New Roman" w:hAnsi="Times New Roman" w:cs="Times New Roman"/>
                <w:sz w:val="17"/>
                <w:szCs w:val="17"/>
              </w:rPr>
              <w:t xml:space="preserve">- Lack of spatial complementarity and moderate complementarity levels in the coastal and highlands regions. </w:t>
            </w:r>
            <w:r w:rsidRPr="00B56148">
              <w:rPr>
                <w:rFonts w:ascii="Times New Roman" w:hAnsi="Times New Roman" w:cs="Times New Roman"/>
                <w:sz w:val="17"/>
                <w:szCs w:val="17"/>
              </w:rPr>
              <w:br/>
              <w:t>- When distance increases, the correlation coefficient of wind-wind power decreases rapidly compared to solar-solar power</w:t>
            </w:r>
          </w:p>
        </w:tc>
      </w:tr>
      <w:tr w:rsidR="00180523" w:rsidRPr="00B56148" w14:paraId="590BE3E4" w14:textId="77777777" w:rsidTr="00D1236D">
        <w:tc>
          <w:tcPr>
            <w:tcW w:w="510" w:type="dxa"/>
            <w:tcBorders>
              <w:top w:val="single" w:sz="4" w:space="0" w:color="auto"/>
              <w:left w:val="single" w:sz="4" w:space="0" w:color="auto"/>
              <w:bottom w:val="single" w:sz="4" w:space="0" w:color="auto"/>
            </w:tcBorders>
          </w:tcPr>
          <w:p w14:paraId="746652C5" w14:textId="77777777" w:rsidR="00180523" w:rsidRPr="00B56148" w:rsidRDefault="00180523" w:rsidP="00D1236D">
            <w:pPr>
              <w:spacing w:after="0" w:line="240" w:lineRule="auto"/>
              <w:jc w:val="both"/>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3</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14823C71"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Karadöl et al.</w:t>
            </w:r>
            <w:r w:rsidRPr="00B56148">
              <w:rPr>
                <w:rFonts w:ascii="Times New Roman" w:hAnsi="Times New Roman" w:cs="Times New Roman"/>
                <w:sz w:val="17"/>
                <w:szCs w:val="17"/>
              </w:rPr>
              <w:br/>
              <w:t>(2021)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3556BAD"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Turkey</w:t>
            </w:r>
            <w:r w:rsidRPr="00B56148">
              <w:rPr>
                <w:rFonts w:ascii="Times New Roman" w:hAnsi="Times New Roman" w:cs="Times New Roman"/>
                <w:sz w:val="17"/>
                <w:szCs w:val="17"/>
              </w:rPr>
              <w:br/>
              <w:t>(2017-2018)</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5F10C7A1"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Wind, Hydro</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21C74807"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Critical Time Window Index (CTW METHOD)</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7522F487"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To change plant clusters to optimal levels will help to have a better spatial-temporal complementarity</w:t>
            </w:r>
            <w:r>
              <w:rPr>
                <w:rFonts w:ascii="Times New Roman" w:hAnsi="Times New Roman" w:cs="Times New Roman"/>
                <w:sz w:val="17"/>
                <w:szCs w:val="17"/>
              </w:rPr>
              <w:t>,</w:t>
            </w:r>
            <w:r w:rsidRPr="00B56148">
              <w:rPr>
                <w:rFonts w:ascii="Times New Roman" w:hAnsi="Times New Roman" w:cs="Times New Roman"/>
                <w:sz w:val="17"/>
                <w:szCs w:val="17"/>
              </w:rPr>
              <w:t xml:space="preserve"> which will help to increase the capacity factors of power plants, reduce the levelized cost of energy and reduce low generation durations and frequencies when compared to the current situation. </w:t>
            </w:r>
          </w:p>
        </w:tc>
      </w:tr>
      <w:tr w:rsidR="00180523" w:rsidRPr="00B56148" w14:paraId="312E8FF6" w14:textId="77777777" w:rsidTr="00D1236D">
        <w:tc>
          <w:tcPr>
            <w:tcW w:w="510" w:type="dxa"/>
            <w:tcBorders>
              <w:top w:val="single" w:sz="4" w:space="0" w:color="auto"/>
              <w:left w:val="single" w:sz="4" w:space="0" w:color="auto"/>
              <w:bottom w:val="single" w:sz="4" w:space="0" w:color="auto"/>
              <w:right w:val="single" w:sz="4" w:space="0" w:color="auto"/>
            </w:tcBorders>
          </w:tcPr>
          <w:p w14:paraId="38327D9E" w14:textId="77777777" w:rsidR="00180523" w:rsidRPr="00B56148" w:rsidRDefault="00180523" w:rsidP="00D1236D">
            <w:pPr>
              <w:spacing w:after="0" w:line="240" w:lineRule="auto"/>
              <w:jc w:val="both"/>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4</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0409DD6F"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Kapica et al.</w:t>
            </w:r>
            <w:r w:rsidRPr="00B56148">
              <w:rPr>
                <w:rFonts w:ascii="Times New Roman" w:hAnsi="Times New Roman" w:cs="Times New Roman"/>
                <w:sz w:val="17"/>
                <w:szCs w:val="17"/>
              </w:rPr>
              <w:br/>
              <w:t>(2021)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980A64C"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 xml:space="preserve">Between 66◦ South and 66◦ North </w:t>
            </w:r>
            <w:r w:rsidRPr="00B56148">
              <w:rPr>
                <w:rFonts w:ascii="Times New Roman" w:hAnsi="Times New Roman" w:cs="Times New Roman"/>
                <w:sz w:val="17"/>
                <w:szCs w:val="17"/>
              </w:rPr>
              <w:br/>
              <w:t>(2001-2020)</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27786337"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Average daily wind speed, Clear-sky insolation clearness index, KT (-), All-sky insolation incident on a horizontal surface</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5082F1E6"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Kendall's tau correlation coefficient</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4A86D1E1"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 xml:space="preserve">- Kendall's tau ranges between -0.75 to 0.75 </w:t>
            </w:r>
            <w:r w:rsidRPr="00B56148">
              <w:rPr>
                <w:rFonts w:ascii="Times New Roman" w:hAnsi="Times New Roman" w:cs="Times New Roman"/>
                <w:sz w:val="17"/>
                <w:szCs w:val="17"/>
              </w:rPr>
              <w:br/>
              <w:t>- To prevent the variability of energy production restraintments and to maximise energy production, energy predisposition of the area should be the main determining factor to determine dominating energy source</w:t>
            </w:r>
          </w:p>
        </w:tc>
      </w:tr>
      <w:tr w:rsidR="00180523" w:rsidRPr="00B56148" w14:paraId="400AB173" w14:textId="77777777" w:rsidTr="00D1236D">
        <w:tc>
          <w:tcPr>
            <w:tcW w:w="510" w:type="dxa"/>
            <w:tcBorders>
              <w:top w:val="single" w:sz="4" w:space="0" w:color="auto"/>
              <w:left w:val="single" w:sz="4" w:space="0" w:color="auto"/>
              <w:bottom w:val="single" w:sz="4" w:space="0" w:color="auto"/>
            </w:tcBorders>
          </w:tcPr>
          <w:p w14:paraId="6255A76F" w14:textId="77777777" w:rsidR="00180523" w:rsidRPr="00B56148" w:rsidRDefault="00180523" w:rsidP="00D1236D">
            <w:pPr>
              <w:spacing w:after="0" w:line="240" w:lineRule="auto"/>
              <w:jc w:val="both"/>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5</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0B0529B7"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Ding et al.</w:t>
            </w:r>
            <w:r w:rsidRPr="00B56148">
              <w:rPr>
                <w:rFonts w:ascii="Times New Roman" w:hAnsi="Times New Roman" w:cs="Times New Roman"/>
                <w:sz w:val="17"/>
                <w:szCs w:val="17"/>
              </w:rPr>
              <w:br/>
              <w:t>(2017)</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01E0388"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China Hubei District</w:t>
            </w:r>
            <w:r w:rsidRPr="00B56148">
              <w:rPr>
                <w:rFonts w:ascii="Times New Roman" w:hAnsi="Times New Roman" w:cs="Times New Roman"/>
                <w:sz w:val="17"/>
                <w:szCs w:val="17"/>
              </w:rPr>
              <w:br/>
              <w:t>(2014-2016)</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7A7A5F21"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Solar radiation, Wind energy, Complementary index</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43A07651"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Astronomical radiation method</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7DE7C8AE"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 There is a high spatial complementarity</w:t>
            </w:r>
            <w:r w:rsidRPr="00B56148">
              <w:rPr>
                <w:rFonts w:ascii="Times New Roman" w:hAnsi="Times New Roman" w:cs="Times New Roman"/>
                <w:sz w:val="17"/>
                <w:szCs w:val="17"/>
              </w:rPr>
              <w:br/>
              <w:t>- The solar and wind complementarity differs among seasons</w:t>
            </w:r>
          </w:p>
        </w:tc>
      </w:tr>
      <w:tr w:rsidR="00180523" w:rsidRPr="00B56148" w14:paraId="1DED9B61" w14:textId="77777777" w:rsidTr="00D1236D">
        <w:tc>
          <w:tcPr>
            <w:tcW w:w="510" w:type="dxa"/>
            <w:tcBorders>
              <w:top w:val="single" w:sz="4" w:space="0" w:color="auto"/>
              <w:left w:val="single" w:sz="4" w:space="0" w:color="auto"/>
              <w:bottom w:val="single" w:sz="4" w:space="0" w:color="auto"/>
            </w:tcBorders>
          </w:tcPr>
          <w:p w14:paraId="75465487" w14:textId="77777777" w:rsidR="00180523" w:rsidRPr="00B56148" w:rsidRDefault="00180523" w:rsidP="00D1236D">
            <w:pPr>
              <w:spacing w:after="0" w:line="240" w:lineRule="auto"/>
              <w:jc w:val="both"/>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6</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2625B163"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Ciria et al.</w:t>
            </w:r>
            <w:r w:rsidRPr="00B56148">
              <w:rPr>
                <w:rFonts w:ascii="Times New Roman" w:hAnsi="Times New Roman" w:cs="Times New Roman"/>
                <w:sz w:val="17"/>
                <w:szCs w:val="17"/>
              </w:rPr>
              <w:br/>
              <w:t>(2020)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F12DDA3"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North of Italy</w:t>
            </w:r>
            <w:r w:rsidRPr="00B56148">
              <w:rPr>
                <w:rFonts w:ascii="Times New Roman" w:hAnsi="Times New Roman" w:cs="Times New Roman"/>
                <w:sz w:val="17"/>
                <w:szCs w:val="17"/>
              </w:rPr>
              <w:br/>
              <w:t>(1992-2012)</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61CD724E"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Solar Radiation and Temperature (to simulate Solar PV generation and Electricity Demand)</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21A70E1A"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CWT (Continuous Wavelet Transform), WTC (Wavelet Transform Coherence), WBCI (Wavelet-based complementarity index), DWT (Discrete Wavelet Transform)</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20D4C746"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 xml:space="preserve">- The improvement of energy mix helps to minimise balancing costs and storage needs </w:t>
            </w:r>
            <w:r w:rsidRPr="00B56148">
              <w:rPr>
                <w:rFonts w:ascii="Times New Roman" w:hAnsi="Times New Roman" w:cs="Times New Roman"/>
                <w:sz w:val="17"/>
                <w:szCs w:val="17"/>
              </w:rPr>
              <w:br/>
              <w:t>- Renewable energy complementarity is beneficial by limiting the energy production and load balance variability</w:t>
            </w:r>
          </w:p>
        </w:tc>
      </w:tr>
      <w:tr w:rsidR="00180523" w:rsidRPr="00B56148" w14:paraId="595FA324" w14:textId="77777777" w:rsidTr="00D1236D">
        <w:tc>
          <w:tcPr>
            <w:tcW w:w="510" w:type="dxa"/>
            <w:tcBorders>
              <w:top w:val="single" w:sz="4" w:space="0" w:color="auto"/>
              <w:left w:val="single" w:sz="4" w:space="0" w:color="auto"/>
              <w:bottom w:val="single" w:sz="4" w:space="0" w:color="auto"/>
            </w:tcBorders>
          </w:tcPr>
          <w:p w14:paraId="3F6E8EA3" w14:textId="77777777" w:rsidR="00180523" w:rsidRPr="00B56148" w:rsidRDefault="00180523" w:rsidP="00D1236D">
            <w:pPr>
              <w:spacing w:after="0" w:line="240" w:lineRule="auto"/>
              <w:jc w:val="both"/>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7</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0F62D81D"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Risso et al.</w:t>
            </w:r>
            <w:r w:rsidRPr="00B56148">
              <w:rPr>
                <w:rFonts w:ascii="Times New Roman" w:hAnsi="Times New Roman" w:cs="Times New Roman"/>
                <w:sz w:val="17"/>
                <w:szCs w:val="17"/>
              </w:rPr>
              <w:br/>
              <w:t>(2019)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E097C4B"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N/A</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2CF22615"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 xml:space="preserve">Renewable </w:t>
            </w:r>
            <w:proofErr w:type="gramStart"/>
            <w:r w:rsidRPr="00B56148">
              <w:rPr>
                <w:rFonts w:ascii="Times New Roman" w:hAnsi="Times New Roman" w:cs="Times New Roman"/>
                <w:sz w:val="17"/>
                <w:szCs w:val="17"/>
              </w:rPr>
              <w:t>Energy,  Hybrid</w:t>
            </w:r>
            <w:proofErr w:type="gramEnd"/>
            <w:r w:rsidRPr="00B56148">
              <w:rPr>
                <w:rFonts w:ascii="Times New Roman" w:hAnsi="Times New Roman" w:cs="Times New Roman"/>
                <w:sz w:val="17"/>
                <w:szCs w:val="17"/>
              </w:rPr>
              <w:t xml:space="preserve"> Energy systems</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60ABCF7D"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Complementarity roses evaluating spatial complementarity in time between energy resources</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3A43E2C6"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Energetic complementarity can be applied for both energy planning and operation of energy systems based on renewable energy systems</w:t>
            </w:r>
          </w:p>
        </w:tc>
      </w:tr>
      <w:tr w:rsidR="00180523" w:rsidRPr="00B56148" w14:paraId="5257791B" w14:textId="77777777" w:rsidTr="00D1236D">
        <w:tc>
          <w:tcPr>
            <w:tcW w:w="510" w:type="dxa"/>
            <w:tcBorders>
              <w:top w:val="single" w:sz="4" w:space="0" w:color="auto"/>
              <w:left w:val="single" w:sz="4" w:space="0" w:color="auto"/>
              <w:bottom w:val="single" w:sz="4" w:space="0" w:color="auto"/>
            </w:tcBorders>
          </w:tcPr>
          <w:p w14:paraId="4502746B" w14:textId="77777777" w:rsidR="00180523" w:rsidRPr="00B56148" w:rsidRDefault="00180523" w:rsidP="00D1236D">
            <w:pPr>
              <w:spacing w:after="0" w:line="240" w:lineRule="auto"/>
              <w:jc w:val="both"/>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8</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0A390CA2"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Ren et al.</w:t>
            </w:r>
            <w:r w:rsidRPr="00B56148">
              <w:rPr>
                <w:rFonts w:ascii="Times New Roman" w:hAnsi="Times New Roman" w:cs="Times New Roman"/>
                <w:sz w:val="17"/>
                <w:szCs w:val="17"/>
              </w:rPr>
              <w:br/>
              <w:t>(2019)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9A65B92"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China</w:t>
            </w:r>
            <w:r w:rsidRPr="00B56148">
              <w:rPr>
                <w:rFonts w:ascii="Times New Roman" w:hAnsi="Times New Roman" w:cs="Times New Roman"/>
                <w:sz w:val="17"/>
                <w:szCs w:val="17"/>
              </w:rPr>
              <w:br/>
              <w:t>(2013-2017)</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0E13DD23"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 xml:space="preserve"> Wind, Solar</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2B174D2D"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Kendall's tau correlation coefficient</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37F8796F"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 For most cases, the complementarity of wind and PV plants is superior when they are in the same region and when the correlation is positive, complementarity improves</w:t>
            </w:r>
            <w:r w:rsidRPr="00B56148">
              <w:rPr>
                <w:rFonts w:ascii="Times New Roman" w:hAnsi="Times New Roman" w:cs="Times New Roman"/>
                <w:sz w:val="17"/>
                <w:szCs w:val="17"/>
              </w:rPr>
              <w:br/>
              <w:t xml:space="preserve">- Complementarity of wind and solar helps to erase the </w:t>
            </w:r>
            <w:proofErr w:type="gramStart"/>
            <w:r w:rsidRPr="00B56148">
              <w:rPr>
                <w:rFonts w:ascii="Times New Roman" w:hAnsi="Times New Roman" w:cs="Times New Roman"/>
                <w:sz w:val="17"/>
                <w:szCs w:val="17"/>
              </w:rPr>
              <w:t>zero power</w:t>
            </w:r>
            <w:proofErr w:type="gramEnd"/>
            <w:r w:rsidRPr="00B56148">
              <w:rPr>
                <w:rFonts w:ascii="Times New Roman" w:hAnsi="Times New Roman" w:cs="Times New Roman"/>
                <w:sz w:val="17"/>
                <w:szCs w:val="17"/>
              </w:rPr>
              <w:t xml:space="preserve"> output, </w:t>
            </w:r>
            <w:r w:rsidRPr="00B56148">
              <w:rPr>
                <w:rFonts w:ascii="Times New Roman" w:hAnsi="Times New Roman" w:cs="Times New Roman"/>
                <w:sz w:val="17"/>
                <w:szCs w:val="17"/>
              </w:rPr>
              <w:lastRenderedPageBreak/>
              <w:t>increase reliability and mitigate hourly power decreases</w:t>
            </w:r>
          </w:p>
        </w:tc>
      </w:tr>
      <w:tr w:rsidR="00180523" w:rsidRPr="00B56148" w14:paraId="767404AA" w14:textId="77777777" w:rsidTr="00D1236D">
        <w:tc>
          <w:tcPr>
            <w:tcW w:w="510" w:type="dxa"/>
            <w:tcBorders>
              <w:top w:val="single" w:sz="4" w:space="0" w:color="auto"/>
              <w:left w:val="single" w:sz="4" w:space="0" w:color="auto"/>
              <w:bottom w:val="single" w:sz="4" w:space="0" w:color="auto"/>
            </w:tcBorders>
          </w:tcPr>
          <w:p w14:paraId="00CDDC3A" w14:textId="77777777" w:rsidR="00180523" w:rsidRPr="00B56148" w:rsidRDefault="00180523" w:rsidP="00D1236D">
            <w:pPr>
              <w:spacing w:after="0" w:line="240" w:lineRule="auto"/>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lastRenderedPageBreak/>
              <w:t>9</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74864142"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Canales et al.</w:t>
            </w:r>
            <w:r w:rsidRPr="00B56148">
              <w:rPr>
                <w:rFonts w:ascii="Times New Roman" w:hAnsi="Times New Roman" w:cs="Times New Roman"/>
                <w:sz w:val="17"/>
                <w:szCs w:val="17"/>
              </w:rPr>
              <w:br/>
              <w:t>(2020)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D8276EA"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Colombia</w:t>
            </w:r>
            <w:r w:rsidRPr="00B56148">
              <w:rPr>
                <w:rFonts w:ascii="Times New Roman" w:hAnsi="Times New Roman" w:cs="Times New Roman"/>
                <w:sz w:val="17"/>
                <w:szCs w:val="17"/>
              </w:rPr>
              <w:br/>
              <w:t>(2015)</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7118D0A3"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Wind, Radiation, Runoff</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6008F10D"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 xml:space="preserve">Assessing temporal complementarity between three variable energy sources through correlation and compromise programming </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52147908"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The majority of the country presents a complementarity between solar radiation and surface runoff and between wind speed and surface runoff throughout the year.</w:t>
            </w:r>
          </w:p>
        </w:tc>
      </w:tr>
      <w:tr w:rsidR="00180523" w:rsidRPr="00B56148" w14:paraId="18AB7B78" w14:textId="77777777" w:rsidTr="00D1236D">
        <w:tc>
          <w:tcPr>
            <w:tcW w:w="510" w:type="dxa"/>
            <w:tcBorders>
              <w:top w:val="single" w:sz="4" w:space="0" w:color="auto"/>
              <w:left w:val="single" w:sz="4" w:space="0" w:color="auto"/>
              <w:bottom w:val="single" w:sz="4" w:space="0" w:color="auto"/>
            </w:tcBorders>
          </w:tcPr>
          <w:p w14:paraId="5BE3E903" w14:textId="77777777" w:rsidR="00180523" w:rsidRPr="00B56148" w:rsidRDefault="00180523" w:rsidP="00D1236D">
            <w:pPr>
              <w:spacing w:after="0" w:line="240" w:lineRule="auto"/>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10</w:t>
            </w:r>
          </w:p>
          <w:p w14:paraId="516F10A6" w14:textId="77777777" w:rsidR="00180523" w:rsidRPr="00B56148" w:rsidRDefault="00180523" w:rsidP="00D1236D">
            <w:pPr>
              <w:spacing w:after="0" w:line="240" w:lineRule="auto"/>
              <w:rPr>
                <w:rFonts w:ascii="Times New Roman" w:hAnsi="Times New Roman" w:cs="Times New Roman"/>
                <w:b/>
                <w:bCs/>
                <w:color w:val="000000" w:themeColor="text1"/>
                <w:sz w:val="17"/>
                <w:szCs w:val="17"/>
              </w:rPr>
            </w:pP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2CDE941C"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Jerez et al.</w:t>
            </w:r>
            <w:r w:rsidRPr="00B56148">
              <w:rPr>
                <w:rFonts w:ascii="Times New Roman" w:hAnsi="Times New Roman" w:cs="Times New Roman"/>
                <w:sz w:val="17"/>
                <w:szCs w:val="17"/>
              </w:rPr>
              <w:br/>
              <w:t>(2013)</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1E4CDE9"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Iberian Peninsula</w:t>
            </w:r>
            <w:r w:rsidRPr="00B56148">
              <w:rPr>
                <w:rFonts w:ascii="Times New Roman" w:hAnsi="Times New Roman" w:cs="Times New Roman"/>
                <w:sz w:val="17"/>
                <w:szCs w:val="17"/>
              </w:rPr>
              <w:br/>
              <w:t>(1959-2007)</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71BC5861"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Wind, Solar, Short-wave radiation, Wind speed</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61978170"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Developed the optimisation algorithm with two approaches (idealistic, realistic)</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0C4D9DCD"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The algorithm is able to profitably reduce the interannual variability of the monthly power generation series that result from an optimum wind-plus-solar power system, also enhancing its stability throughout the year in comparison to the single-source approaches</w:t>
            </w:r>
          </w:p>
        </w:tc>
      </w:tr>
      <w:tr w:rsidR="00180523" w:rsidRPr="00B56148" w14:paraId="2FEB86A7" w14:textId="77777777" w:rsidTr="00D1236D">
        <w:tc>
          <w:tcPr>
            <w:tcW w:w="510" w:type="dxa"/>
            <w:tcBorders>
              <w:top w:val="single" w:sz="4" w:space="0" w:color="auto"/>
              <w:left w:val="single" w:sz="4" w:space="0" w:color="auto"/>
              <w:bottom w:val="single" w:sz="4" w:space="0" w:color="auto"/>
            </w:tcBorders>
          </w:tcPr>
          <w:p w14:paraId="05AC74B4" w14:textId="77777777" w:rsidR="00180523" w:rsidRPr="00B56148" w:rsidRDefault="00180523" w:rsidP="00D1236D">
            <w:pPr>
              <w:spacing w:after="0" w:line="240" w:lineRule="auto"/>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11</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4405C328"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Lolla et al.</w:t>
            </w:r>
            <w:r w:rsidRPr="00B56148">
              <w:rPr>
                <w:rFonts w:ascii="Times New Roman" w:hAnsi="Times New Roman" w:cs="Times New Roman"/>
                <w:sz w:val="17"/>
                <w:szCs w:val="17"/>
              </w:rPr>
              <w:br/>
              <w:t>(2015)</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C1C9DFD"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India</w:t>
            </w:r>
            <w:r w:rsidRPr="00B56148">
              <w:rPr>
                <w:rFonts w:ascii="Times New Roman" w:hAnsi="Times New Roman" w:cs="Times New Roman"/>
                <w:sz w:val="17"/>
                <w:szCs w:val="17"/>
              </w:rPr>
              <w:br/>
              <w:t>(1979 - 2013)</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60E5BF2F"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Solar, Wind, Wind and Solar farm distribution</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68E46AD4"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Proof-of-concept</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1DE3316B"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 xml:space="preserve">Spatial-temporal complementarity of wind and solar resources varies in seasonal-scale </w:t>
            </w:r>
          </w:p>
        </w:tc>
      </w:tr>
      <w:tr w:rsidR="00180523" w:rsidRPr="00B56148" w14:paraId="5D916ED8" w14:textId="77777777" w:rsidTr="00D1236D">
        <w:tc>
          <w:tcPr>
            <w:tcW w:w="510" w:type="dxa"/>
            <w:tcBorders>
              <w:top w:val="single" w:sz="4" w:space="0" w:color="auto"/>
              <w:left w:val="single" w:sz="4" w:space="0" w:color="auto"/>
              <w:bottom w:val="single" w:sz="4" w:space="0" w:color="auto"/>
            </w:tcBorders>
          </w:tcPr>
          <w:p w14:paraId="799971A8" w14:textId="77777777" w:rsidR="00180523" w:rsidRPr="00B56148" w:rsidRDefault="00180523" w:rsidP="00D1236D">
            <w:pPr>
              <w:spacing w:after="0" w:line="240" w:lineRule="auto"/>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12</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0EAA34B1"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Dou et al.</w:t>
            </w:r>
            <w:r w:rsidRPr="00B56148">
              <w:rPr>
                <w:rFonts w:ascii="Times New Roman" w:hAnsi="Times New Roman" w:cs="Times New Roman"/>
                <w:sz w:val="17"/>
                <w:szCs w:val="17"/>
              </w:rPr>
              <w:br/>
              <w:t>(2018)</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2B42B1D"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Yalong River</w:t>
            </w:r>
            <w:r w:rsidRPr="00B56148">
              <w:rPr>
                <w:rFonts w:ascii="Times New Roman" w:hAnsi="Times New Roman" w:cs="Times New Roman"/>
                <w:sz w:val="17"/>
                <w:szCs w:val="17"/>
              </w:rPr>
              <w:br/>
              <w:t>(2007 - 2016)</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44E6D5F2"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Wind, PV, Hydro</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66AA79A8"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The objective function to maximise the minimum bundled output of the wind/PV/hydropower by regulation of hydropower</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350A0C95"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 There is complementarity between wind and PV power, and the complementarity ratio between the sources is related to installed capacity</w:t>
            </w:r>
            <w:r w:rsidRPr="00B56148">
              <w:rPr>
                <w:rFonts w:ascii="Times New Roman" w:hAnsi="Times New Roman" w:cs="Times New Roman"/>
                <w:sz w:val="17"/>
                <w:szCs w:val="17"/>
              </w:rPr>
              <w:br/>
              <w:t>- When the installed capacity of new energy increases, the complementarity of power generation systems of all dual complementarities between energy sources decreases</w:t>
            </w:r>
          </w:p>
        </w:tc>
      </w:tr>
      <w:tr w:rsidR="00180523" w:rsidRPr="00B56148" w14:paraId="00498097" w14:textId="77777777" w:rsidTr="00D1236D">
        <w:tc>
          <w:tcPr>
            <w:tcW w:w="510" w:type="dxa"/>
            <w:tcBorders>
              <w:top w:val="single" w:sz="4" w:space="0" w:color="auto"/>
              <w:left w:val="single" w:sz="4" w:space="0" w:color="auto"/>
              <w:bottom w:val="single" w:sz="4" w:space="0" w:color="auto"/>
            </w:tcBorders>
          </w:tcPr>
          <w:p w14:paraId="2F562F95" w14:textId="77777777" w:rsidR="00180523" w:rsidRPr="00B56148" w:rsidRDefault="00180523" w:rsidP="00D1236D">
            <w:pPr>
              <w:spacing w:after="0" w:line="240" w:lineRule="auto"/>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13</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186C3C2D"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Slusarewicz &amp; Cohan</w:t>
            </w:r>
            <w:r w:rsidRPr="00B56148">
              <w:rPr>
                <w:rFonts w:ascii="Times New Roman" w:hAnsi="Times New Roman" w:cs="Times New Roman"/>
                <w:sz w:val="17"/>
                <w:szCs w:val="17"/>
              </w:rPr>
              <w:br/>
              <w:t>(2018)</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B4D440C"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Texas</w:t>
            </w:r>
            <w:r w:rsidRPr="00B56148">
              <w:rPr>
                <w:rFonts w:ascii="Times New Roman" w:hAnsi="Times New Roman" w:cs="Times New Roman"/>
                <w:sz w:val="17"/>
                <w:szCs w:val="17"/>
              </w:rPr>
              <w:br/>
              <w:t>(2007-2013)</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2E382E97"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Solar, Wind, Coefficient of variance, Firm capacity, Peak average capacity</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3C603378" w14:textId="77777777" w:rsidR="00180523" w:rsidRPr="00B56148" w:rsidRDefault="00180523" w:rsidP="00D1236D">
            <w:pPr>
              <w:pStyle w:val="BalonMetni"/>
              <w:ind w:hanging="3"/>
              <w:rPr>
                <w:rFonts w:ascii="Times New Roman" w:hAnsi="Times New Roman" w:cs="Times New Roman"/>
                <w:color w:val="000000" w:themeColor="text1"/>
                <w:sz w:val="17"/>
                <w:szCs w:val="17"/>
              </w:rPr>
            </w:pPr>
            <w:r w:rsidRPr="00B56148">
              <w:rPr>
                <w:rFonts w:ascii="Times New Roman" w:hAnsi="Times New Roman" w:cs="Times New Roman"/>
                <w:sz w:val="17"/>
                <w:szCs w:val="17"/>
              </w:rPr>
              <w:t>System Advisory Model</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51A3498D"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 There is a complementarity between solar and wind</w:t>
            </w:r>
            <w:r w:rsidRPr="00B56148">
              <w:rPr>
                <w:rFonts w:ascii="Times New Roman" w:hAnsi="Times New Roman" w:cs="Times New Roman"/>
                <w:sz w:val="17"/>
                <w:szCs w:val="17"/>
              </w:rPr>
              <w:br/>
              <w:t>- Combination of solar with wind may help to increase reliable power production on an annual basis</w:t>
            </w:r>
          </w:p>
        </w:tc>
      </w:tr>
      <w:tr w:rsidR="00180523" w:rsidRPr="00B56148" w14:paraId="2C8BE007" w14:textId="77777777" w:rsidTr="00D1236D">
        <w:tc>
          <w:tcPr>
            <w:tcW w:w="510" w:type="dxa"/>
            <w:tcBorders>
              <w:top w:val="single" w:sz="4" w:space="0" w:color="auto"/>
              <w:left w:val="single" w:sz="4" w:space="0" w:color="auto"/>
              <w:bottom w:val="single" w:sz="4" w:space="0" w:color="auto"/>
            </w:tcBorders>
          </w:tcPr>
          <w:p w14:paraId="1ED6D695" w14:textId="77777777" w:rsidR="00180523" w:rsidRPr="00B56148" w:rsidRDefault="00180523" w:rsidP="00D1236D">
            <w:pPr>
              <w:spacing w:after="0" w:line="240" w:lineRule="auto"/>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14</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32F2CEAC"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Radu et al.</w:t>
            </w:r>
            <w:r w:rsidRPr="00B56148">
              <w:rPr>
                <w:rFonts w:ascii="Times New Roman" w:hAnsi="Times New Roman" w:cs="Times New Roman"/>
                <w:sz w:val="17"/>
                <w:szCs w:val="17"/>
              </w:rPr>
              <w:br/>
              <w:t>(2019)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7EF7BB8"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Europe &amp; Greenland</w:t>
            </w:r>
            <w:r w:rsidRPr="00B56148">
              <w:rPr>
                <w:rFonts w:ascii="Times New Roman" w:hAnsi="Times New Roman" w:cs="Times New Roman"/>
                <w:sz w:val="17"/>
                <w:szCs w:val="17"/>
              </w:rPr>
              <w:br/>
              <w:t>(2008-2017)</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296A1684"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Wind</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65EE832B"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Regional Climate Model</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0A2AF1D3"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 Technological innovation could enable higher capacity by supporting high-quality wind resource</w:t>
            </w:r>
            <w:r w:rsidRPr="00B56148">
              <w:rPr>
                <w:rFonts w:ascii="Times New Roman" w:hAnsi="Times New Roman" w:cs="Times New Roman"/>
                <w:sz w:val="17"/>
                <w:szCs w:val="17"/>
              </w:rPr>
              <w:br/>
              <w:t>- Extending renewable energy generation to potential areas can be beneficial for secure and reliable supply</w:t>
            </w:r>
          </w:p>
        </w:tc>
      </w:tr>
      <w:tr w:rsidR="00180523" w:rsidRPr="00B56148" w14:paraId="0980C532" w14:textId="77777777" w:rsidTr="00D1236D">
        <w:tc>
          <w:tcPr>
            <w:tcW w:w="510" w:type="dxa"/>
            <w:tcBorders>
              <w:top w:val="single" w:sz="4" w:space="0" w:color="auto"/>
              <w:left w:val="single" w:sz="4" w:space="0" w:color="auto"/>
              <w:bottom w:val="single" w:sz="4" w:space="0" w:color="auto"/>
            </w:tcBorders>
          </w:tcPr>
          <w:p w14:paraId="0D1E451D" w14:textId="77777777" w:rsidR="00180523" w:rsidRPr="00B56148" w:rsidRDefault="00180523" w:rsidP="00D1236D">
            <w:pPr>
              <w:spacing w:after="0" w:line="240" w:lineRule="auto"/>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15</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5D4E1178"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Cao et al.</w:t>
            </w:r>
            <w:r w:rsidRPr="00B56148">
              <w:rPr>
                <w:rFonts w:ascii="Times New Roman" w:hAnsi="Times New Roman" w:cs="Times New Roman"/>
                <w:sz w:val="17"/>
                <w:szCs w:val="17"/>
              </w:rPr>
              <w:br/>
              <w:t>(2019)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70121AE"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Shandong Province, China</w:t>
            </w:r>
            <w:r w:rsidRPr="00B56148">
              <w:rPr>
                <w:rFonts w:ascii="Times New Roman" w:hAnsi="Times New Roman" w:cs="Times New Roman"/>
                <w:sz w:val="17"/>
                <w:szCs w:val="17"/>
              </w:rPr>
              <w:br/>
              <w:t>(2006-2015)</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2175D812"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Solar, Wind, Complementarity, Variation and Improvement coefficients</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40EEE56F"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Tri-level progressive approach</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27E4A453"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Spatial complementary combinations have more potential to provide more options and maybe more prominent than local ones to make full use of wind-solar complementarities</w:t>
            </w:r>
          </w:p>
        </w:tc>
      </w:tr>
      <w:tr w:rsidR="00180523" w:rsidRPr="00B56148" w14:paraId="090B7FE7" w14:textId="77777777" w:rsidTr="00D1236D">
        <w:tc>
          <w:tcPr>
            <w:tcW w:w="510" w:type="dxa"/>
            <w:tcBorders>
              <w:top w:val="single" w:sz="4" w:space="0" w:color="auto"/>
              <w:left w:val="single" w:sz="4" w:space="0" w:color="auto"/>
              <w:bottom w:val="single" w:sz="4" w:space="0" w:color="auto"/>
            </w:tcBorders>
          </w:tcPr>
          <w:p w14:paraId="2C19B5C1" w14:textId="77777777" w:rsidR="00180523" w:rsidRPr="00B56148" w:rsidRDefault="00180523" w:rsidP="00D1236D">
            <w:pPr>
              <w:spacing w:after="0" w:line="240" w:lineRule="auto"/>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16</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715E757E"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Ana-Gnandji et al.</w:t>
            </w:r>
            <w:r>
              <w:rPr>
                <w:rFonts w:ascii="Times New Roman" w:hAnsi="Times New Roman" w:cs="Times New Roman"/>
                <w:sz w:val="17"/>
                <w:szCs w:val="17"/>
              </w:rPr>
              <w:t xml:space="preserve"> </w:t>
            </w:r>
            <w:r w:rsidRPr="00B56148">
              <w:rPr>
                <w:rFonts w:ascii="Times New Roman" w:hAnsi="Times New Roman" w:cs="Times New Roman"/>
                <w:sz w:val="17"/>
                <w:szCs w:val="17"/>
              </w:rPr>
              <w:t>(2018)</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FCE4E72"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Benin Republic</w:t>
            </w:r>
            <w:r w:rsidRPr="00B56148">
              <w:rPr>
                <w:rFonts w:ascii="Times New Roman" w:hAnsi="Times New Roman" w:cs="Times New Roman"/>
                <w:sz w:val="17"/>
                <w:szCs w:val="17"/>
              </w:rPr>
              <w:br/>
              <w:t>(2013)</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38A44601"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DNI, Wind speed</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111E5EFF"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Pearson Correlation Coefficient, Particle Swarm Optimization</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552F0CD1"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Optimal complementarity obtained in the coastal region between wind and solar</w:t>
            </w:r>
          </w:p>
        </w:tc>
      </w:tr>
      <w:tr w:rsidR="00180523" w:rsidRPr="00B56148" w14:paraId="2359DF8F" w14:textId="77777777" w:rsidTr="00D1236D">
        <w:tc>
          <w:tcPr>
            <w:tcW w:w="510" w:type="dxa"/>
            <w:tcBorders>
              <w:top w:val="single" w:sz="4" w:space="0" w:color="auto"/>
              <w:left w:val="single" w:sz="4" w:space="0" w:color="auto"/>
              <w:bottom w:val="single" w:sz="4" w:space="0" w:color="auto"/>
            </w:tcBorders>
          </w:tcPr>
          <w:p w14:paraId="19366975" w14:textId="77777777" w:rsidR="00180523" w:rsidRPr="00B56148" w:rsidRDefault="00180523" w:rsidP="00D1236D">
            <w:pPr>
              <w:spacing w:after="0" w:line="240" w:lineRule="auto"/>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17</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57786B3E"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Zhu et al.</w:t>
            </w:r>
            <w:r w:rsidRPr="00B56148">
              <w:rPr>
                <w:rFonts w:ascii="Times New Roman" w:hAnsi="Times New Roman" w:cs="Times New Roman"/>
                <w:sz w:val="17"/>
                <w:szCs w:val="17"/>
              </w:rPr>
              <w:br/>
              <w:t>(2018 b)</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1B71D23"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China</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28E5ABF8"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Hydro, Wind speed, Solar, Radiation</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0E032449"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Complementary operation model</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2993BA2B" w14:textId="77777777" w:rsidR="00180523" w:rsidRPr="00B56148" w:rsidRDefault="00180523" w:rsidP="00D1236D">
            <w:pPr>
              <w:pStyle w:val="BalonMetni"/>
              <w:rPr>
                <w:rFonts w:ascii="Times New Roman" w:hAnsi="Times New Roman" w:cs="Times New Roman"/>
                <w:color w:val="000000" w:themeColor="text1"/>
                <w:sz w:val="17"/>
                <w:szCs w:val="17"/>
              </w:rPr>
            </w:pPr>
            <w:r w:rsidRPr="00B56148">
              <w:rPr>
                <w:rFonts w:ascii="Times New Roman" w:hAnsi="Times New Roman" w:cs="Times New Roman"/>
                <w:sz w:val="17"/>
                <w:szCs w:val="17"/>
              </w:rPr>
              <w:t xml:space="preserve">Complementarity was detected between the three energy sources. The complementarity between hydro and wind is better than that between hydro and solar </w:t>
            </w:r>
          </w:p>
        </w:tc>
      </w:tr>
      <w:tr w:rsidR="00180523" w:rsidRPr="00B56148" w14:paraId="525DAC02" w14:textId="77777777" w:rsidTr="00D1236D">
        <w:tc>
          <w:tcPr>
            <w:tcW w:w="510" w:type="dxa"/>
            <w:tcBorders>
              <w:top w:val="single" w:sz="4" w:space="0" w:color="auto"/>
              <w:left w:val="single" w:sz="4" w:space="0" w:color="auto"/>
              <w:bottom w:val="single" w:sz="4" w:space="0" w:color="auto"/>
            </w:tcBorders>
          </w:tcPr>
          <w:p w14:paraId="49E245EB" w14:textId="77777777" w:rsidR="00180523" w:rsidRPr="00B56148" w:rsidRDefault="00180523" w:rsidP="00D1236D">
            <w:pPr>
              <w:spacing w:after="0" w:line="240" w:lineRule="auto"/>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18</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08A12177"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Shabani &amp; Mahmoud</w:t>
            </w:r>
            <w:r w:rsidRPr="00B56148">
              <w:rPr>
                <w:rFonts w:ascii="Times New Roman" w:hAnsi="Times New Roman" w:cs="Times New Roman"/>
                <w:sz w:val="17"/>
                <w:szCs w:val="17"/>
              </w:rPr>
              <w:br/>
              <w:t>(2019)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88D8496"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Iran</w:t>
            </w:r>
            <w:r w:rsidRPr="00B56148">
              <w:rPr>
                <w:rFonts w:ascii="Times New Roman" w:hAnsi="Times New Roman" w:cs="Times New Roman"/>
                <w:sz w:val="17"/>
                <w:szCs w:val="17"/>
              </w:rPr>
              <w:br/>
              <w:t>(2018)</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5824245D"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Solar, Hydro</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7D93F4A0"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LOLP, Optimal investment</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301C8D18"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-Paper assesses the impact of four common data records sampling scenarios on the optimal design of a stand-alone hybrid PV-hydro system, using NSGA-II as the optimisation tool.</w:t>
            </w:r>
          </w:p>
        </w:tc>
      </w:tr>
      <w:tr w:rsidR="00180523" w:rsidRPr="00B56148" w14:paraId="7B0F460A" w14:textId="77777777" w:rsidTr="00D1236D">
        <w:tc>
          <w:tcPr>
            <w:tcW w:w="510" w:type="dxa"/>
            <w:tcBorders>
              <w:top w:val="single" w:sz="4" w:space="0" w:color="auto"/>
              <w:left w:val="single" w:sz="4" w:space="0" w:color="auto"/>
              <w:bottom w:val="single" w:sz="4" w:space="0" w:color="auto"/>
            </w:tcBorders>
          </w:tcPr>
          <w:p w14:paraId="6E9C9DD8" w14:textId="77777777" w:rsidR="00180523" w:rsidRPr="00B56148" w:rsidRDefault="00180523" w:rsidP="00D1236D">
            <w:pPr>
              <w:spacing w:after="0" w:line="240" w:lineRule="auto"/>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19</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09604E80"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During Fo et al.</w:t>
            </w:r>
            <w:r w:rsidRPr="00B56148">
              <w:rPr>
                <w:rFonts w:ascii="Times New Roman" w:hAnsi="Times New Roman" w:cs="Times New Roman"/>
                <w:sz w:val="17"/>
                <w:szCs w:val="17"/>
              </w:rPr>
              <w:br/>
              <w:t>(2018)</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EB02EAF"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N/A</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57FBD387"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Solar, Hydro</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72EEC7B8"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Method of Beluco</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4D70CA57"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 xml:space="preserve">For different values of complementarity, the performance of batteries evolved, and the cost of </w:t>
            </w:r>
            <w:r w:rsidRPr="00B56148">
              <w:rPr>
                <w:rFonts w:ascii="Times New Roman" w:hAnsi="Times New Roman" w:cs="Times New Roman"/>
                <w:sz w:val="17"/>
                <w:szCs w:val="17"/>
              </w:rPr>
              <w:lastRenderedPageBreak/>
              <w:t>energy increased as complementarity moves to complete complementarity instead of situational</w:t>
            </w:r>
          </w:p>
        </w:tc>
      </w:tr>
      <w:tr w:rsidR="00180523" w:rsidRPr="00B56148" w14:paraId="0CE8FB09" w14:textId="77777777" w:rsidTr="00D1236D">
        <w:tc>
          <w:tcPr>
            <w:tcW w:w="510" w:type="dxa"/>
            <w:tcBorders>
              <w:top w:val="single" w:sz="4" w:space="0" w:color="auto"/>
              <w:left w:val="single" w:sz="4" w:space="0" w:color="auto"/>
              <w:bottom w:val="single" w:sz="4" w:space="0" w:color="auto"/>
            </w:tcBorders>
          </w:tcPr>
          <w:p w14:paraId="13FEF70E" w14:textId="77777777" w:rsidR="00180523" w:rsidRPr="00B56148" w:rsidRDefault="00180523" w:rsidP="00D1236D">
            <w:pPr>
              <w:spacing w:after="0" w:line="240" w:lineRule="auto"/>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lastRenderedPageBreak/>
              <w:t>20</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37588CA8"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Jurasz &amp; Ciapala</w:t>
            </w:r>
            <w:r w:rsidRPr="00B56148">
              <w:rPr>
                <w:rFonts w:ascii="Times New Roman" w:hAnsi="Times New Roman" w:cs="Times New Roman"/>
                <w:sz w:val="17"/>
                <w:szCs w:val="17"/>
              </w:rPr>
              <w:br/>
              <w:t>(2017)</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B18E830"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Poland</w:t>
            </w:r>
            <w:r w:rsidRPr="00B56148">
              <w:rPr>
                <w:rFonts w:ascii="Times New Roman" w:hAnsi="Times New Roman" w:cs="Times New Roman"/>
                <w:sz w:val="17"/>
                <w:szCs w:val="17"/>
              </w:rPr>
              <w:br/>
              <w:t>(2006-2008)</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65906D80"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Solar, Hydro, Flow rate</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70C5AF33"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Mixed-integer non-linear mathematical simulation model (MINLP)</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6ADF205A"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 xml:space="preserve">While ROR - PV complementarity took up significant demand, it also smooths the energy demand </w:t>
            </w:r>
          </w:p>
        </w:tc>
      </w:tr>
      <w:tr w:rsidR="00180523" w:rsidRPr="00B56148" w14:paraId="18AE4564" w14:textId="77777777" w:rsidTr="00D1236D">
        <w:tc>
          <w:tcPr>
            <w:tcW w:w="510" w:type="dxa"/>
            <w:tcBorders>
              <w:top w:val="single" w:sz="4" w:space="0" w:color="auto"/>
              <w:left w:val="single" w:sz="4" w:space="0" w:color="auto"/>
              <w:bottom w:val="single" w:sz="4" w:space="0" w:color="auto"/>
            </w:tcBorders>
          </w:tcPr>
          <w:p w14:paraId="60F32FC1" w14:textId="77777777" w:rsidR="00180523" w:rsidRPr="00B56148" w:rsidRDefault="00180523" w:rsidP="00D1236D">
            <w:pPr>
              <w:spacing w:after="0" w:line="240" w:lineRule="auto"/>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21</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6C7BF4C0"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Jurasz et al.</w:t>
            </w:r>
            <w:r w:rsidRPr="00B56148">
              <w:rPr>
                <w:rFonts w:ascii="Times New Roman" w:hAnsi="Times New Roman" w:cs="Times New Roman"/>
                <w:sz w:val="17"/>
                <w:szCs w:val="17"/>
              </w:rPr>
              <w:br/>
              <w:t>(2018b)</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A694A55"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Poland (Lower Silesia)</w:t>
            </w:r>
            <w:r w:rsidRPr="00B56148">
              <w:rPr>
                <w:rFonts w:ascii="Times New Roman" w:hAnsi="Times New Roman" w:cs="Times New Roman"/>
                <w:sz w:val="17"/>
                <w:szCs w:val="17"/>
              </w:rPr>
              <w:br/>
              <w:t>(2012)</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64557DF6"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 xml:space="preserve">Solar, Wind, Local consumption index, Technology index, Technology specific emissions, </w:t>
            </w:r>
            <w:r>
              <w:rPr>
                <w:rFonts w:ascii="Times New Roman" w:hAnsi="Times New Roman" w:cs="Times New Roman"/>
                <w:sz w:val="17"/>
                <w:szCs w:val="17"/>
              </w:rPr>
              <w:t>etc.</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3ECE3377"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Linear optimisation models</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079921B1"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 If the local consumption index is included, wind and PV are similarly cost-competitive</w:t>
            </w:r>
            <w:r w:rsidRPr="00B56148">
              <w:rPr>
                <w:rFonts w:ascii="Times New Roman" w:hAnsi="Times New Roman" w:cs="Times New Roman"/>
                <w:sz w:val="17"/>
                <w:szCs w:val="17"/>
              </w:rPr>
              <w:br/>
              <w:t>- When costs are neglected, wind and solar PV provides nearly half of the energy to the region</w:t>
            </w:r>
          </w:p>
        </w:tc>
      </w:tr>
      <w:tr w:rsidR="00180523" w:rsidRPr="00B56148" w14:paraId="1292CCBD" w14:textId="77777777" w:rsidTr="00D1236D">
        <w:tc>
          <w:tcPr>
            <w:tcW w:w="510" w:type="dxa"/>
            <w:tcBorders>
              <w:top w:val="single" w:sz="4" w:space="0" w:color="auto"/>
              <w:left w:val="single" w:sz="4" w:space="0" w:color="auto"/>
              <w:bottom w:val="single" w:sz="4" w:space="0" w:color="auto"/>
            </w:tcBorders>
          </w:tcPr>
          <w:p w14:paraId="70A8C8BE" w14:textId="77777777" w:rsidR="00180523" w:rsidRPr="00B56148" w:rsidRDefault="00180523" w:rsidP="00D1236D">
            <w:pPr>
              <w:spacing w:after="0" w:line="240" w:lineRule="auto"/>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22</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162A22CD"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Li et al.</w:t>
            </w:r>
            <w:r w:rsidRPr="00B56148">
              <w:rPr>
                <w:rFonts w:ascii="Times New Roman" w:hAnsi="Times New Roman" w:cs="Times New Roman"/>
                <w:sz w:val="17"/>
                <w:szCs w:val="17"/>
              </w:rPr>
              <w:br/>
              <w:t>(2019)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985DD06"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China (Qinghai province)</w:t>
            </w:r>
            <w:r w:rsidRPr="00B56148">
              <w:rPr>
                <w:rFonts w:ascii="Times New Roman" w:hAnsi="Times New Roman" w:cs="Times New Roman"/>
                <w:sz w:val="17"/>
                <w:szCs w:val="17"/>
              </w:rPr>
              <w:br/>
              <w:t>(1959-2010)</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4F7D251E"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Solar radiation, Hydropower, Streamflow, PV power output</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0F05C5FF"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Multi-objective optimisation model, Long-term optimisation model</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6B896FCC"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The complementarity of hydro-PV is more efficient than the isolated operations of hydro and PV outputs combined</w:t>
            </w:r>
          </w:p>
        </w:tc>
      </w:tr>
      <w:tr w:rsidR="00180523" w:rsidRPr="00B56148" w14:paraId="7BBFDE57" w14:textId="77777777" w:rsidTr="00D1236D">
        <w:tc>
          <w:tcPr>
            <w:tcW w:w="510" w:type="dxa"/>
            <w:tcBorders>
              <w:top w:val="single" w:sz="4" w:space="0" w:color="auto"/>
              <w:left w:val="single" w:sz="4" w:space="0" w:color="auto"/>
              <w:bottom w:val="single" w:sz="4" w:space="0" w:color="auto"/>
            </w:tcBorders>
          </w:tcPr>
          <w:p w14:paraId="24C52A3B" w14:textId="77777777" w:rsidR="00180523" w:rsidRPr="00B56148" w:rsidRDefault="00180523" w:rsidP="00D1236D">
            <w:pPr>
              <w:spacing w:after="0" w:line="240" w:lineRule="auto"/>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23</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3AF1DC6C"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Naeem et al.</w:t>
            </w:r>
            <w:r w:rsidRPr="00B56148">
              <w:rPr>
                <w:rFonts w:ascii="Times New Roman" w:hAnsi="Times New Roman" w:cs="Times New Roman"/>
                <w:sz w:val="17"/>
                <w:szCs w:val="17"/>
              </w:rPr>
              <w:br/>
              <w:t>(2019)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BA1DD8B"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Ireland</w:t>
            </w:r>
            <w:r w:rsidRPr="00B56148">
              <w:rPr>
                <w:rFonts w:ascii="Times New Roman" w:hAnsi="Times New Roman" w:cs="Times New Roman"/>
                <w:sz w:val="17"/>
                <w:szCs w:val="17"/>
              </w:rPr>
              <w:br/>
              <w:t>(2016)</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3BBD142F"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Solar, Wind, Price of electricity, Demand profile, Investment costs</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5FBC1E1F"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Developed an Optimisation framework to choose Optimised RES Mix</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4EDC7D4D"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Optimally selecting the threshold levels can help to achieve a considerable reduction in energy exchange costs</w:t>
            </w:r>
          </w:p>
        </w:tc>
      </w:tr>
      <w:tr w:rsidR="00180523" w:rsidRPr="00B56148" w14:paraId="05343A8E" w14:textId="77777777" w:rsidTr="00D1236D">
        <w:tc>
          <w:tcPr>
            <w:tcW w:w="510" w:type="dxa"/>
            <w:tcBorders>
              <w:top w:val="single" w:sz="4" w:space="0" w:color="auto"/>
              <w:left w:val="single" w:sz="4" w:space="0" w:color="auto"/>
              <w:bottom w:val="single" w:sz="4" w:space="0" w:color="auto"/>
            </w:tcBorders>
          </w:tcPr>
          <w:p w14:paraId="0AC1BAFA" w14:textId="77777777" w:rsidR="00180523" w:rsidRPr="00B56148" w:rsidRDefault="00180523" w:rsidP="00D1236D">
            <w:pPr>
              <w:spacing w:after="0" w:line="240" w:lineRule="auto"/>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24</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452EB69A"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 xml:space="preserve">Zhang et al. </w:t>
            </w:r>
            <w:r w:rsidRPr="00B56148">
              <w:rPr>
                <w:rFonts w:ascii="Times New Roman" w:hAnsi="Times New Roman" w:cs="Times New Roman"/>
                <w:sz w:val="17"/>
                <w:szCs w:val="17"/>
              </w:rPr>
              <w:br/>
              <w:t>(2019)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C200B1D"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China</w:t>
            </w:r>
            <w:r w:rsidRPr="00B56148">
              <w:rPr>
                <w:rFonts w:ascii="Times New Roman" w:hAnsi="Times New Roman" w:cs="Times New Roman"/>
                <w:sz w:val="17"/>
                <w:szCs w:val="17"/>
              </w:rPr>
              <w:br/>
              <w:t>(1980-2016)</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645710DA"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Solar, Wind</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7B2E79AC"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Developed a method for a multi-energy complementary</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40FEACB4"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 xml:space="preserve">Optimal levels differ based on the </w:t>
            </w:r>
            <w:proofErr w:type="gramStart"/>
            <w:r w:rsidRPr="00B56148">
              <w:rPr>
                <w:rFonts w:ascii="Times New Roman" w:hAnsi="Times New Roman" w:cs="Times New Roman"/>
                <w:sz w:val="17"/>
                <w:szCs w:val="17"/>
              </w:rPr>
              <w:t>stations</w:t>
            </w:r>
            <w:proofErr w:type="gramEnd"/>
            <w:r w:rsidRPr="00B56148">
              <w:rPr>
                <w:rFonts w:ascii="Times New Roman" w:hAnsi="Times New Roman" w:cs="Times New Roman"/>
                <w:sz w:val="17"/>
                <w:szCs w:val="17"/>
              </w:rPr>
              <w:t xml:space="preserve"> capacity, adjustment capability, installed capacity and upstream flow</w:t>
            </w:r>
          </w:p>
        </w:tc>
      </w:tr>
      <w:tr w:rsidR="00180523" w:rsidRPr="00B56148" w14:paraId="0F477379" w14:textId="77777777" w:rsidTr="00D1236D">
        <w:tc>
          <w:tcPr>
            <w:tcW w:w="510" w:type="dxa"/>
            <w:tcBorders>
              <w:top w:val="single" w:sz="4" w:space="0" w:color="auto"/>
              <w:left w:val="single" w:sz="4" w:space="0" w:color="auto"/>
              <w:bottom w:val="single" w:sz="4" w:space="0" w:color="auto"/>
            </w:tcBorders>
          </w:tcPr>
          <w:p w14:paraId="3FB6FFCD" w14:textId="77777777" w:rsidR="00180523" w:rsidRPr="00B56148" w:rsidRDefault="00180523" w:rsidP="00D1236D">
            <w:pPr>
              <w:spacing w:after="0" w:line="240" w:lineRule="auto"/>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25</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6A80275F"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da Luz &amp; Moura</w:t>
            </w:r>
            <w:r w:rsidRPr="00B56148">
              <w:rPr>
                <w:rFonts w:ascii="Times New Roman" w:hAnsi="Times New Roman" w:cs="Times New Roman"/>
                <w:sz w:val="17"/>
                <w:szCs w:val="17"/>
              </w:rPr>
              <w:br/>
              <w:t>(2019)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17367CA"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Brazil</w:t>
            </w:r>
            <w:r w:rsidRPr="00B56148">
              <w:rPr>
                <w:rFonts w:ascii="Times New Roman" w:hAnsi="Times New Roman" w:cs="Times New Roman"/>
                <w:sz w:val="17"/>
                <w:szCs w:val="17"/>
              </w:rPr>
              <w:br/>
              <w:t>(1931-2014)</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53618906"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Solar, Wind, Hydro, Biomass</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5FD28072"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Optimisation model (New approach to consider the complementary among regions and RES in the energy planning)</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29968A61"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 Complementarity improves when considered regionally instead of nationally</w:t>
            </w:r>
            <w:r w:rsidRPr="00B56148">
              <w:rPr>
                <w:rFonts w:ascii="Times New Roman" w:hAnsi="Times New Roman" w:cs="Times New Roman"/>
                <w:sz w:val="17"/>
                <w:szCs w:val="17"/>
              </w:rPr>
              <w:br/>
              <w:t xml:space="preserve">- Hydropower have high complementarity with wind and biomass </w:t>
            </w:r>
          </w:p>
        </w:tc>
      </w:tr>
      <w:tr w:rsidR="00180523" w:rsidRPr="00B56148" w14:paraId="037B871F" w14:textId="77777777" w:rsidTr="00D1236D">
        <w:tc>
          <w:tcPr>
            <w:tcW w:w="510" w:type="dxa"/>
            <w:tcBorders>
              <w:top w:val="single" w:sz="4" w:space="0" w:color="auto"/>
              <w:left w:val="single" w:sz="4" w:space="0" w:color="auto"/>
              <w:bottom w:val="single" w:sz="4" w:space="0" w:color="auto"/>
            </w:tcBorders>
          </w:tcPr>
          <w:p w14:paraId="4325A054" w14:textId="77777777" w:rsidR="00180523" w:rsidRPr="00B56148" w:rsidRDefault="00180523" w:rsidP="00D1236D">
            <w:pPr>
              <w:spacing w:after="0" w:line="240" w:lineRule="auto"/>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26</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15849946"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Han et al.</w:t>
            </w:r>
            <w:r w:rsidRPr="00B56148">
              <w:rPr>
                <w:rFonts w:ascii="Times New Roman" w:hAnsi="Times New Roman" w:cs="Times New Roman"/>
                <w:sz w:val="17"/>
                <w:szCs w:val="17"/>
              </w:rPr>
              <w:br/>
              <w:t>(2019)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AF8D558"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North China (Single Location)</w:t>
            </w:r>
            <w:r w:rsidRPr="00B56148">
              <w:rPr>
                <w:rFonts w:ascii="Times New Roman" w:hAnsi="Times New Roman" w:cs="Times New Roman"/>
                <w:sz w:val="17"/>
                <w:szCs w:val="17"/>
              </w:rPr>
              <w:br/>
              <w:t>(2014)</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571D4C50"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Solar, Wind, Hydro, Correlation indices</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1A056D82"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Kendall's rank correlation coefficient, Ramp Ratio and Fluctuation rate of combined power generation, Scene reduction method</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5D46E2E6"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 To make the system more stable and increase complementary degree, hydropower should be included in complementarity with other resources</w:t>
            </w:r>
            <w:r w:rsidRPr="00B56148">
              <w:rPr>
                <w:rFonts w:ascii="Times New Roman" w:hAnsi="Times New Roman" w:cs="Times New Roman"/>
                <w:sz w:val="17"/>
                <w:szCs w:val="17"/>
              </w:rPr>
              <w:br/>
              <w:t xml:space="preserve">- Variation of complementarity in days mainly caused by fluctuations and power generation amounts </w:t>
            </w:r>
          </w:p>
        </w:tc>
      </w:tr>
      <w:tr w:rsidR="00180523" w:rsidRPr="00B56148" w14:paraId="155C153E" w14:textId="77777777" w:rsidTr="00D1236D">
        <w:tc>
          <w:tcPr>
            <w:tcW w:w="510" w:type="dxa"/>
            <w:tcBorders>
              <w:top w:val="single" w:sz="4" w:space="0" w:color="auto"/>
              <w:left w:val="single" w:sz="4" w:space="0" w:color="auto"/>
              <w:bottom w:val="single" w:sz="4" w:space="0" w:color="auto"/>
            </w:tcBorders>
          </w:tcPr>
          <w:p w14:paraId="34FB6384" w14:textId="77777777" w:rsidR="00180523" w:rsidRPr="00B56148" w:rsidRDefault="00180523" w:rsidP="00D1236D">
            <w:pPr>
              <w:spacing w:after="0" w:line="240" w:lineRule="auto"/>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27</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2B257BB9"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 xml:space="preserve">Zhang et al. </w:t>
            </w:r>
            <w:r w:rsidRPr="00B56148">
              <w:rPr>
                <w:rFonts w:ascii="Times New Roman" w:hAnsi="Times New Roman" w:cs="Times New Roman"/>
                <w:sz w:val="17"/>
                <w:szCs w:val="17"/>
              </w:rPr>
              <w:br/>
              <w:t>(2018a)</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8082798"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China</w:t>
            </w:r>
            <w:r w:rsidRPr="00B56148">
              <w:rPr>
                <w:rFonts w:ascii="Times New Roman" w:hAnsi="Times New Roman" w:cs="Times New Roman"/>
                <w:sz w:val="17"/>
                <w:szCs w:val="17"/>
              </w:rPr>
              <w:br/>
              <w:t>(2006-2015)</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4BE3E5AF"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Solar, Wind, Local synergy coefficient, Ramp rates, Capacity factors</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00EF40E5"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The quantitative synergy assessment method consists of a tri-level structure</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75994E41"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The hourly variability of wind and solar resources is drastic. However, synergy effects help to smooth aggregate power and decrease volatility</w:t>
            </w:r>
          </w:p>
        </w:tc>
      </w:tr>
      <w:tr w:rsidR="00180523" w:rsidRPr="00B56148" w14:paraId="02C0B9E1" w14:textId="77777777" w:rsidTr="00D1236D">
        <w:tc>
          <w:tcPr>
            <w:tcW w:w="510" w:type="dxa"/>
            <w:tcBorders>
              <w:top w:val="single" w:sz="4" w:space="0" w:color="auto"/>
              <w:left w:val="single" w:sz="4" w:space="0" w:color="auto"/>
              <w:bottom w:val="single" w:sz="4" w:space="0" w:color="auto"/>
            </w:tcBorders>
          </w:tcPr>
          <w:p w14:paraId="08A7B3AF" w14:textId="77777777" w:rsidR="00180523" w:rsidRPr="00B56148" w:rsidRDefault="00180523" w:rsidP="00D1236D">
            <w:pPr>
              <w:spacing w:after="0" w:line="240" w:lineRule="auto"/>
              <w:rPr>
                <w:rFonts w:ascii="Times New Roman" w:hAnsi="Times New Roman" w:cs="Times New Roman"/>
                <w:b/>
                <w:bCs/>
                <w:color w:val="000000" w:themeColor="text1"/>
                <w:sz w:val="17"/>
                <w:szCs w:val="17"/>
              </w:rPr>
            </w:pPr>
            <w:r w:rsidRPr="00B56148">
              <w:rPr>
                <w:rFonts w:ascii="Times New Roman" w:hAnsi="Times New Roman" w:cs="Times New Roman"/>
                <w:b/>
                <w:bCs/>
                <w:color w:val="000000" w:themeColor="text1"/>
                <w:sz w:val="17"/>
                <w:szCs w:val="17"/>
              </w:rPr>
              <w:t>28</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24A4F0FB"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 xml:space="preserve">Zhang et al. </w:t>
            </w:r>
            <w:r w:rsidRPr="00B56148">
              <w:rPr>
                <w:rFonts w:ascii="Times New Roman" w:hAnsi="Times New Roman" w:cs="Times New Roman"/>
                <w:sz w:val="17"/>
                <w:szCs w:val="17"/>
              </w:rPr>
              <w:br/>
              <w:t>(2018b)</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6BD8DB2"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China (Yalong River)</w:t>
            </w:r>
            <w:r w:rsidRPr="00B56148">
              <w:rPr>
                <w:rFonts w:ascii="Times New Roman" w:hAnsi="Times New Roman" w:cs="Times New Roman"/>
                <w:sz w:val="17"/>
                <w:szCs w:val="17"/>
              </w:rPr>
              <w:br/>
              <w:t>(2016)</w:t>
            </w:r>
          </w:p>
        </w:tc>
        <w:tc>
          <w:tcPr>
            <w:tcW w:w="1805" w:type="dxa"/>
            <w:tcBorders>
              <w:top w:val="single" w:sz="4" w:space="0" w:color="auto"/>
              <w:left w:val="single" w:sz="4" w:space="0" w:color="auto"/>
              <w:bottom w:val="single" w:sz="4" w:space="0" w:color="auto"/>
              <w:right w:val="single" w:sz="4" w:space="0" w:color="auto"/>
            </w:tcBorders>
            <w:shd w:val="clear" w:color="auto" w:fill="auto"/>
          </w:tcPr>
          <w:p w14:paraId="10F1CE91"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Solar, Wind, Hydro</w:t>
            </w:r>
          </w:p>
        </w:tc>
        <w:tc>
          <w:tcPr>
            <w:tcW w:w="1615" w:type="dxa"/>
            <w:tcBorders>
              <w:top w:val="single" w:sz="4" w:space="0" w:color="auto"/>
              <w:left w:val="single" w:sz="4" w:space="0" w:color="auto"/>
              <w:bottom w:val="single" w:sz="4" w:space="0" w:color="auto"/>
              <w:right w:val="single" w:sz="4" w:space="0" w:color="auto"/>
            </w:tcBorders>
            <w:shd w:val="clear" w:color="auto" w:fill="auto"/>
          </w:tcPr>
          <w:p w14:paraId="278E4F8B"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Progress Optimality Algorithm (POA)</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198E4A2F" w14:textId="77777777" w:rsidR="00180523" w:rsidRPr="00B56148" w:rsidRDefault="00180523" w:rsidP="00D1236D">
            <w:pPr>
              <w:spacing w:after="0" w:line="240" w:lineRule="auto"/>
              <w:rPr>
                <w:rFonts w:ascii="Times New Roman" w:hAnsi="Times New Roman" w:cs="Times New Roman"/>
                <w:color w:val="000000" w:themeColor="text1"/>
                <w:sz w:val="17"/>
                <w:szCs w:val="17"/>
              </w:rPr>
            </w:pPr>
            <w:r w:rsidRPr="00B56148">
              <w:rPr>
                <w:rFonts w:ascii="Times New Roman" w:hAnsi="Times New Roman" w:cs="Times New Roman"/>
                <w:sz w:val="17"/>
                <w:szCs w:val="17"/>
              </w:rPr>
              <w:t>Applying the deformation of the POA algorithm for the optimisation schedule helps to vanish short-term fluctuations of wind and PV</w:t>
            </w:r>
          </w:p>
        </w:tc>
      </w:tr>
    </w:tbl>
    <w:p w14:paraId="36A7A72F" w14:textId="77777777" w:rsidR="00180523" w:rsidRDefault="00180523" w:rsidP="00180523">
      <w:pPr>
        <w:spacing w:after="0" w:line="240" w:lineRule="auto"/>
        <w:rPr>
          <w:rFonts w:ascii="Times New Roman" w:hAnsi="Times New Roman" w:cs="Times New Roman"/>
          <w:color w:val="000000" w:themeColor="text1"/>
          <w:sz w:val="18"/>
          <w:szCs w:val="18"/>
        </w:rPr>
      </w:pPr>
    </w:p>
    <w:p w14:paraId="58C583A0" w14:textId="77777777" w:rsidR="00180523" w:rsidRDefault="00180523" w:rsidP="00180523">
      <w:pPr>
        <w:spacing w:after="0" w:line="240" w:lineRule="auto"/>
        <w:rPr>
          <w:rFonts w:ascii="Times New Roman" w:hAnsi="Times New Roman" w:cs="Times New Roman"/>
          <w:color w:val="000000" w:themeColor="text1"/>
          <w:sz w:val="18"/>
          <w:szCs w:val="18"/>
        </w:rPr>
      </w:pPr>
    </w:p>
    <w:p w14:paraId="2C5781E5" w14:textId="77777777" w:rsidR="00180523" w:rsidRDefault="00180523" w:rsidP="00180523">
      <w:pPr>
        <w:spacing w:after="0" w:line="240" w:lineRule="auto"/>
        <w:rPr>
          <w:rFonts w:ascii="Times New Roman" w:hAnsi="Times New Roman" w:cs="Times New Roman"/>
          <w:color w:val="000000" w:themeColor="text1"/>
          <w:sz w:val="18"/>
          <w:szCs w:val="18"/>
        </w:rPr>
      </w:pPr>
    </w:p>
    <w:p w14:paraId="341EEFD4" w14:textId="77777777" w:rsidR="00180523" w:rsidRDefault="00180523" w:rsidP="00180523">
      <w:pPr>
        <w:spacing w:after="0" w:line="240" w:lineRule="auto"/>
        <w:rPr>
          <w:rFonts w:ascii="Times New Roman" w:hAnsi="Times New Roman" w:cs="Times New Roman"/>
          <w:color w:val="000000" w:themeColor="text1"/>
          <w:sz w:val="18"/>
          <w:szCs w:val="18"/>
        </w:rPr>
      </w:pPr>
    </w:p>
    <w:p w14:paraId="21E3765A" w14:textId="77777777" w:rsidR="00180523" w:rsidRDefault="00180523" w:rsidP="00180523">
      <w:pPr>
        <w:spacing w:after="0" w:line="240" w:lineRule="auto"/>
        <w:rPr>
          <w:rFonts w:ascii="Times New Roman" w:hAnsi="Times New Roman" w:cs="Times New Roman"/>
          <w:color w:val="000000" w:themeColor="text1"/>
          <w:sz w:val="18"/>
          <w:szCs w:val="18"/>
        </w:rPr>
      </w:pPr>
    </w:p>
    <w:p w14:paraId="2E402879" w14:textId="77777777" w:rsidR="00180523" w:rsidRDefault="00180523" w:rsidP="00180523">
      <w:pPr>
        <w:spacing w:after="0" w:line="240" w:lineRule="auto"/>
        <w:rPr>
          <w:rFonts w:ascii="Times New Roman" w:hAnsi="Times New Roman" w:cs="Times New Roman"/>
          <w:color w:val="000000" w:themeColor="text1"/>
          <w:sz w:val="18"/>
          <w:szCs w:val="18"/>
        </w:rPr>
      </w:pPr>
    </w:p>
    <w:p w14:paraId="6E5D7243" w14:textId="77777777" w:rsidR="00180523" w:rsidRDefault="00180523" w:rsidP="00180523">
      <w:pPr>
        <w:spacing w:after="0" w:line="240" w:lineRule="auto"/>
        <w:rPr>
          <w:rFonts w:ascii="Times New Roman" w:hAnsi="Times New Roman" w:cs="Times New Roman"/>
          <w:color w:val="000000" w:themeColor="text1"/>
          <w:sz w:val="18"/>
          <w:szCs w:val="18"/>
        </w:rPr>
      </w:pPr>
    </w:p>
    <w:p w14:paraId="11F5590C" w14:textId="77777777" w:rsidR="00180523" w:rsidRDefault="00180523" w:rsidP="00180523">
      <w:pPr>
        <w:spacing w:after="0" w:line="240" w:lineRule="auto"/>
        <w:rPr>
          <w:rFonts w:ascii="Times New Roman" w:hAnsi="Times New Roman" w:cs="Times New Roman"/>
          <w:color w:val="000000" w:themeColor="text1"/>
          <w:sz w:val="18"/>
          <w:szCs w:val="18"/>
        </w:rPr>
      </w:pPr>
    </w:p>
    <w:p w14:paraId="0C65D9A2" w14:textId="77777777" w:rsidR="00180523" w:rsidRDefault="00180523" w:rsidP="00180523">
      <w:pPr>
        <w:spacing w:after="0" w:line="240" w:lineRule="auto"/>
        <w:rPr>
          <w:rFonts w:ascii="Times New Roman" w:hAnsi="Times New Roman" w:cs="Times New Roman"/>
          <w:color w:val="000000" w:themeColor="text1"/>
          <w:sz w:val="18"/>
          <w:szCs w:val="18"/>
        </w:rPr>
      </w:pPr>
    </w:p>
    <w:p w14:paraId="3A5ADF23" w14:textId="77777777" w:rsidR="00180523" w:rsidRDefault="00180523" w:rsidP="00180523">
      <w:pPr>
        <w:spacing w:after="0" w:line="240" w:lineRule="auto"/>
        <w:rPr>
          <w:rFonts w:ascii="Times New Roman" w:hAnsi="Times New Roman" w:cs="Times New Roman"/>
          <w:color w:val="000000" w:themeColor="text1"/>
          <w:sz w:val="18"/>
          <w:szCs w:val="18"/>
        </w:rPr>
      </w:pPr>
    </w:p>
    <w:p w14:paraId="4B2F1FE6" w14:textId="77777777" w:rsidR="00180523" w:rsidRDefault="00180523" w:rsidP="00180523">
      <w:pPr>
        <w:spacing w:after="0" w:line="240" w:lineRule="auto"/>
        <w:rPr>
          <w:rFonts w:ascii="Times New Roman" w:hAnsi="Times New Roman" w:cs="Times New Roman"/>
          <w:color w:val="000000" w:themeColor="text1"/>
          <w:sz w:val="18"/>
          <w:szCs w:val="18"/>
        </w:rPr>
      </w:pPr>
    </w:p>
    <w:p w14:paraId="69E7A0C1" w14:textId="77777777" w:rsidR="00180523" w:rsidRDefault="00180523" w:rsidP="00180523">
      <w:pPr>
        <w:spacing w:after="0" w:line="240" w:lineRule="auto"/>
        <w:rPr>
          <w:rFonts w:ascii="Times New Roman" w:hAnsi="Times New Roman" w:cs="Times New Roman"/>
          <w:color w:val="000000" w:themeColor="text1"/>
          <w:sz w:val="18"/>
          <w:szCs w:val="18"/>
        </w:rPr>
      </w:pPr>
    </w:p>
    <w:p w14:paraId="760F0306" w14:textId="77777777" w:rsidR="00180523" w:rsidRDefault="00180523" w:rsidP="00180523">
      <w:pPr>
        <w:spacing w:after="0" w:line="240" w:lineRule="auto"/>
        <w:rPr>
          <w:rFonts w:ascii="Times New Roman" w:hAnsi="Times New Roman" w:cs="Times New Roman"/>
          <w:color w:val="000000" w:themeColor="text1"/>
          <w:sz w:val="18"/>
          <w:szCs w:val="18"/>
        </w:rPr>
      </w:pPr>
    </w:p>
    <w:p w14:paraId="38F3E123" w14:textId="77777777" w:rsidR="00180523" w:rsidRPr="00CE2D5C" w:rsidRDefault="00180523" w:rsidP="00180523">
      <w:pPr>
        <w:spacing w:after="0" w:line="240" w:lineRule="auto"/>
        <w:rPr>
          <w:rFonts w:ascii="Times New Roman" w:hAnsi="Times New Roman" w:cs="Times New Roman"/>
          <w:color w:val="000000" w:themeColor="text1"/>
          <w:sz w:val="18"/>
          <w:szCs w:val="18"/>
        </w:rPr>
      </w:pPr>
    </w:p>
    <w:p w14:paraId="7F10BB2D" w14:textId="77777777" w:rsidR="00180523" w:rsidRDefault="00180523" w:rsidP="00180523">
      <w:pPr>
        <w:spacing w:after="0" w:line="240" w:lineRule="auto"/>
        <w:rPr>
          <w:rFonts w:ascii="Times New Roman" w:hAnsi="Times New Roman" w:cs="Times New Roman"/>
          <w:color w:val="000000" w:themeColor="text1"/>
        </w:rPr>
      </w:pPr>
      <w:r w:rsidRPr="00B75553">
        <w:rPr>
          <w:rFonts w:ascii="Times New Roman" w:hAnsi="Times New Roman" w:cs="Times New Roman"/>
          <w:b/>
          <w:bCs/>
          <w:color w:val="000000" w:themeColor="text1"/>
        </w:rPr>
        <w:lastRenderedPageBreak/>
        <w:t>Table A2</w:t>
      </w:r>
      <w:r w:rsidRPr="00B75553">
        <w:rPr>
          <w:rFonts w:ascii="Times New Roman" w:hAnsi="Times New Roman" w:cs="Times New Roman"/>
          <w:color w:val="000000" w:themeColor="text1"/>
        </w:rPr>
        <w:t xml:space="preserve">. Literature </w:t>
      </w:r>
      <w:r>
        <w:rPr>
          <w:rFonts w:ascii="Times New Roman" w:hAnsi="Times New Roman" w:cs="Times New Roman"/>
          <w:color w:val="000000" w:themeColor="text1"/>
        </w:rPr>
        <w:t>r</w:t>
      </w:r>
      <w:r w:rsidRPr="00B75553">
        <w:rPr>
          <w:rFonts w:ascii="Times New Roman" w:hAnsi="Times New Roman" w:cs="Times New Roman"/>
          <w:color w:val="000000" w:themeColor="text1"/>
        </w:rPr>
        <w:t xml:space="preserve">eview on the effects of renewable energy, solid biofuel, biogases, solar thermal, industry, financial market development on </w:t>
      </w:r>
      <w:r>
        <w:rPr>
          <w:rFonts w:ascii="Times New Roman" w:hAnsi="Times New Roman" w:cs="Times New Roman"/>
          <w:color w:val="000000" w:themeColor="text1"/>
        </w:rPr>
        <w:t>CO2</w:t>
      </w:r>
      <w:r w:rsidRPr="00B75553">
        <w:rPr>
          <w:rFonts w:ascii="Times New Roman" w:hAnsi="Times New Roman" w:cs="Times New Roman"/>
          <w:color w:val="000000" w:themeColor="text1"/>
        </w:rPr>
        <w:t xml:space="preserve"> emissions</w:t>
      </w:r>
    </w:p>
    <w:p w14:paraId="3FE9A7C8" w14:textId="77777777" w:rsidR="00180523" w:rsidRPr="00B75553" w:rsidRDefault="00180523" w:rsidP="00180523">
      <w:pPr>
        <w:spacing w:after="0" w:line="240" w:lineRule="auto"/>
        <w:rPr>
          <w:rFonts w:ascii="Times New Roman" w:hAnsi="Times New Roman" w:cs="Times New Roman"/>
          <w:color w:val="000000" w:themeColor="text1"/>
        </w:rPr>
      </w:pPr>
    </w:p>
    <w:tbl>
      <w:tblPr>
        <w:tblW w:w="936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1350"/>
        <w:gridCol w:w="1260"/>
        <w:gridCol w:w="1890"/>
        <w:gridCol w:w="1530"/>
        <w:gridCol w:w="2880"/>
      </w:tblGrid>
      <w:tr w:rsidR="00180523" w:rsidRPr="00CE2D5C" w14:paraId="67209873" w14:textId="77777777" w:rsidTr="00D1236D">
        <w:tc>
          <w:tcPr>
            <w:tcW w:w="450" w:type="dxa"/>
          </w:tcPr>
          <w:p w14:paraId="01D67602" w14:textId="77777777" w:rsidR="00180523" w:rsidRPr="00CE2D5C" w:rsidRDefault="00180523" w:rsidP="00D1236D">
            <w:pPr>
              <w:tabs>
                <w:tab w:val="left" w:pos="0"/>
              </w:tabs>
              <w:spacing w:after="0" w:line="240" w:lineRule="auto"/>
              <w:jc w:val="center"/>
              <w:rPr>
                <w:rFonts w:ascii="Times New Roman" w:hAnsi="Times New Roman" w:cs="Times New Roman"/>
                <w:b/>
                <w:bCs/>
                <w:sz w:val="18"/>
                <w:szCs w:val="18"/>
              </w:rPr>
            </w:pPr>
            <w:r w:rsidRPr="00CE2D5C">
              <w:rPr>
                <w:rFonts w:ascii="Times New Roman" w:hAnsi="Times New Roman" w:cs="Times New Roman"/>
                <w:sz w:val="18"/>
                <w:szCs w:val="18"/>
              </w:rPr>
              <w:t>No</w:t>
            </w:r>
          </w:p>
        </w:tc>
        <w:tc>
          <w:tcPr>
            <w:tcW w:w="1350" w:type="dxa"/>
          </w:tcPr>
          <w:p w14:paraId="1B79CFBE" w14:textId="77777777" w:rsidR="00180523" w:rsidRPr="00CE2D5C" w:rsidRDefault="00180523" w:rsidP="00D1236D">
            <w:pPr>
              <w:tabs>
                <w:tab w:val="left" w:pos="0"/>
              </w:tabs>
              <w:spacing w:after="0" w:line="240" w:lineRule="auto"/>
              <w:jc w:val="center"/>
              <w:rPr>
                <w:rFonts w:ascii="Times New Roman" w:hAnsi="Times New Roman" w:cs="Times New Roman"/>
                <w:b/>
                <w:bCs/>
                <w:sz w:val="18"/>
                <w:szCs w:val="18"/>
              </w:rPr>
            </w:pPr>
            <w:r w:rsidRPr="00CE2D5C">
              <w:rPr>
                <w:rFonts w:ascii="Times New Roman" w:hAnsi="Times New Roman" w:cs="Times New Roman"/>
                <w:sz w:val="18"/>
                <w:szCs w:val="18"/>
              </w:rPr>
              <w:t>Author</w:t>
            </w:r>
          </w:p>
        </w:tc>
        <w:tc>
          <w:tcPr>
            <w:tcW w:w="1260" w:type="dxa"/>
          </w:tcPr>
          <w:p w14:paraId="2B237B87" w14:textId="77777777" w:rsidR="00180523" w:rsidRPr="00CE2D5C" w:rsidRDefault="00180523" w:rsidP="00D1236D">
            <w:pPr>
              <w:tabs>
                <w:tab w:val="left" w:pos="0"/>
              </w:tabs>
              <w:spacing w:after="0" w:line="240" w:lineRule="auto"/>
              <w:jc w:val="center"/>
              <w:rPr>
                <w:rFonts w:ascii="Times New Roman" w:hAnsi="Times New Roman" w:cs="Times New Roman"/>
                <w:b/>
                <w:bCs/>
                <w:sz w:val="18"/>
                <w:szCs w:val="18"/>
              </w:rPr>
            </w:pPr>
            <w:r w:rsidRPr="00CE2D5C">
              <w:rPr>
                <w:rFonts w:ascii="Times New Roman" w:hAnsi="Times New Roman" w:cs="Times New Roman"/>
                <w:sz w:val="18"/>
                <w:szCs w:val="18"/>
              </w:rPr>
              <w:t>Country and Period</w:t>
            </w:r>
          </w:p>
        </w:tc>
        <w:tc>
          <w:tcPr>
            <w:tcW w:w="1890" w:type="dxa"/>
          </w:tcPr>
          <w:p w14:paraId="0B46A9CF" w14:textId="77777777" w:rsidR="00180523" w:rsidRPr="00CE2D5C" w:rsidRDefault="00180523" w:rsidP="00D1236D">
            <w:pPr>
              <w:tabs>
                <w:tab w:val="left" w:pos="0"/>
              </w:tabs>
              <w:spacing w:after="0" w:line="240" w:lineRule="auto"/>
              <w:jc w:val="center"/>
              <w:rPr>
                <w:rFonts w:ascii="Times New Roman" w:hAnsi="Times New Roman" w:cs="Times New Roman"/>
                <w:b/>
                <w:bCs/>
                <w:sz w:val="18"/>
                <w:szCs w:val="18"/>
              </w:rPr>
            </w:pPr>
            <w:r w:rsidRPr="00CE2D5C">
              <w:rPr>
                <w:rFonts w:ascii="Times New Roman" w:hAnsi="Times New Roman" w:cs="Times New Roman"/>
                <w:sz w:val="18"/>
                <w:szCs w:val="18"/>
              </w:rPr>
              <w:t>Variables</w:t>
            </w:r>
          </w:p>
        </w:tc>
        <w:tc>
          <w:tcPr>
            <w:tcW w:w="1530" w:type="dxa"/>
          </w:tcPr>
          <w:p w14:paraId="30ED33C8" w14:textId="77777777" w:rsidR="00180523" w:rsidRPr="00CE2D5C" w:rsidRDefault="00180523" w:rsidP="00D1236D">
            <w:pPr>
              <w:tabs>
                <w:tab w:val="left" w:pos="0"/>
              </w:tabs>
              <w:spacing w:after="0" w:line="240" w:lineRule="auto"/>
              <w:jc w:val="center"/>
              <w:rPr>
                <w:rFonts w:ascii="Times New Roman" w:hAnsi="Times New Roman" w:cs="Times New Roman"/>
                <w:b/>
                <w:bCs/>
                <w:sz w:val="18"/>
                <w:szCs w:val="18"/>
              </w:rPr>
            </w:pPr>
            <w:r w:rsidRPr="00CE2D5C">
              <w:rPr>
                <w:rFonts w:ascii="Times New Roman" w:hAnsi="Times New Roman" w:cs="Times New Roman"/>
                <w:sz w:val="18"/>
                <w:szCs w:val="18"/>
              </w:rPr>
              <w:t>Method</w:t>
            </w:r>
          </w:p>
        </w:tc>
        <w:tc>
          <w:tcPr>
            <w:tcW w:w="2880" w:type="dxa"/>
          </w:tcPr>
          <w:p w14:paraId="16E8415F" w14:textId="77777777" w:rsidR="00180523" w:rsidRPr="00CE2D5C" w:rsidRDefault="00180523" w:rsidP="00D1236D">
            <w:pPr>
              <w:tabs>
                <w:tab w:val="left" w:pos="0"/>
              </w:tabs>
              <w:spacing w:after="0" w:line="240" w:lineRule="auto"/>
              <w:jc w:val="center"/>
              <w:rPr>
                <w:rFonts w:ascii="Times New Roman" w:hAnsi="Times New Roman" w:cs="Times New Roman"/>
                <w:b/>
                <w:bCs/>
                <w:sz w:val="18"/>
                <w:szCs w:val="18"/>
              </w:rPr>
            </w:pPr>
            <w:r w:rsidRPr="00CE2D5C">
              <w:rPr>
                <w:rFonts w:ascii="Times New Roman" w:hAnsi="Times New Roman" w:cs="Times New Roman"/>
                <w:sz w:val="18"/>
                <w:szCs w:val="18"/>
              </w:rPr>
              <w:t>Results</w:t>
            </w:r>
          </w:p>
        </w:tc>
      </w:tr>
      <w:tr w:rsidR="00180523" w:rsidRPr="00CE2D5C" w14:paraId="3AFC2A65" w14:textId="77777777" w:rsidTr="00D1236D">
        <w:trPr>
          <w:trHeight w:val="1286"/>
        </w:trPr>
        <w:tc>
          <w:tcPr>
            <w:tcW w:w="450" w:type="dxa"/>
          </w:tcPr>
          <w:p w14:paraId="688563CB" w14:textId="77777777" w:rsidR="00180523" w:rsidRPr="00D26A76" w:rsidRDefault="00180523" w:rsidP="00D1236D">
            <w:pPr>
              <w:tabs>
                <w:tab w:val="left" w:pos="0"/>
              </w:tabs>
              <w:spacing w:after="0" w:line="240" w:lineRule="auto"/>
              <w:rPr>
                <w:rFonts w:ascii="Times New Roman" w:hAnsi="Times New Roman" w:cs="Times New Roman"/>
                <w:b/>
                <w:bCs/>
                <w:sz w:val="18"/>
                <w:szCs w:val="18"/>
              </w:rPr>
            </w:pPr>
            <w:r w:rsidRPr="00D26A76">
              <w:rPr>
                <w:rFonts w:ascii="Times New Roman" w:hAnsi="Times New Roman" w:cs="Times New Roman"/>
                <w:b/>
                <w:bCs/>
                <w:sz w:val="18"/>
                <w:szCs w:val="18"/>
              </w:rPr>
              <w:t>1</w:t>
            </w:r>
          </w:p>
        </w:tc>
        <w:tc>
          <w:tcPr>
            <w:tcW w:w="1350" w:type="dxa"/>
            <w:shd w:val="clear" w:color="auto" w:fill="auto"/>
          </w:tcPr>
          <w:p w14:paraId="605251CA"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Rozensky</w:t>
            </w:r>
            <w:r w:rsidRPr="00CE2D5C">
              <w:rPr>
                <w:rFonts w:ascii="Times New Roman" w:hAnsi="Times New Roman" w:cs="Times New Roman"/>
                <w:sz w:val="18"/>
                <w:szCs w:val="18"/>
              </w:rPr>
              <w:br/>
              <w:t>(2020)</w:t>
            </w:r>
          </w:p>
        </w:tc>
        <w:tc>
          <w:tcPr>
            <w:tcW w:w="1260" w:type="dxa"/>
            <w:shd w:val="clear" w:color="auto" w:fill="auto"/>
          </w:tcPr>
          <w:p w14:paraId="51189390"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4 Selected European Countries</w:t>
            </w:r>
            <w:r w:rsidRPr="00CE2D5C">
              <w:rPr>
                <w:rFonts w:ascii="Times New Roman" w:hAnsi="Times New Roman" w:cs="Times New Roman"/>
                <w:sz w:val="18"/>
                <w:szCs w:val="18"/>
              </w:rPr>
              <w:br/>
              <w:t>(2007-2016)</w:t>
            </w:r>
          </w:p>
        </w:tc>
        <w:tc>
          <w:tcPr>
            <w:tcW w:w="1890" w:type="dxa"/>
            <w:shd w:val="clear" w:color="auto" w:fill="auto"/>
          </w:tcPr>
          <w:p w14:paraId="36E1EBB5"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Solid Fuel, Renewable Sources, Allowances Prize, Carbon sequestration, Factor of each country</w:t>
            </w:r>
          </w:p>
        </w:tc>
        <w:tc>
          <w:tcPr>
            <w:tcW w:w="1530" w:type="dxa"/>
            <w:shd w:val="clear" w:color="auto" w:fill="auto"/>
          </w:tcPr>
          <w:p w14:paraId="141C43EA"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Regression analysis, Pearson Correlation Coefficient</w:t>
            </w:r>
          </w:p>
        </w:tc>
        <w:tc>
          <w:tcPr>
            <w:tcW w:w="2880" w:type="dxa"/>
            <w:shd w:val="clear" w:color="auto" w:fill="auto"/>
          </w:tcPr>
          <w:p w14:paraId="1B663496"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Renewable has a negative effect on emissions</w:t>
            </w:r>
            <w:r w:rsidRPr="00CE2D5C">
              <w:rPr>
                <w:rFonts w:ascii="Times New Roman" w:hAnsi="Times New Roman" w:cs="Times New Roman"/>
                <w:sz w:val="18"/>
                <w:szCs w:val="18"/>
              </w:rPr>
              <w:br/>
              <w:t>- Consumption of renewable resources are environmental-friendly and may result in a decrease in greenhouse gases</w:t>
            </w:r>
          </w:p>
        </w:tc>
      </w:tr>
      <w:tr w:rsidR="00180523" w:rsidRPr="00CE2D5C" w14:paraId="4E0C8B41" w14:textId="77777777" w:rsidTr="00D1236D">
        <w:tc>
          <w:tcPr>
            <w:tcW w:w="450" w:type="dxa"/>
          </w:tcPr>
          <w:p w14:paraId="76F33E9A" w14:textId="77777777" w:rsidR="00180523" w:rsidRPr="00D26A76" w:rsidRDefault="00180523" w:rsidP="00D1236D">
            <w:pPr>
              <w:tabs>
                <w:tab w:val="left" w:pos="0"/>
              </w:tabs>
              <w:spacing w:after="0" w:line="240" w:lineRule="auto"/>
              <w:rPr>
                <w:rFonts w:ascii="Times New Roman" w:hAnsi="Times New Roman" w:cs="Times New Roman"/>
                <w:b/>
                <w:bCs/>
                <w:sz w:val="18"/>
                <w:szCs w:val="18"/>
              </w:rPr>
            </w:pPr>
            <w:r w:rsidRPr="00D26A76">
              <w:rPr>
                <w:rFonts w:ascii="Times New Roman" w:hAnsi="Times New Roman" w:cs="Times New Roman"/>
                <w:b/>
                <w:bCs/>
                <w:sz w:val="18"/>
                <w:szCs w:val="18"/>
              </w:rPr>
              <w:t>2</w:t>
            </w:r>
          </w:p>
        </w:tc>
        <w:tc>
          <w:tcPr>
            <w:tcW w:w="1350" w:type="dxa"/>
            <w:shd w:val="clear" w:color="auto" w:fill="auto"/>
          </w:tcPr>
          <w:p w14:paraId="6CB598F2"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Ghorbani et al.</w:t>
            </w:r>
            <w:r w:rsidRPr="00CE2D5C">
              <w:rPr>
                <w:rFonts w:ascii="Times New Roman" w:hAnsi="Times New Roman" w:cs="Times New Roman"/>
                <w:sz w:val="18"/>
                <w:szCs w:val="18"/>
              </w:rPr>
              <w:br/>
              <w:t>(2020)</w:t>
            </w:r>
          </w:p>
        </w:tc>
        <w:tc>
          <w:tcPr>
            <w:tcW w:w="1260" w:type="dxa"/>
            <w:shd w:val="clear" w:color="auto" w:fill="auto"/>
          </w:tcPr>
          <w:p w14:paraId="0DB977A0"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Iran</w:t>
            </w:r>
          </w:p>
        </w:tc>
        <w:tc>
          <w:tcPr>
            <w:tcW w:w="1890" w:type="dxa"/>
            <w:shd w:val="clear" w:color="auto" w:fill="auto"/>
          </w:tcPr>
          <w:p w14:paraId="1F2EE468" w14:textId="77777777" w:rsidR="00180523" w:rsidRPr="00CE2D5C" w:rsidRDefault="00180523" w:rsidP="00D1236D">
            <w:pPr>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Projected electricity demand, Projected desalination demand, Projected non-energetic industrial gas demand, </w:t>
            </w:r>
            <w:r>
              <w:rPr>
                <w:rFonts w:ascii="Times New Roman" w:hAnsi="Times New Roman" w:cs="Times New Roman"/>
                <w:sz w:val="18"/>
                <w:szCs w:val="18"/>
              </w:rPr>
              <w:t>etc.</w:t>
            </w:r>
          </w:p>
        </w:tc>
        <w:tc>
          <w:tcPr>
            <w:tcW w:w="1530" w:type="dxa"/>
            <w:shd w:val="clear" w:color="auto" w:fill="auto"/>
          </w:tcPr>
          <w:p w14:paraId="64FD34DC"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LUT Energy system transition model</w:t>
            </w:r>
          </w:p>
        </w:tc>
        <w:tc>
          <w:tcPr>
            <w:tcW w:w="2880" w:type="dxa"/>
            <w:shd w:val="clear" w:color="auto" w:fill="auto"/>
          </w:tcPr>
          <w:p w14:paraId="60E1B5E9"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Iran has the potential to build an affordable, cost-effective power system based on renewable energy</w:t>
            </w:r>
          </w:p>
        </w:tc>
      </w:tr>
      <w:tr w:rsidR="00180523" w:rsidRPr="00CE2D5C" w14:paraId="4BE24787" w14:textId="77777777" w:rsidTr="00D1236D">
        <w:tc>
          <w:tcPr>
            <w:tcW w:w="450" w:type="dxa"/>
          </w:tcPr>
          <w:p w14:paraId="52470DC3" w14:textId="77777777" w:rsidR="00180523" w:rsidRPr="00D26A76" w:rsidRDefault="00180523" w:rsidP="00D1236D">
            <w:pPr>
              <w:tabs>
                <w:tab w:val="left" w:pos="0"/>
              </w:tabs>
              <w:spacing w:after="0" w:line="240" w:lineRule="auto"/>
              <w:rPr>
                <w:rFonts w:ascii="Times New Roman" w:hAnsi="Times New Roman" w:cs="Times New Roman"/>
                <w:b/>
                <w:bCs/>
                <w:sz w:val="18"/>
                <w:szCs w:val="18"/>
              </w:rPr>
            </w:pPr>
            <w:r w:rsidRPr="00D26A76">
              <w:rPr>
                <w:rFonts w:ascii="Times New Roman" w:hAnsi="Times New Roman" w:cs="Times New Roman"/>
                <w:b/>
                <w:bCs/>
                <w:sz w:val="18"/>
                <w:szCs w:val="18"/>
              </w:rPr>
              <w:t>3</w:t>
            </w:r>
          </w:p>
        </w:tc>
        <w:tc>
          <w:tcPr>
            <w:tcW w:w="1350" w:type="dxa"/>
            <w:shd w:val="clear" w:color="auto" w:fill="auto"/>
          </w:tcPr>
          <w:p w14:paraId="0AE7C0D1"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Maennel</w:t>
            </w:r>
            <w:r w:rsidRPr="00CE2D5C">
              <w:rPr>
                <w:rFonts w:ascii="Times New Roman" w:hAnsi="Times New Roman" w:cs="Times New Roman"/>
                <w:sz w:val="18"/>
                <w:szCs w:val="18"/>
              </w:rPr>
              <w:br/>
              <w:t>(2018)</w:t>
            </w:r>
          </w:p>
        </w:tc>
        <w:tc>
          <w:tcPr>
            <w:tcW w:w="1260" w:type="dxa"/>
            <w:shd w:val="clear" w:color="auto" w:fill="auto"/>
          </w:tcPr>
          <w:p w14:paraId="77DCD6A2"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South Korea &amp; Germany</w:t>
            </w:r>
          </w:p>
        </w:tc>
        <w:tc>
          <w:tcPr>
            <w:tcW w:w="1890" w:type="dxa"/>
            <w:shd w:val="clear" w:color="auto" w:fill="auto"/>
          </w:tcPr>
          <w:p w14:paraId="6E22F458"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Pr>
                <w:rFonts w:ascii="Times New Roman" w:hAnsi="Times New Roman" w:cs="Times New Roman"/>
                <w:sz w:val="18"/>
                <w:szCs w:val="18"/>
              </w:rPr>
              <w:t>CO2</w:t>
            </w:r>
            <w:r w:rsidRPr="00CE2D5C">
              <w:rPr>
                <w:rFonts w:ascii="Times New Roman" w:hAnsi="Times New Roman" w:cs="Times New Roman"/>
                <w:sz w:val="18"/>
                <w:szCs w:val="18"/>
              </w:rPr>
              <w:t xml:space="preserve"> &amp; NOx emission factors:</w:t>
            </w:r>
            <w:r w:rsidRPr="00CE2D5C">
              <w:rPr>
                <w:rFonts w:ascii="Times New Roman" w:hAnsi="Times New Roman" w:cs="Times New Roman"/>
                <w:sz w:val="18"/>
                <w:szCs w:val="18"/>
              </w:rPr>
              <w:br/>
              <w:t>Anthracite, Bituminous, Brown Coal, Hard Coal, Natural Gas, Oil</w:t>
            </w:r>
          </w:p>
        </w:tc>
        <w:tc>
          <w:tcPr>
            <w:tcW w:w="1530" w:type="dxa"/>
            <w:shd w:val="clear" w:color="auto" w:fill="auto"/>
          </w:tcPr>
          <w:p w14:paraId="4E04B899"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Grid emission factor-dependent, Monte Carlo simulation</w:t>
            </w:r>
          </w:p>
        </w:tc>
        <w:tc>
          <w:tcPr>
            <w:tcW w:w="2880" w:type="dxa"/>
            <w:shd w:val="clear" w:color="auto" w:fill="auto"/>
          </w:tcPr>
          <w:p w14:paraId="262A9D53"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Renewable energy usage can help Germany to achieve and exceed the 2030 emission reduction targets</w:t>
            </w:r>
          </w:p>
        </w:tc>
      </w:tr>
      <w:tr w:rsidR="00180523" w:rsidRPr="00CE2D5C" w14:paraId="7B02B347" w14:textId="77777777" w:rsidTr="00D1236D">
        <w:tc>
          <w:tcPr>
            <w:tcW w:w="450" w:type="dxa"/>
          </w:tcPr>
          <w:p w14:paraId="3422D66A" w14:textId="235F4FDC" w:rsidR="00180523" w:rsidRPr="00D26A76" w:rsidRDefault="00920814"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4</w:t>
            </w:r>
          </w:p>
        </w:tc>
        <w:tc>
          <w:tcPr>
            <w:tcW w:w="1350" w:type="dxa"/>
            <w:shd w:val="clear" w:color="auto" w:fill="auto"/>
          </w:tcPr>
          <w:p w14:paraId="37886405"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Bölük &amp; Mert</w:t>
            </w:r>
            <w:r w:rsidRPr="00CE2D5C">
              <w:rPr>
                <w:rFonts w:ascii="Times New Roman" w:hAnsi="Times New Roman" w:cs="Times New Roman"/>
                <w:sz w:val="18"/>
                <w:szCs w:val="18"/>
              </w:rPr>
              <w:br/>
              <w:t>(2014)</w:t>
            </w:r>
          </w:p>
        </w:tc>
        <w:tc>
          <w:tcPr>
            <w:tcW w:w="1260" w:type="dxa"/>
            <w:shd w:val="clear" w:color="auto" w:fill="auto"/>
          </w:tcPr>
          <w:p w14:paraId="0671E08C"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16 EU COUNTRIES</w:t>
            </w:r>
            <w:r w:rsidRPr="00CE2D5C">
              <w:rPr>
                <w:rFonts w:ascii="Times New Roman" w:hAnsi="Times New Roman" w:cs="Times New Roman"/>
                <w:sz w:val="18"/>
                <w:szCs w:val="18"/>
              </w:rPr>
              <w:br/>
              <w:t>(1990-2008)</w:t>
            </w:r>
          </w:p>
        </w:tc>
        <w:tc>
          <w:tcPr>
            <w:tcW w:w="1890" w:type="dxa"/>
            <w:shd w:val="clear" w:color="auto" w:fill="auto"/>
          </w:tcPr>
          <w:p w14:paraId="59C00E55"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Pr>
                <w:rFonts w:ascii="Times New Roman" w:hAnsi="Times New Roman" w:cs="Times New Roman"/>
                <w:sz w:val="18"/>
                <w:szCs w:val="18"/>
              </w:rPr>
              <w:t>CO2</w:t>
            </w:r>
            <w:r w:rsidRPr="00CE2D5C">
              <w:rPr>
                <w:rFonts w:ascii="Times New Roman" w:hAnsi="Times New Roman" w:cs="Times New Roman"/>
                <w:sz w:val="18"/>
                <w:szCs w:val="18"/>
              </w:rPr>
              <w:t xml:space="preserve"> emissions, Income, Energy Consumption</w:t>
            </w:r>
          </w:p>
        </w:tc>
        <w:tc>
          <w:tcPr>
            <w:tcW w:w="1530" w:type="dxa"/>
            <w:shd w:val="clear" w:color="auto" w:fill="auto"/>
          </w:tcPr>
          <w:p w14:paraId="37F2CAEA"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Panel Fixed Effects</w:t>
            </w:r>
          </w:p>
        </w:tc>
        <w:tc>
          <w:tcPr>
            <w:tcW w:w="2880" w:type="dxa"/>
            <w:shd w:val="clear" w:color="auto" w:fill="auto"/>
          </w:tcPr>
          <w:p w14:paraId="785F4C65"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GHG contributions caused by renewable energy is nearly half of the contributions caused by fossil energy in terms of energy consumed per unit</w:t>
            </w:r>
          </w:p>
        </w:tc>
      </w:tr>
      <w:tr w:rsidR="00180523" w:rsidRPr="00CE2D5C" w14:paraId="4BDFD32B" w14:textId="77777777" w:rsidTr="00D1236D">
        <w:tc>
          <w:tcPr>
            <w:tcW w:w="450" w:type="dxa"/>
          </w:tcPr>
          <w:p w14:paraId="7294F823" w14:textId="0A025220"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5</w:t>
            </w:r>
          </w:p>
        </w:tc>
        <w:tc>
          <w:tcPr>
            <w:tcW w:w="1350" w:type="dxa"/>
            <w:shd w:val="clear" w:color="auto" w:fill="auto"/>
          </w:tcPr>
          <w:p w14:paraId="58003918"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Cho et al.</w:t>
            </w:r>
            <w:r w:rsidRPr="00CE2D5C">
              <w:rPr>
                <w:rFonts w:ascii="Times New Roman" w:hAnsi="Times New Roman" w:cs="Times New Roman"/>
                <w:sz w:val="18"/>
                <w:szCs w:val="18"/>
              </w:rPr>
              <w:br/>
              <w:t>(2019)</w:t>
            </w:r>
          </w:p>
        </w:tc>
        <w:tc>
          <w:tcPr>
            <w:tcW w:w="1260" w:type="dxa"/>
            <w:shd w:val="clear" w:color="auto" w:fill="auto"/>
          </w:tcPr>
          <w:p w14:paraId="1B9B3A98"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South Korea</w:t>
            </w:r>
            <w:r w:rsidRPr="00CE2D5C">
              <w:rPr>
                <w:rFonts w:ascii="Times New Roman" w:hAnsi="Times New Roman" w:cs="Times New Roman"/>
                <w:sz w:val="18"/>
                <w:szCs w:val="18"/>
              </w:rPr>
              <w:br/>
              <w:t>(2015)</w:t>
            </w:r>
          </w:p>
        </w:tc>
        <w:tc>
          <w:tcPr>
            <w:tcW w:w="1890" w:type="dxa"/>
            <w:shd w:val="clear" w:color="auto" w:fill="auto"/>
          </w:tcPr>
          <w:p w14:paraId="2D2389C6"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Facility capacity, Efficiency, Utilisation rate, Life span, Cost</w:t>
            </w:r>
          </w:p>
        </w:tc>
        <w:tc>
          <w:tcPr>
            <w:tcW w:w="1530" w:type="dxa"/>
            <w:shd w:val="clear" w:color="auto" w:fill="auto"/>
          </w:tcPr>
          <w:p w14:paraId="47693F61"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LEAP Model</w:t>
            </w:r>
          </w:p>
        </w:tc>
        <w:tc>
          <w:tcPr>
            <w:tcW w:w="2880" w:type="dxa"/>
            <w:shd w:val="clear" w:color="auto" w:fill="auto"/>
          </w:tcPr>
          <w:p w14:paraId="2BB14CE6"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Multiple scenarios evaluated, in order to achieve GHG emissions, it is necessary to prioritise decarbonisation in the power generation sector through expansion of renewable energy</w:t>
            </w:r>
          </w:p>
        </w:tc>
      </w:tr>
      <w:tr w:rsidR="00180523" w:rsidRPr="00CE2D5C" w14:paraId="6DA2669A" w14:textId="77777777" w:rsidTr="00D1236D">
        <w:tc>
          <w:tcPr>
            <w:tcW w:w="450" w:type="dxa"/>
          </w:tcPr>
          <w:p w14:paraId="64B4FAA0" w14:textId="48632A79"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6</w:t>
            </w:r>
          </w:p>
        </w:tc>
        <w:tc>
          <w:tcPr>
            <w:tcW w:w="1350" w:type="dxa"/>
            <w:shd w:val="clear" w:color="auto" w:fill="auto"/>
          </w:tcPr>
          <w:p w14:paraId="0DFFBC72"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Wang et al.</w:t>
            </w:r>
            <w:r w:rsidRPr="00CE2D5C">
              <w:rPr>
                <w:rFonts w:ascii="Times New Roman" w:hAnsi="Times New Roman" w:cs="Times New Roman"/>
                <w:sz w:val="18"/>
                <w:szCs w:val="18"/>
              </w:rPr>
              <w:br/>
              <w:t>(2019)</w:t>
            </w:r>
          </w:p>
        </w:tc>
        <w:tc>
          <w:tcPr>
            <w:tcW w:w="1260" w:type="dxa"/>
            <w:shd w:val="clear" w:color="auto" w:fill="auto"/>
          </w:tcPr>
          <w:p w14:paraId="26ED1F9B"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California</w:t>
            </w:r>
          </w:p>
        </w:tc>
        <w:tc>
          <w:tcPr>
            <w:tcW w:w="1890" w:type="dxa"/>
            <w:shd w:val="clear" w:color="auto" w:fill="auto"/>
          </w:tcPr>
          <w:p w14:paraId="71E24E01" w14:textId="77777777" w:rsidR="00180523" w:rsidRPr="00CE2D5C" w:rsidRDefault="00180523" w:rsidP="00D1236D">
            <w:pPr>
              <w:spacing w:after="0" w:line="240" w:lineRule="auto"/>
              <w:rPr>
                <w:rFonts w:ascii="Times New Roman" w:hAnsi="Times New Roman" w:cs="Times New Roman"/>
                <w:sz w:val="18"/>
                <w:szCs w:val="18"/>
              </w:rPr>
            </w:pPr>
            <w:r w:rsidRPr="00CE2D5C">
              <w:rPr>
                <w:rFonts w:ascii="Times New Roman" w:hAnsi="Times New Roman" w:cs="Times New Roman"/>
                <w:sz w:val="18"/>
                <w:szCs w:val="18"/>
              </w:rPr>
              <w:t>Technology and cost characteristics of; Batteries, Hydrogen energy storage systems, Vehicle fueling or charging, Renewable gas production technologies</w:t>
            </w:r>
          </w:p>
        </w:tc>
        <w:tc>
          <w:tcPr>
            <w:tcW w:w="1530" w:type="dxa"/>
            <w:shd w:val="clear" w:color="auto" w:fill="auto"/>
          </w:tcPr>
          <w:p w14:paraId="11D76E42"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Holistic Grid Resource Integration and Deployment model</w:t>
            </w:r>
          </w:p>
        </w:tc>
        <w:tc>
          <w:tcPr>
            <w:tcW w:w="2880" w:type="dxa"/>
            <w:shd w:val="clear" w:color="auto" w:fill="auto"/>
          </w:tcPr>
          <w:p w14:paraId="10AD910D"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To realise potential GHG emission reduction, potential load flexibility is crucial</w:t>
            </w:r>
            <w:r w:rsidRPr="00CE2D5C">
              <w:rPr>
                <w:rFonts w:ascii="Times New Roman" w:hAnsi="Times New Roman" w:cs="Times New Roman"/>
                <w:sz w:val="18"/>
                <w:szCs w:val="18"/>
              </w:rPr>
              <w:br/>
              <w:t>- Most cost-effective GHG emission reduction potential is based on the usage of excess generated renewable energy in transportation</w:t>
            </w:r>
          </w:p>
        </w:tc>
      </w:tr>
      <w:tr w:rsidR="00180523" w:rsidRPr="00CE2D5C" w14:paraId="6DAFF394" w14:textId="77777777" w:rsidTr="00D1236D">
        <w:tc>
          <w:tcPr>
            <w:tcW w:w="450" w:type="dxa"/>
          </w:tcPr>
          <w:p w14:paraId="0A471BB5" w14:textId="700B3299"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7</w:t>
            </w:r>
          </w:p>
        </w:tc>
        <w:tc>
          <w:tcPr>
            <w:tcW w:w="1350" w:type="dxa"/>
            <w:shd w:val="clear" w:color="auto" w:fill="auto"/>
          </w:tcPr>
          <w:p w14:paraId="64FEA8AC"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Domingos</w:t>
            </w:r>
            <w:r w:rsidRPr="00CE2D5C">
              <w:rPr>
                <w:rFonts w:ascii="Times New Roman" w:hAnsi="Times New Roman" w:cs="Times New Roman"/>
                <w:sz w:val="18"/>
                <w:szCs w:val="18"/>
              </w:rPr>
              <w:br/>
              <w:t>(2017)</w:t>
            </w:r>
          </w:p>
        </w:tc>
        <w:tc>
          <w:tcPr>
            <w:tcW w:w="1260" w:type="dxa"/>
            <w:shd w:val="clear" w:color="auto" w:fill="auto"/>
          </w:tcPr>
          <w:p w14:paraId="1899B7FC"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15 European Union Countries</w:t>
            </w:r>
            <w:r w:rsidRPr="00CE2D5C">
              <w:rPr>
                <w:rFonts w:ascii="Times New Roman" w:hAnsi="Times New Roman" w:cs="Times New Roman"/>
                <w:sz w:val="18"/>
                <w:szCs w:val="18"/>
              </w:rPr>
              <w:br/>
              <w:t>(1995-2012)</w:t>
            </w:r>
          </w:p>
        </w:tc>
        <w:tc>
          <w:tcPr>
            <w:tcW w:w="1890" w:type="dxa"/>
            <w:shd w:val="clear" w:color="auto" w:fill="auto"/>
          </w:tcPr>
          <w:p w14:paraId="5C340ECB"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Total waste sector GHG emissions, Landfill, Cren, EfW, Real GDP per capita, Real GDP per capita squared</w:t>
            </w:r>
          </w:p>
        </w:tc>
        <w:tc>
          <w:tcPr>
            <w:tcW w:w="1530" w:type="dxa"/>
            <w:shd w:val="clear" w:color="auto" w:fill="auto"/>
          </w:tcPr>
          <w:p w14:paraId="54287031"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Fixed effect model</w:t>
            </w:r>
          </w:p>
        </w:tc>
        <w:tc>
          <w:tcPr>
            <w:tcW w:w="2880" w:type="dxa"/>
            <w:shd w:val="clear" w:color="auto" w:fill="auto"/>
          </w:tcPr>
          <w:p w14:paraId="2E64D79A"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Usage of waste to produce energy can contribute to reducing GHG emissions and the amount of waste deposited and can create conditions for the circular economy based on the new energies</w:t>
            </w:r>
          </w:p>
        </w:tc>
      </w:tr>
      <w:tr w:rsidR="00180523" w:rsidRPr="00CE2D5C" w14:paraId="164766B6" w14:textId="77777777" w:rsidTr="00D1236D">
        <w:tc>
          <w:tcPr>
            <w:tcW w:w="450" w:type="dxa"/>
          </w:tcPr>
          <w:p w14:paraId="12205D4B" w14:textId="73CEFAB6"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8</w:t>
            </w:r>
          </w:p>
        </w:tc>
        <w:tc>
          <w:tcPr>
            <w:tcW w:w="1350" w:type="dxa"/>
            <w:shd w:val="clear" w:color="auto" w:fill="auto"/>
          </w:tcPr>
          <w:p w14:paraId="7EA7C8B4" w14:textId="77777777" w:rsidR="00180523" w:rsidRPr="00CE2D5C" w:rsidRDefault="00180523" w:rsidP="00D1236D">
            <w:pPr>
              <w:tabs>
                <w:tab w:val="left" w:pos="0"/>
              </w:tabs>
              <w:spacing w:after="0" w:line="240" w:lineRule="auto"/>
              <w:rPr>
                <w:rFonts w:ascii="Times New Roman" w:hAnsi="Times New Roman" w:cs="Times New Roman"/>
                <w:b/>
                <w:bCs/>
                <w:sz w:val="18"/>
                <w:szCs w:val="18"/>
              </w:rPr>
            </w:pPr>
            <w:r w:rsidRPr="00CE2D5C">
              <w:rPr>
                <w:rFonts w:ascii="Times New Roman" w:hAnsi="Times New Roman" w:cs="Times New Roman"/>
                <w:sz w:val="18"/>
                <w:szCs w:val="18"/>
              </w:rPr>
              <w:t>Vasylieva et al.</w:t>
            </w:r>
            <w:r w:rsidRPr="00CE2D5C">
              <w:rPr>
                <w:rFonts w:ascii="Times New Roman" w:hAnsi="Times New Roman" w:cs="Times New Roman"/>
                <w:sz w:val="18"/>
                <w:szCs w:val="18"/>
              </w:rPr>
              <w:br/>
              <w:t>(2019)</w:t>
            </w:r>
          </w:p>
        </w:tc>
        <w:tc>
          <w:tcPr>
            <w:tcW w:w="1260" w:type="dxa"/>
            <w:shd w:val="clear" w:color="auto" w:fill="auto"/>
          </w:tcPr>
          <w:p w14:paraId="05CBA605" w14:textId="77777777" w:rsidR="00180523" w:rsidRPr="00CE2D5C" w:rsidRDefault="00180523" w:rsidP="00D1236D">
            <w:pPr>
              <w:tabs>
                <w:tab w:val="left" w:pos="0"/>
              </w:tabs>
              <w:spacing w:after="0" w:line="240" w:lineRule="auto"/>
              <w:rPr>
                <w:rFonts w:ascii="Times New Roman" w:hAnsi="Times New Roman" w:cs="Times New Roman"/>
                <w:b/>
                <w:bCs/>
                <w:sz w:val="18"/>
                <w:szCs w:val="18"/>
              </w:rPr>
            </w:pPr>
            <w:r w:rsidRPr="00CE2D5C">
              <w:rPr>
                <w:rFonts w:ascii="Times New Roman" w:hAnsi="Times New Roman" w:cs="Times New Roman"/>
                <w:sz w:val="18"/>
                <w:szCs w:val="18"/>
              </w:rPr>
              <w:t>EU Countries and Ukraine</w:t>
            </w:r>
            <w:r w:rsidRPr="00CE2D5C">
              <w:rPr>
                <w:rFonts w:ascii="Times New Roman" w:hAnsi="Times New Roman" w:cs="Times New Roman"/>
                <w:sz w:val="18"/>
                <w:szCs w:val="18"/>
              </w:rPr>
              <w:br/>
              <w:t>(2000-2016)</w:t>
            </w:r>
          </w:p>
        </w:tc>
        <w:tc>
          <w:tcPr>
            <w:tcW w:w="1890" w:type="dxa"/>
            <w:shd w:val="clear" w:color="auto" w:fill="auto"/>
          </w:tcPr>
          <w:p w14:paraId="70ACAE68" w14:textId="77777777" w:rsidR="00180523" w:rsidRPr="00CE2D5C" w:rsidRDefault="00180523" w:rsidP="00D1236D">
            <w:pPr>
              <w:tabs>
                <w:tab w:val="left" w:pos="0"/>
              </w:tabs>
              <w:spacing w:after="0" w:line="240" w:lineRule="auto"/>
              <w:rPr>
                <w:rFonts w:ascii="Times New Roman" w:hAnsi="Times New Roman" w:cs="Times New Roman"/>
                <w:b/>
                <w:bCs/>
                <w:sz w:val="18"/>
                <w:szCs w:val="18"/>
              </w:rPr>
            </w:pPr>
            <w:r w:rsidRPr="00CE2D5C">
              <w:rPr>
                <w:rFonts w:ascii="Times New Roman" w:hAnsi="Times New Roman" w:cs="Times New Roman"/>
                <w:sz w:val="18"/>
                <w:szCs w:val="18"/>
              </w:rPr>
              <w:t>GDP, Renewable energy consumption, Corruption, GHG</w:t>
            </w:r>
          </w:p>
        </w:tc>
        <w:tc>
          <w:tcPr>
            <w:tcW w:w="1530" w:type="dxa"/>
            <w:shd w:val="clear" w:color="auto" w:fill="auto"/>
          </w:tcPr>
          <w:p w14:paraId="2BABCC82"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The quadratic function of dependence</w:t>
            </w:r>
          </w:p>
        </w:tc>
        <w:tc>
          <w:tcPr>
            <w:tcW w:w="2880" w:type="dxa"/>
            <w:shd w:val="clear" w:color="auto" w:fill="auto"/>
          </w:tcPr>
          <w:p w14:paraId="78D17376" w14:textId="77777777" w:rsidR="00180523" w:rsidRPr="00CE2D5C" w:rsidRDefault="00180523" w:rsidP="00D1236D">
            <w:pPr>
              <w:tabs>
                <w:tab w:val="left" w:pos="0"/>
              </w:tabs>
              <w:spacing w:after="0" w:line="240" w:lineRule="auto"/>
              <w:rPr>
                <w:rFonts w:ascii="Times New Roman" w:hAnsi="Times New Roman" w:cs="Times New Roman"/>
                <w:b/>
                <w:bCs/>
                <w:sz w:val="18"/>
                <w:szCs w:val="18"/>
              </w:rPr>
            </w:pPr>
            <w:r w:rsidRPr="00CE2D5C">
              <w:rPr>
                <w:rFonts w:ascii="Times New Roman" w:hAnsi="Times New Roman" w:cs="Times New Roman"/>
                <w:sz w:val="18"/>
                <w:szCs w:val="18"/>
              </w:rPr>
              <w:t>An increase in renewable energy usage helps to decline GHG emissions</w:t>
            </w:r>
          </w:p>
        </w:tc>
      </w:tr>
      <w:tr w:rsidR="00180523" w:rsidRPr="00CE2D5C" w14:paraId="00D871F6" w14:textId="77777777" w:rsidTr="00D1236D">
        <w:tc>
          <w:tcPr>
            <w:tcW w:w="450" w:type="dxa"/>
          </w:tcPr>
          <w:p w14:paraId="4C3C1CDF" w14:textId="528CDD8B"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9</w:t>
            </w:r>
          </w:p>
        </w:tc>
        <w:tc>
          <w:tcPr>
            <w:tcW w:w="1350" w:type="dxa"/>
            <w:shd w:val="clear" w:color="auto" w:fill="auto"/>
          </w:tcPr>
          <w:p w14:paraId="392C7F2A"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Kim</w:t>
            </w:r>
            <w:r w:rsidRPr="00CE2D5C">
              <w:rPr>
                <w:rFonts w:ascii="Times New Roman" w:hAnsi="Times New Roman" w:cs="Times New Roman"/>
                <w:sz w:val="18"/>
                <w:szCs w:val="18"/>
              </w:rPr>
              <w:br/>
              <w:t>(2020)</w:t>
            </w:r>
          </w:p>
        </w:tc>
        <w:tc>
          <w:tcPr>
            <w:tcW w:w="1260" w:type="dxa"/>
            <w:shd w:val="clear" w:color="auto" w:fill="auto"/>
          </w:tcPr>
          <w:p w14:paraId="7B17342A" w14:textId="77777777" w:rsidR="00180523" w:rsidRPr="00CE2D5C" w:rsidRDefault="00180523" w:rsidP="00D1236D">
            <w:pPr>
              <w:tabs>
                <w:tab w:val="left" w:pos="0"/>
              </w:tabs>
              <w:spacing w:after="0" w:line="240" w:lineRule="auto"/>
              <w:rPr>
                <w:rFonts w:ascii="Times New Roman" w:hAnsi="Times New Roman" w:cs="Times New Roman"/>
                <w:b/>
                <w:bCs/>
                <w:sz w:val="18"/>
                <w:szCs w:val="18"/>
              </w:rPr>
            </w:pPr>
            <w:r w:rsidRPr="00CE2D5C">
              <w:rPr>
                <w:rFonts w:ascii="Times New Roman" w:hAnsi="Times New Roman" w:cs="Times New Roman"/>
                <w:sz w:val="18"/>
                <w:szCs w:val="18"/>
              </w:rPr>
              <w:t>Korea</w:t>
            </w:r>
            <w:r w:rsidRPr="00CE2D5C">
              <w:rPr>
                <w:rFonts w:ascii="Times New Roman" w:hAnsi="Times New Roman" w:cs="Times New Roman"/>
                <w:sz w:val="18"/>
                <w:szCs w:val="18"/>
              </w:rPr>
              <w:br/>
              <w:t>(1981-2014)</w:t>
            </w:r>
          </w:p>
        </w:tc>
        <w:tc>
          <w:tcPr>
            <w:tcW w:w="1890" w:type="dxa"/>
            <w:shd w:val="clear" w:color="auto" w:fill="auto"/>
          </w:tcPr>
          <w:p w14:paraId="44391B28"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b/>
                <w:bCs/>
                <w:sz w:val="18"/>
                <w:szCs w:val="18"/>
              </w:rPr>
            </w:pPr>
            <w:r>
              <w:rPr>
                <w:rFonts w:ascii="Times New Roman" w:hAnsi="Times New Roman" w:cs="Times New Roman"/>
                <w:sz w:val="18"/>
                <w:szCs w:val="18"/>
              </w:rPr>
              <w:t>CO2</w:t>
            </w:r>
            <w:r w:rsidRPr="00CE2D5C">
              <w:rPr>
                <w:rFonts w:ascii="Times New Roman" w:hAnsi="Times New Roman" w:cs="Times New Roman"/>
                <w:sz w:val="18"/>
                <w:szCs w:val="18"/>
              </w:rPr>
              <w:t xml:space="preserve"> emissions (a proxy for GHG), FDI, Economic growth, Industrial Structure, Renewable and nuclear energy, Urbanisation</w:t>
            </w:r>
          </w:p>
        </w:tc>
        <w:tc>
          <w:tcPr>
            <w:tcW w:w="1530" w:type="dxa"/>
            <w:shd w:val="clear" w:color="auto" w:fill="auto"/>
          </w:tcPr>
          <w:p w14:paraId="5DD39696" w14:textId="77777777" w:rsidR="00180523" w:rsidRPr="00CE2D5C" w:rsidRDefault="00180523" w:rsidP="00D1236D">
            <w:pPr>
              <w:tabs>
                <w:tab w:val="left" w:pos="0"/>
              </w:tabs>
              <w:spacing w:after="0" w:line="240" w:lineRule="auto"/>
              <w:rPr>
                <w:rFonts w:ascii="Times New Roman" w:hAnsi="Times New Roman" w:cs="Times New Roman"/>
                <w:b/>
                <w:bCs/>
                <w:sz w:val="18"/>
                <w:szCs w:val="18"/>
              </w:rPr>
            </w:pPr>
            <w:r w:rsidRPr="00CE2D5C">
              <w:rPr>
                <w:rFonts w:ascii="Times New Roman" w:hAnsi="Times New Roman" w:cs="Times New Roman"/>
                <w:sz w:val="18"/>
                <w:szCs w:val="18"/>
              </w:rPr>
              <w:t>ARDL</w:t>
            </w:r>
          </w:p>
        </w:tc>
        <w:tc>
          <w:tcPr>
            <w:tcW w:w="2880" w:type="dxa"/>
            <w:shd w:val="clear" w:color="auto" w:fill="auto"/>
          </w:tcPr>
          <w:p w14:paraId="1944D628" w14:textId="77777777" w:rsidR="00180523" w:rsidRPr="00CE2D5C" w:rsidRDefault="00180523" w:rsidP="00D1236D">
            <w:pPr>
              <w:tabs>
                <w:tab w:val="left" w:pos="0"/>
              </w:tabs>
              <w:spacing w:after="0" w:line="240" w:lineRule="auto"/>
              <w:rPr>
                <w:rFonts w:ascii="Times New Roman" w:hAnsi="Times New Roman" w:cs="Times New Roman"/>
                <w:b/>
                <w:bCs/>
                <w:sz w:val="18"/>
                <w:szCs w:val="18"/>
              </w:rPr>
            </w:pPr>
            <w:r w:rsidRPr="00CE2D5C">
              <w:rPr>
                <w:rFonts w:ascii="Times New Roman" w:hAnsi="Times New Roman" w:cs="Times New Roman"/>
                <w:sz w:val="18"/>
                <w:szCs w:val="18"/>
              </w:rPr>
              <w:t xml:space="preserve">Renewable and nuclear energy helps to reduce </w:t>
            </w:r>
            <w:r>
              <w:rPr>
                <w:rFonts w:ascii="Times New Roman" w:hAnsi="Times New Roman" w:cs="Times New Roman"/>
                <w:sz w:val="18"/>
                <w:szCs w:val="18"/>
              </w:rPr>
              <w:t>CO2</w:t>
            </w:r>
            <w:r w:rsidRPr="00CE2D5C">
              <w:rPr>
                <w:rFonts w:ascii="Times New Roman" w:hAnsi="Times New Roman" w:cs="Times New Roman"/>
                <w:sz w:val="18"/>
                <w:szCs w:val="18"/>
              </w:rPr>
              <w:t xml:space="preserve"> emissions</w:t>
            </w:r>
          </w:p>
        </w:tc>
      </w:tr>
      <w:tr w:rsidR="00180523" w:rsidRPr="00CE2D5C" w14:paraId="22493EC7" w14:textId="77777777" w:rsidTr="00D1236D">
        <w:tc>
          <w:tcPr>
            <w:tcW w:w="450" w:type="dxa"/>
          </w:tcPr>
          <w:p w14:paraId="0A988B0A" w14:textId="2B6A9335" w:rsidR="00180523" w:rsidRPr="00D26A76" w:rsidRDefault="00180523" w:rsidP="00D1236D">
            <w:pPr>
              <w:tabs>
                <w:tab w:val="left" w:pos="0"/>
              </w:tabs>
              <w:spacing w:after="0" w:line="240" w:lineRule="auto"/>
              <w:rPr>
                <w:rFonts w:ascii="Times New Roman" w:hAnsi="Times New Roman" w:cs="Times New Roman"/>
                <w:b/>
                <w:bCs/>
                <w:sz w:val="18"/>
                <w:szCs w:val="18"/>
              </w:rPr>
            </w:pPr>
            <w:r w:rsidRPr="00D26A76">
              <w:rPr>
                <w:rFonts w:ascii="Times New Roman" w:hAnsi="Times New Roman" w:cs="Times New Roman"/>
                <w:b/>
                <w:bCs/>
                <w:sz w:val="18"/>
                <w:szCs w:val="18"/>
              </w:rPr>
              <w:lastRenderedPageBreak/>
              <w:t>1</w:t>
            </w:r>
            <w:r w:rsidR="00450DFA">
              <w:rPr>
                <w:rFonts w:ascii="Times New Roman" w:hAnsi="Times New Roman" w:cs="Times New Roman"/>
                <w:b/>
                <w:bCs/>
                <w:sz w:val="18"/>
                <w:szCs w:val="18"/>
              </w:rPr>
              <w:t>0</w:t>
            </w:r>
          </w:p>
        </w:tc>
        <w:tc>
          <w:tcPr>
            <w:tcW w:w="1350" w:type="dxa"/>
            <w:shd w:val="clear" w:color="auto" w:fill="auto"/>
          </w:tcPr>
          <w:p w14:paraId="191AB99B" w14:textId="77777777" w:rsidR="00180523" w:rsidRPr="00CE2D5C" w:rsidRDefault="00180523" w:rsidP="00D1236D">
            <w:pPr>
              <w:tabs>
                <w:tab w:val="left" w:pos="0"/>
              </w:tabs>
              <w:spacing w:after="0" w:line="240" w:lineRule="auto"/>
              <w:rPr>
                <w:rFonts w:ascii="Times New Roman" w:hAnsi="Times New Roman" w:cs="Times New Roman"/>
                <w:b/>
                <w:bCs/>
                <w:sz w:val="18"/>
                <w:szCs w:val="18"/>
              </w:rPr>
            </w:pPr>
            <w:r w:rsidRPr="00CE2D5C">
              <w:rPr>
                <w:rFonts w:ascii="Times New Roman" w:hAnsi="Times New Roman" w:cs="Times New Roman"/>
                <w:sz w:val="18"/>
                <w:szCs w:val="18"/>
              </w:rPr>
              <w:t>Khan et al.</w:t>
            </w:r>
            <w:r w:rsidRPr="00CE2D5C">
              <w:rPr>
                <w:rFonts w:ascii="Times New Roman" w:hAnsi="Times New Roman" w:cs="Times New Roman"/>
                <w:sz w:val="18"/>
                <w:szCs w:val="18"/>
              </w:rPr>
              <w:br/>
              <w:t>(201</w:t>
            </w:r>
            <w:r>
              <w:rPr>
                <w:rFonts w:ascii="Times New Roman" w:hAnsi="Times New Roman" w:cs="Times New Roman"/>
                <w:sz w:val="18"/>
                <w:szCs w:val="18"/>
              </w:rPr>
              <w:t>8</w:t>
            </w:r>
            <w:r w:rsidRPr="00CE2D5C">
              <w:rPr>
                <w:rFonts w:ascii="Times New Roman" w:hAnsi="Times New Roman" w:cs="Times New Roman"/>
                <w:sz w:val="18"/>
                <w:szCs w:val="18"/>
              </w:rPr>
              <w:t>)</w:t>
            </w:r>
          </w:p>
        </w:tc>
        <w:tc>
          <w:tcPr>
            <w:tcW w:w="1260" w:type="dxa"/>
            <w:shd w:val="clear" w:color="auto" w:fill="auto"/>
          </w:tcPr>
          <w:p w14:paraId="314F2C6A" w14:textId="77777777" w:rsidR="00180523" w:rsidRPr="00CE2D5C" w:rsidRDefault="00180523" w:rsidP="00D1236D">
            <w:pPr>
              <w:tabs>
                <w:tab w:val="left" w:pos="0"/>
              </w:tabs>
              <w:spacing w:after="0" w:line="240" w:lineRule="auto"/>
              <w:rPr>
                <w:rFonts w:ascii="Times New Roman" w:hAnsi="Times New Roman" w:cs="Times New Roman"/>
                <w:b/>
                <w:bCs/>
                <w:sz w:val="18"/>
                <w:szCs w:val="18"/>
              </w:rPr>
            </w:pPr>
            <w:r w:rsidRPr="00CE2D5C">
              <w:rPr>
                <w:rFonts w:ascii="Times New Roman" w:hAnsi="Times New Roman" w:cs="Times New Roman"/>
                <w:sz w:val="18"/>
                <w:szCs w:val="18"/>
              </w:rPr>
              <w:t>Pakistan</w:t>
            </w:r>
            <w:r w:rsidRPr="00CE2D5C">
              <w:rPr>
                <w:rFonts w:ascii="Times New Roman" w:hAnsi="Times New Roman" w:cs="Times New Roman"/>
                <w:sz w:val="18"/>
                <w:szCs w:val="18"/>
              </w:rPr>
              <w:br/>
              <w:t>(1981-2015)</w:t>
            </w:r>
          </w:p>
        </w:tc>
        <w:tc>
          <w:tcPr>
            <w:tcW w:w="1890" w:type="dxa"/>
            <w:shd w:val="clear" w:color="auto" w:fill="auto"/>
          </w:tcPr>
          <w:p w14:paraId="4567AA13"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Agriculture value added, Coal electricity, Hydroelectricity, Renewable energy, Forest area, Vegetable area, GHG</w:t>
            </w:r>
          </w:p>
        </w:tc>
        <w:tc>
          <w:tcPr>
            <w:tcW w:w="1530" w:type="dxa"/>
            <w:shd w:val="clear" w:color="auto" w:fill="auto"/>
          </w:tcPr>
          <w:p w14:paraId="34F468A4" w14:textId="77777777" w:rsidR="00180523" w:rsidRPr="00CE2D5C" w:rsidRDefault="00180523" w:rsidP="00D1236D">
            <w:pPr>
              <w:tabs>
                <w:tab w:val="left" w:pos="0"/>
              </w:tabs>
              <w:spacing w:after="0" w:line="240" w:lineRule="auto"/>
              <w:rPr>
                <w:rFonts w:ascii="Times New Roman" w:hAnsi="Times New Roman" w:cs="Times New Roman"/>
                <w:b/>
                <w:bCs/>
                <w:sz w:val="18"/>
                <w:szCs w:val="18"/>
              </w:rPr>
            </w:pPr>
            <w:r w:rsidRPr="00CE2D5C">
              <w:rPr>
                <w:rFonts w:ascii="Times New Roman" w:hAnsi="Times New Roman" w:cs="Times New Roman"/>
                <w:sz w:val="18"/>
                <w:szCs w:val="18"/>
              </w:rPr>
              <w:t>VAR, Toda and Yamamato</w:t>
            </w:r>
          </w:p>
        </w:tc>
        <w:tc>
          <w:tcPr>
            <w:tcW w:w="2880" w:type="dxa"/>
            <w:shd w:val="clear" w:color="auto" w:fill="auto"/>
          </w:tcPr>
          <w:p w14:paraId="1F5F338C" w14:textId="77777777" w:rsidR="00180523" w:rsidRPr="00CE2D5C" w:rsidRDefault="00180523" w:rsidP="00D1236D">
            <w:pPr>
              <w:tabs>
                <w:tab w:val="left" w:pos="0"/>
              </w:tabs>
              <w:spacing w:after="0" w:line="240" w:lineRule="auto"/>
              <w:rPr>
                <w:rFonts w:ascii="Times New Roman" w:hAnsi="Times New Roman" w:cs="Times New Roman"/>
                <w:b/>
                <w:bCs/>
                <w:sz w:val="18"/>
                <w:szCs w:val="18"/>
              </w:rPr>
            </w:pPr>
            <w:r w:rsidRPr="00CE2D5C">
              <w:rPr>
                <w:rFonts w:ascii="Times New Roman" w:hAnsi="Times New Roman" w:cs="Times New Roman"/>
                <w:sz w:val="18"/>
                <w:szCs w:val="18"/>
              </w:rPr>
              <w:t>There is unidirectional causality from renewable energy to GHG emission</w:t>
            </w:r>
          </w:p>
        </w:tc>
      </w:tr>
      <w:tr w:rsidR="00180523" w:rsidRPr="00CE2D5C" w14:paraId="2ABF0B24" w14:textId="77777777" w:rsidTr="00D1236D">
        <w:tc>
          <w:tcPr>
            <w:tcW w:w="450" w:type="dxa"/>
          </w:tcPr>
          <w:p w14:paraId="6EFA259E" w14:textId="483D9B2E" w:rsidR="00180523" w:rsidRPr="00D26A76" w:rsidRDefault="00180523" w:rsidP="00D1236D">
            <w:pPr>
              <w:tabs>
                <w:tab w:val="left" w:pos="0"/>
              </w:tabs>
              <w:spacing w:after="0" w:line="240" w:lineRule="auto"/>
              <w:rPr>
                <w:rFonts w:ascii="Times New Roman" w:hAnsi="Times New Roman" w:cs="Times New Roman"/>
                <w:b/>
                <w:bCs/>
                <w:sz w:val="18"/>
                <w:szCs w:val="18"/>
              </w:rPr>
            </w:pPr>
            <w:r w:rsidRPr="00D26A76">
              <w:rPr>
                <w:rFonts w:ascii="Times New Roman" w:hAnsi="Times New Roman" w:cs="Times New Roman"/>
                <w:b/>
                <w:bCs/>
                <w:sz w:val="18"/>
                <w:szCs w:val="18"/>
              </w:rPr>
              <w:t>1</w:t>
            </w:r>
            <w:r w:rsidR="00450DFA">
              <w:rPr>
                <w:rFonts w:ascii="Times New Roman" w:hAnsi="Times New Roman" w:cs="Times New Roman"/>
                <w:b/>
                <w:bCs/>
                <w:sz w:val="18"/>
                <w:szCs w:val="18"/>
              </w:rPr>
              <w:t>1</w:t>
            </w:r>
          </w:p>
        </w:tc>
        <w:tc>
          <w:tcPr>
            <w:tcW w:w="1350" w:type="dxa"/>
            <w:shd w:val="clear" w:color="auto" w:fill="auto"/>
          </w:tcPr>
          <w:p w14:paraId="0D8209A0"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Dedinec et al.</w:t>
            </w:r>
            <w:r w:rsidRPr="00CE2D5C">
              <w:rPr>
                <w:rFonts w:ascii="Times New Roman" w:hAnsi="Times New Roman" w:cs="Times New Roman"/>
                <w:sz w:val="18"/>
                <w:szCs w:val="18"/>
              </w:rPr>
              <w:br/>
              <w:t>(2012)</w:t>
            </w:r>
          </w:p>
        </w:tc>
        <w:tc>
          <w:tcPr>
            <w:tcW w:w="1260" w:type="dxa"/>
            <w:shd w:val="clear" w:color="auto" w:fill="auto"/>
          </w:tcPr>
          <w:p w14:paraId="50B7EFE7"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Macedonia</w:t>
            </w:r>
            <w:r w:rsidRPr="00CE2D5C">
              <w:rPr>
                <w:rFonts w:ascii="Times New Roman" w:hAnsi="Times New Roman" w:cs="Times New Roman"/>
                <w:sz w:val="18"/>
                <w:szCs w:val="18"/>
              </w:rPr>
              <w:br/>
              <w:t>(2020: base year)</w:t>
            </w:r>
          </w:p>
        </w:tc>
        <w:tc>
          <w:tcPr>
            <w:tcW w:w="1890" w:type="dxa"/>
            <w:shd w:val="clear" w:color="auto" w:fill="auto"/>
          </w:tcPr>
          <w:p w14:paraId="3B7B5446"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Numerous variables have been used in order to evaluate all potential RES technologies, economic aspects, emission reduction cost curve, the total marginal cost of GHG emission reduction by RES</w:t>
            </w:r>
          </w:p>
        </w:tc>
        <w:tc>
          <w:tcPr>
            <w:tcW w:w="1530" w:type="dxa"/>
            <w:shd w:val="clear" w:color="auto" w:fill="auto"/>
          </w:tcPr>
          <w:p w14:paraId="055CD5BA"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GACMO- GHG emission reduction strategy</w:t>
            </w:r>
          </w:p>
        </w:tc>
        <w:tc>
          <w:tcPr>
            <w:tcW w:w="2880" w:type="dxa"/>
            <w:shd w:val="clear" w:color="auto" w:fill="auto"/>
          </w:tcPr>
          <w:p w14:paraId="5580014F"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  In order to create enabling environment for better utilisation of RES technologies, support for small hydropower plants should be encouraged and to realise wind potential, construction of wind power plant "pilot" projects should be identified in order to overcome lack of experience and expertise </w:t>
            </w:r>
          </w:p>
        </w:tc>
      </w:tr>
      <w:tr w:rsidR="00180523" w:rsidRPr="00CE2D5C" w14:paraId="57C169C2" w14:textId="77777777" w:rsidTr="00D1236D">
        <w:tc>
          <w:tcPr>
            <w:tcW w:w="450" w:type="dxa"/>
          </w:tcPr>
          <w:p w14:paraId="7E1B3CF1" w14:textId="3A01B85E" w:rsidR="00180523" w:rsidRPr="00D26A76" w:rsidRDefault="00180523" w:rsidP="00D1236D">
            <w:pPr>
              <w:tabs>
                <w:tab w:val="left" w:pos="0"/>
              </w:tabs>
              <w:spacing w:after="0" w:line="240" w:lineRule="auto"/>
              <w:rPr>
                <w:rFonts w:ascii="Times New Roman" w:hAnsi="Times New Roman" w:cs="Times New Roman"/>
                <w:b/>
                <w:bCs/>
                <w:sz w:val="18"/>
                <w:szCs w:val="18"/>
              </w:rPr>
            </w:pPr>
            <w:r w:rsidRPr="00D26A76">
              <w:rPr>
                <w:rFonts w:ascii="Times New Roman" w:hAnsi="Times New Roman" w:cs="Times New Roman"/>
                <w:b/>
                <w:bCs/>
                <w:sz w:val="18"/>
                <w:szCs w:val="18"/>
              </w:rPr>
              <w:t>1</w:t>
            </w:r>
            <w:r w:rsidR="00450DFA">
              <w:rPr>
                <w:rFonts w:ascii="Times New Roman" w:hAnsi="Times New Roman" w:cs="Times New Roman"/>
                <w:b/>
                <w:bCs/>
                <w:sz w:val="18"/>
                <w:szCs w:val="18"/>
              </w:rPr>
              <w:t>2</w:t>
            </w:r>
          </w:p>
        </w:tc>
        <w:tc>
          <w:tcPr>
            <w:tcW w:w="1350" w:type="dxa"/>
            <w:shd w:val="clear" w:color="auto" w:fill="auto"/>
          </w:tcPr>
          <w:p w14:paraId="75FDD3B9"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Komarnicka &amp; Murawska</w:t>
            </w:r>
            <w:r w:rsidRPr="00CE2D5C">
              <w:rPr>
                <w:rFonts w:ascii="Times New Roman" w:hAnsi="Times New Roman" w:cs="Times New Roman"/>
                <w:sz w:val="18"/>
                <w:szCs w:val="18"/>
              </w:rPr>
              <w:br/>
              <w:t>(2021)</w:t>
            </w:r>
          </w:p>
        </w:tc>
        <w:tc>
          <w:tcPr>
            <w:tcW w:w="1260" w:type="dxa"/>
            <w:shd w:val="clear" w:color="auto" w:fill="auto"/>
          </w:tcPr>
          <w:p w14:paraId="25B048E2"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27 EU Countries</w:t>
            </w:r>
            <w:r w:rsidRPr="00CE2D5C">
              <w:rPr>
                <w:rFonts w:ascii="Times New Roman" w:hAnsi="Times New Roman" w:cs="Times New Roman"/>
                <w:sz w:val="18"/>
                <w:szCs w:val="18"/>
              </w:rPr>
              <w:br/>
              <w:t>(2010-2019)</w:t>
            </w:r>
          </w:p>
        </w:tc>
        <w:tc>
          <w:tcPr>
            <w:tcW w:w="1890" w:type="dxa"/>
            <w:shd w:val="clear" w:color="auto" w:fill="auto"/>
          </w:tcPr>
          <w:p w14:paraId="76E8D67F"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The share of renewable energy in total and in transport, electricity and heating and cooling</w:t>
            </w:r>
            <w:r>
              <w:rPr>
                <w:rFonts w:ascii="Times New Roman" w:hAnsi="Times New Roman" w:cs="Times New Roman"/>
                <w:sz w:val="18"/>
                <w:szCs w:val="18"/>
              </w:rPr>
              <w:t>, etc.</w:t>
            </w:r>
          </w:p>
        </w:tc>
        <w:tc>
          <w:tcPr>
            <w:tcW w:w="1530" w:type="dxa"/>
            <w:shd w:val="clear" w:color="auto" w:fill="auto"/>
          </w:tcPr>
          <w:p w14:paraId="5D79C284"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Correlation and regression analysis</w:t>
            </w:r>
          </w:p>
        </w:tc>
        <w:tc>
          <w:tcPr>
            <w:tcW w:w="2880" w:type="dxa"/>
            <w:shd w:val="clear" w:color="auto" w:fill="auto"/>
          </w:tcPr>
          <w:p w14:paraId="23282FE0"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The renewable energy source used on energy consumption helps to decrease GHG emissions</w:t>
            </w:r>
          </w:p>
        </w:tc>
      </w:tr>
      <w:tr w:rsidR="00180523" w:rsidRPr="00CE2D5C" w14:paraId="7694719A" w14:textId="77777777" w:rsidTr="00D1236D">
        <w:tc>
          <w:tcPr>
            <w:tcW w:w="450" w:type="dxa"/>
          </w:tcPr>
          <w:p w14:paraId="70477E34" w14:textId="0A53D5D9" w:rsidR="00180523" w:rsidRPr="00D26A76" w:rsidRDefault="00180523" w:rsidP="00D1236D">
            <w:pPr>
              <w:tabs>
                <w:tab w:val="left" w:pos="0"/>
              </w:tabs>
              <w:spacing w:after="0" w:line="240" w:lineRule="auto"/>
              <w:rPr>
                <w:rFonts w:ascii="Times New Roman" w:hAnsi="Times New Roman" w:cs="Times New Roman"/>
                <w:b/>
                <w:bCs/>
                <w:sz w:val="18"/>
                <w:szCs w:val="18"/>
              </w:rPr>
            </w:pPr>
            <w:r w:rsidRPr="00D26A76">
              <w:rPr>
                <w:rFonts w:ascii="Times New Roman" w:hAnsi="Times New Roman" w:cs="Times New Roman"/>
                <w:b/>
                <w:bCs/>
                <w:sz w:val="18"/>
                <w:szCs w:val="18"/>
              </w:rPr>
              <w:t>1</w:t>
            </w:r>
            <w:r w:rsidR="00450DFA">
              <w:rPr>
                <w:rFonts w:ascii="Times New Roman" w:hAnsi="Times New Roman" w:cs="Times New Roman"/>
                <w:b/>
                <w:bCs/>
                <w:sz w:val="18"/>
                <w:szCs w:val="18"/>
              </w:rPr>
              <w:t>3</w:t>
            </w:r>
          </w:p>
        </w:tc>
        <w:tc>
          <w:tcPr>
            <w:tcW w:w="1350" w:type="dxa"/>
            <w:shd w:val="clear" w:color="auto" w:fill="auto"/>
          </w:tcPr>
          <w:p w14:paraId="01C18FC0"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Pusesgaard et al.</w:t>
            </w:r>
            <w:r w:rsidRPr="00CE2D5C">
              <w:rPr>
                <w:rFonts w:ascii="Times New Roman" w:hAnsi="Times New Roman" w:cs="Times New Roman"/>
                <w:sz w:val="18"/>
                <w:szCs w:val="18"/>
              </w:rPr>
              <w:br/>
              <w:t>(2013)</w:t>
            </w:r>
          </w:p>
        </w:tc>
        <w:tc>
          <w:tcPr>
            <w:tcW w:w="1260" w:type="dxa"/>
            <w:shd w:val="clear" w:color="auto" w:fill="auto"/>
          </w:tcPr>
          <w:p w14:paraId="79B459CA"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Denmark</w:t>
            </w:r>
            <w:r w:rsidRPr="00CE2D5C">
              <w:rPr>
                <w:rFonts w:ascii="Times New Roman" w:hAnsi="Times New Roman" w:cs="Times New Roman"/>
                <w:sz w:val="18"/>
                <w:szCs w:val="18"/>
              </w:rPr>
              <w:br/>
              <w:t>(2006)</w:t>
            </w:r>
          </w:p>
        </w:tc>
        <w:tc>
          <w:tcPr>
            <w:tcW w:w="1890" w:type="dxa"/>
            <w:shd w:val="clear" w:color="auto" w:fill="auto"/>
          </w:tcPr>
          <w:p w14:paraId="16E59E90"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Livestock numbers, milk yield and feed plans for cows and heifers, Fertilizer norms24 and distribution of manure, Organic crop yields on sandy soil</w:t>
            </w:r>
          </w:p>
        </w:tc>
        <w:tc>
          <w:tcPr>
            <w:tcW w:w="1530" w:type="dxa"/>
            <w:shd w:val="clear" w:color="auto" w:fill="auto"/>
          </w:tcPr>
          <w:p w14:paraId="0200AE64"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Analysis of environmental impacts focusing on N flows, crop yields, net energy production and GHG emissions</w:t>
            </w:r>
            <w:r>
              <w:rPr>
                <w:rFonts w:ascii="Times New Roman" w:hAnsi="Times New Roman" w:cs="Times New Roman"/>
                <w:sz w:val="18"/>
                <w:szCs w:val="18"/>
              </w:rPr>
              <w:t>, etc.</w:t>
            </w:r>
          </w:p>
        </w:tc>
        <w:tc>
          <w:tcPr>
            <w:tcW w:w="2880" w:type="dxa"/>
            <w:shd w:val="clear" w:color="auto" w:fill="auto"/>
          </w:tcPr>
          <w:p w14:paraId="6F2EEF04"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In all scenarios, substantial reductions in net GHG emissions were obtained compared with the current situation</w:t>
            </w:r>
            <w:r>
              <w:rPr>
                <w:rFonts w:ascii="Times New Roman" w:hAnsi="Times New Roman" w:cs="Times New Roman"/>
                <w:sz w:val="18"/>
                <w:szCs w:val="18"/>
              </w:rPr>
              <w:t>.</w:t>
            </w:r>
          </w:p>
        </w:tc>
      </w:tr>
      <w:tr w:rsidR="00180523" w:rsidRPr="00CE2D5C" w14:paraId="01075450" w14:textId="77777777" w:rsidTr="00D1236D">
        <w:tc>
          <w:tcPr>
            <w:tcW w:w="450" w:type="dxa"/>
          </w:tcPr>
          <w:p w14:paraId="224D3849" w14:textId="19FAD39E" w:rsidR="00180523" w:rsidRPr="00D26A76" w:rsidRDefault="00180523" w:rsidP="00D1236D">
            <w:pPr>
              <w:tabs>
                <w:tab w:val="left" w:pos="0"/>
              </w:tabs>
              <w:spacing w:after="0" w:line="240" w:lineRule="auto"/>
              <w:rPr>
                <w:rFonts w:ascii="Times New Roman" w:hAnsi="Times New Roman" w:cs="Times New Roman"/>
                <w:b/>
                <w:bCs/>
                <w:sz w:val="18"/>
                <w:szCs w:val="18"/>
              </w:rPr>
            </w:pPr>
            <w:r w:rsidRPr="00D26A76">
              <w:rPr>
                <w:rFonts w:ascii="Times New Roman" w:hAnsi="Times New Roman" w:cs="Times New Roman"/>
                <w:b/>
                <w:bCs/>
                <w:sz w:val="18"/>
                <w:szCs w:val="18"/>
              </w:rPr>
              <w:t>1</w:t>
            </w:r>
            <w:r w:rsidR="00450DFA">
              <w:rPr>
                <w:rFonts w:ascii="Times New Roman" w:hAnsi="Times New Roman" w:cs="Times New Roman"/>
                <w:b/>
                <w:bCs/>
                <w:sz w:val="18"/>
                <w:szCs w:val="18"/>
              </w:rPr>
              <w:t>4</w:t>
            </w:r>
          </w:p>
        </w:tc>
        <w:tc>
          <w:tcPr>
            <w:tcW w:w="1350" w:type="dxa"/>
            <w:shd w:val="clear" w:color="auto" w:fill="auto"/>
          </w:tcPr>
          <w:p w14:paraId="07751AF2" w14:textId="77777777" w:rsidR="00180523" w:rsidRPr="00CE2D5C" w:rsidRDefault="00180523" w:rsidP="00D1236D">
            <w:pPr>
              <w:tabs>
                <w:tab w:val="left" w:pos="0"/>
              </w:tabs>
              <w:spacing w:after="0" w:line="240" w:lineRule="auto"/>
              <w:rPr>
                <w:rFonts w:ascii="Times New Roman" w:hAnsi="Times New Roman" w:cs="Times New Roman"/>
                <w:i/>
                <w:iCs/>
                <w:sz w:val="18"/>
                <w:szCs w:val="18"/>
              </w:rPr>
            </w:pPr>
            <w:r w:rsidRPr="00CE2D5C">
              <w:rPr>
                <w:rFonts w:ascii="Times New Roman" w:hAnsi="Times New Roman" w:cs="Times New Roman"/>
                <w:sz w:val="18"/>
                <w:szCs w:val="18"/>
              </w:rPr>
              <w:t>Ginting</w:t>
            </w:r>
            <w:r w:rsidRPr="00CE2D5C">
              <w:rPr>
                <w:rFonts w:ascii="Times New Roman" w:hAnsi="Times New Roman" w:cs="Times New Roman"/>
                <w:sz w:val="18"/>
                <w:szCs w:val="18"/>
              </w:rPr>
              <w:br/>
              <w:t>(2017)</w:t>
            </w:r>
          </w:p>
        </w:tc>
        <w:tc>
          <w:tcPr>
            <w:tcW w:w="1260" w:type="dxa"/>
            <w:shd w:val="clear" w:color="auto" w:fill="auto"/>
          </w:tcPr>
          <w:p w14:paraId="329761E6" w14:textId="77777777" w:rsidR="00180523" w:rsidRPr="00CE2D5C" w:rsidRDefault="00180523" w:rsidP="00D1236D">
            <w:pPr>
              <w:tabs>
                <w:tab w:val="left" w:pos="0"/>
              </w:tabs>
              <w:spacing w:after="0" w:line="240" w:lineRule="auto"/>
              <w:rPr>
                <w:rFonts w:ascii="Times New Roman" w:hAnsi="Times New Roman" w:cs="Times New Roman"/>
                <w:i/>
                <w:iCs/>
                <w:sz w:val="18"/>
                <w:szCs w:val="18"/>
              </w:rPr>
            </w:pPr>
            <w:r w:rsidRPr="00CE2D5C">
              <w:rPr>
                <w:rFonts w:ascii="Times New Roman" w:hAnsi="Times New Roman" w:cs="Times New Roman"/>
                <w:sz w:val="18"/>
                <w:szCs w:val="18"/>
              </w:rPr>
              <w:t>Indonesia (Karo District)</w:t>
            </w:r>
            <w:r w:rsidRPr="00CE2D5C">
              <w:rPr>
                <w:rFonts w:ascii="Times New Roman" w:hAnsi="Times New Roman" w:cs="Times New Roman"/>
                <w:sz w:val="18"/>
                <w:szCs w:val="18"/>
              </w:rPr>
              <w:br/>
              <w:t>Hydraulic Retention Time: 45 days</w:t>
            </w:r>
          </w:p>
        </w:tc>
        <w:tc>
          <w:tcPr>
            <w:tcW w:w="1890" w:type="dxa"/>
            <w:shd w:val="clear" w:color="auto" w:fill="auto"/>
          </w:tcPr>
          <w:p w14:paraId="74937FEE" w14:textId="77777777" w:rsidR="00180523" w:rsidRPr="00CE2D5C" w:rsidRDefault="00180523" w:rsidP="00D1236D">
            <w:pPr>
              <w:tabs>
                <w:tab w:val="left" w:pos="0"/>
              </w:tabs>
              <w:spacing w:after="0" w:line="240" w:lineRule="auto"/>
              <w:rPr>
                <w:rFonts w:ascii="Times New Roman" w:hAnsi="Times New Roman" w:cs="Times New Roman"/>
                <w:i/>
                <w:iCs/>
                <w:sz w:val="18"/>
                <w:szCs w:val="18"/>
              </w:rPr>
            </w:pPr>
            <w:r w:rsidRPr="00CE2D5C">
              <w:rPr>
                <w:rFonts w:ascii="Times New Roman" w:hAnsi="Times New Roman" w:cs="Times New Roman"/>
                <w:sz w:val="18"/>
                <w:szCs w:val="18"/>
              </w:rPr>
              <w:t>Gas production, Temperature, pH</w:t>
            </w:r>
          </w:p>
        </w:tc>
        <w:tc>
          <w:tcPr>
            <w:tcW w:w="1530" w:type="dxa"/>
            <w:shd w:val="clear" w:color="auto" w:fill="auto"/>
          </w:tcPr>
          <w:p w14:paraId="599FC352" w14:textId="77777777" w:rsidR="00180523" w:rsidRPr="00CE2D5C" w:rsidRDefault="00180523" w:rsidP="00D1236D">
            <w:pPr>
              <w:tabs>
                <w:tab w:val="left" w:pos="0"/>
              </w:tabs>
              <w:spacing w:after="0" w:line="240" w:lineRule="auto"/>
              <w:rPr>
                <w:rFonts w:ascii="Times New Roman" w:hAnsi="Times New Roman" w:cs="Times New Roman"/>
                <w:i/>
                <w:iCs/>
                <w:sz w:val="18"/>
                <w:szCs w:val="18"/>
              </w:rPr>
            </w:pPr>
            <w:r w:rsidRPr="00CE2D5C">
              <w:rPr>
                <w:rFonts w:ascii="Times New Roman" w:hAnsi="Times New Roman" w:cs="Times New Roman"/>
                <w:sz w:val="18"/>
                <w:szCs w:val="18"/>
              </w:rPr>
              <w:t>Completely Randomised Design (CRD)</w:t>
            </w:r>
          </w:p>
        </w:tc>
        <w:tc>
          <w:tcPr>
            <w:tcW w:w="2880" w:type="dxa"/>
            <w:shd w:val="clear" w:color="auto" w:fill="auto"/>
          </w:tcPr>
          <w:p w14:paraId="6115165A" w14:textId="77777777" w:rsidR="00180523" w:rsidRPr="00CE2D5C" w:rsidRDefault="00180523" w:rsidP="00D1236D">
            <w:pPr>
              <w:tabs>
                <w:tab w:val="left" w:pos="0"/>
              </w:tabs>
              <w:spacing w:after="0" w:line="240" w:lineRule="auto"/>
              <w:rPr>
                <w:rFonts w:ascii="Times New Roman" w:hAnsi="Times New Roman" w:cs="Times New Roman"/>
                <w:i/>
                <w:iCs/>
                <w:sz w:val="18"/>
                <w:szCs w:val="18"/>
              </w:rPr>
            </w:pPr>
            <w:r w:rsidRPr="00CE2D5C">
              <w:rPr>
                <w:rFonts w:ascii="Times New Roman" w:hAnsi="Times New Roman" w:cs="Times New Roman"/>
                <w:sz w:val="18"/>
                <w:szCs w:val="18"/>
              </w:rPr>
              <w:t>Application of biogas on agricultural waste helps to achieve GHG emission reduction determined on the local action plan</w:t>
            </w:r>
          </w:p>
        </w:tc>
      </w:tr>
      <w:tr w:rsidR="00180523" w:rsidRPr="00CE2D5C" w14:paraId="7904270E" w14:textId="77777777" w:rsidTr="00D1236D">
        <w:tc>
          <w:tcPr>
            <w:tcW w:w="450" w:type="dxa"/>
          </w:tcPr>
          <w:p w14:paraId="525B9183" w14:textId="33CFF33C"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15</w:t>
            </w:r>
          </w:p>
        </w:tc>
        <w:tc>
          <w:tcPr>
            <w:tcW w:w="1350" w:type="dxa"/>
            <w:shd w:val="clear" w:color="auto" w:fill="auto"/>
          </w:tcPr>
          <w:p w14:paraId="1DEA4115"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Yu et al.</w:t>
            </w:r>
            <w:r w:rsidRPr="00CE2D5C">
              <w:rPr>
                <w:rFonts w:ascii="Times New Roman" w:hAnsi="Times New Roman" w:cs="Times New Roman"/>
                <w:sz w:val="18"/>
                <w:szCs w:val="18"/>
              </w:rPr>
              <w:br/>
              <w:t>(2008)</w:t>
            </w:r>
          </w:p>
        </w:tc>
        <w:tc>
          <w:tcPr>
            <w:tcW w:w="1260" w:type="dxa"/>
            <w:shd w:val="clear" w:color="auto" w:fill="auto"/>
          </w:tcPr>
          <w:p w14:paraId="3ECF8B16" w14:textId="77777777" w:rsidR="00180523" w:rsidRPr="00CE2D5C" w:rsidRDefault="00180523" w:rsidP="00D1236D">
            <w:pPr>
              <w:tabs>
                <w:tab w:val="left" w:pos="0"/>
              </w:tabs>
              <w:spacing w:after="0" w:line="240" w:lineRule="auto"/>
              <w:rPr>
                <w:rFonts w:ascii="Times New Roman" w:hAnsi="Times New Roman" w:cs="Times New Roman"/>
                <w:i/>
                <w:iCs/>
                <w:sz w:val="18"/>
                <w:szCs w:val="18"/>
              </w:rPr>
            </w:pPr>
            <w:r w:rsidRPr="00CE2D5C">
              <w:rPr>
                <w:rFonts w:ascii="Times New Roman" w:hAnsi="Times New Roman" w:cs="Times New Roman"/>
                <w:sz w:val="18"/>
                <w:szCs w:val="18"/>
              </w:rPr>
              <w:t>China</w:t>
            </w:r>
            <w:r w:rsidRPr="00CE2D5C">
              <w:rPr>
                <w:rFonts w:ascii="Times New Roman" w:hAnsi="Times New Roman" w:cs="Times New Roman"/>
                <w:sz w:val="18"/>
                <w:szCs w:val="18"/>
              </w:rPr>
              <w:br/>
              <w:t>(1991-2005)</w:t>
            </w:r>
          </w:p>
        </w:tc>
        <w:tc>
          <w:tcPr>
            <w:tcW w:w="1890" w:type="dxa"/>
            <w:shd w:val="clear" w:color="auto" w:fill="auto"/>
          </w:tcPr>
          <w:p w14:paraId="3B179745" w14:textId="77777777" w:rsidR="00180523" w:rsidRPr="00CE2D5C" w:rsidRDefault="00180523" w:rsidP="00D1236D">
            <w:pPr>
              <w:tabs>
                <w:tab w:val="left" w:pos="0"/>
              </w:tabs>
              <w:spacing w:after="0" w:line="240" w:lineRule="auto"/>
              <w:rPr>
                <w:rFonts w:ascii="Times New Roman" w:hAnsi="Times New Roman" w:cs="Times New Roman"/>
                <w:i/>
                <w:iCs/>
                <w:sz w:val="18"/>
                <w:szCs w:val="18"/>
              </w:rPr>
            </w:pPr>
            <w:r w:rsidRPr="00CE2D5C">
              <w:rPr>
                <w:rFonts w:ascii="Times New Roman" w:hAnsi="Times New Roman" w:cs="Times New Roman"/>
                <w:sz w:val="18"/>
                <w:szCs w:val="18"/>
              </w:rPr>
              <w:t>Fuels substituted by biogas for rural livelihood, GHG emission reduction by energy substitution, Emission from biogas combustion</w:t>
            </w:r>
          </w:p>
        </w:tc>
        <w:tc>
          <w:tcPr>
            <w:tcW w:w="1530" w:type="dxa"/>
            <w:shd w:val="clear" w:color="auto" w:fill="auto"/>
          </w:tcPr>
          <w:p w14:paraId="13130876" w14:textId="77777777" w:rsidR="00180523" w:rsidRPr="00CE2D5C" w:rsidRDefault="00180523" w:rsidP="00D1236D">
            <w:pPr>
              <w:tabs>
                <w:tab w:val="left" w:pos="0"/>
              </w:tabs>
              <w:spacing w:after="0" w:line="240" w:lineRule="auto"/>
              <w:rPr>
                <w:rFonts w:ascii="Times New Roman" w:hAnsi="Times New Roman" w:cs="Times New Roman"/>
                <w:i/>
                <w:iCs/>
                <w:sz w:val="18"/>
                <w:szCs w:val="18"/>
              </w:rPr>
            </w:pPr>
            <w:r w:rsidRPr="00CE2D5C">
              <w:rPr>
                <w:rFonts w:ascii="Times New Roman" w:hAnsi="Times New Roman" w:cs="Times New Roman"/>
                <w:sz w:val="18"/>
                <w:szCs w:val="18"/>
              </w:rPr>
              <w:t>Energy substitution, Emission reduction from manure management, emission from biogas combustion</w:t>
            </w:r>
          </w:p>
        </w:tc>
        <w:tc>
          <w:tcPr>
            <w:tcW w:w="2880" w:type="dxa"/>
            <w:shd w:val="clear" w:color="auto" w:fill="auto"/>
          </w:tcPr>
          <w:p w14:paraId="5C385AE7" w14:textId="77777777" w:rsidR="00180523" w:rsidRPr="00CE2D5C" w:rsidRDefault="00180523" w:rsidP="00D1236D">
            <w:pPr>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Biogas had helped </w:t>
            </w:r>
            <w:r>
              <w:rPr>
                <w:rFonts w:ascii="Times New Roman" w:hAnsi="Times New Roman" w:cs="Times New Roman"/>
                <w:sz w:val="18"/>
                <w:szCs w:val="18"/>
              </w:rPr>
              <w:t>CO2</w:t>
            </w:r>
            <w:r w:rsidRPr="00CE2D5C">
              <w:rPr>
                <w:rFonts w:ascii="Times New Roman" w:hAnsi="Times New Roman" w:cs="Times New Roman"/>
                <w:sz w:val="18"/>
                <w:szCs w:val="18"/>
              </w:rPr>
              <w:t xml:space="preserve"> reduction between 1991 to 2005</w:t>
            </w:r>
          </w:p>
        </w:tc>
      </w:tr>
      <w:tr w:rsidR="00180523" w:rsidRPr="00CE2D5C" w14:paraId="07CDD571" w14:textId="77777777" w:rsidTr="00D1236D">
        <w:tc>
          <w:tcPr>
            <w:tcW w:w="450" w:type="dxa"/>
          </w:tcPr>
          <w:p w14:paraId="2F5B4DCE" w14:textId="3A2AB67B"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16</w:t>
            </w:r>
          </w:p>
        </w:tc>
        <w:tc>
          <w:tcPr>
            <w:tcW w:w="1350" w:type="dxa"/>
            <w:shd w:val="clear" w:color="auto" w:fill="auto"/>
          </w:tcPr>
          <w:p w14:paraId="5CC4AC47" w14:textId="77777777" w:rsidR="00180523" w:rsidRPr="00CE2D5C" w:rsidRDefault="00180523" w:rsidP="00D1236D">
            <w:pPr>
              <w:tabs>
                <w:tab w:val="left" w:pos="0"/>
              </w:tabs>
              <w:spacing w:after="0" w:line="240" w:lineRule="auto"/>
              <w:rPr>
                <w:rFonts w:ascii="Times New Roman" w:hAnsi="Times New Roman" w:cs="Times New Roman"/>
                <w:i/>
                <w:iCs/>
                <w:sz w:val="18"/>
                <w:szCs w:val="18"/>
              </w:rPr>
            </w:pPr>
            <w:r w:rsidRPr="00CE2D5C">
              <w:rPr>
                <w:rFonts w:ascii="Times New Roman" w:hAnsi="Times New Roman" w:cs="Times New Roman"/>
                <w:sz w:val="18"/>
                <w:szCs w:val="18"/>
              </w:rPr>
              <w:t>Norton et al.</w:t>
            </w:r>
            <w:r w:rsidRPr="00CE2D5C">
              <w:rPr>
                <w:rFonts w:ascii="Times New Roman" w:hAnsi="Times New Roman" w:cs="Times New Roman"/>
                <w:sz w:val="18"/>
                <w:szCs w:val="18"/>
              </w:rPr>
              <w:br/>
              <w:t>(1998)</w:t>
            </w:r>
          </w:p>
        </w:tc>
        <w:tc>
          <w:tcPr>
            <w:tcW w:w="1260" w:type="dxa"/>
            <w:shd w:val="clear" w:color="auto" w:fill="auto"/>
          </w:tcPr>
          <w:p w14:paraId="001214D6"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N/A</w:t>
            </w:r>
          </w:p>
        </w:tc>
        <w:tc>
          <w:tcPr>
            <w:tcW w:w="1890" w:type="dxa"/>
            <w:shd w:val="clear" w:color="auto" w:fill="auto"/>
          </w:tcPr>
          <w:p w14:paraId="50B5FE94"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Pr>
                <w:rFonts w:ascii="Times New Roman" w:hAnsi="Times New Roman" w:cs="Times New Roman"/>
                <w:sz w:val="18"/>
                <w:szCs w:val="18"/>
              </w:rPr>
              <w:t>CO2</w:t>
            </w:r>
            <w:r w:rsidRPr="00CE2D5C">
              <w:rPr>
                <w:rFonts w:ascii="Times New Roman" w:hAnsi="Times New Roman" w:cs="Times New Roman"/>
                <w:sz w:val="18"/>
                <w:szCs w:val="18"/>
              </w:rPr>
              <w:t>, SO2, Nox</w:t>
            </w:r>
          </w:p>
        </w:tc>
        <w:tc>
          <w:tcPr>
            <w:tcW w:w="1530" w:type="dxa"/>
            <w:shd w:val="clear" w:color="auto" w:fill="auto"/>
          </w:tcPr>
          <w:p w14:paraId="70F44D61"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Greenhouse gas index, Materials and energy use for solar PV, Emission factors, </w:t>
            </w:r>
            <w:r>
              <w:rPr>
                <w:rFonts w:ascii="Times New Roman" w:hAnsi="Times New Roman" w:cs="Times New Roman"/>
                <w:sz w:val="18"/>
                <w:szCs w:val="18"/>
              </w:rPr>
              <w:t>etc.</w:t>
            </w:r>
          </w:p>
        </w:tc>
        <w:tc>
          <w:tcPr>
            <w:tcW w:w="2880" w:type="dxa"/>
            <w:shd w:val="clear" w:color="auto" w:fill="auto"/>
          </w:tcPr>
          <w:p w14:paraId="67497301"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Renewables are environmentally friendly and can help to create lower emissions on the electricity generation</w:t>
            </w:r>
          </w:p>
        </w:tc>
      </w:tr>
      <w:tr w:rsidR="00180523" w:rsidRPr="00CE2D5C" w14:paraId="288DBF6F" w14:textId="77777777" w:rsidTr="00D1236D">
        <w:tc>
          <w:tcPr>
            <w:tcW w:w="450" w:type="dxa"/>
          </w:tcPr>
          <w:p w14:paraId="7E820EFD" w14:textId="01D9B03D" w:rsidR="00180523" w:rsidRPr="00D26A76" w:rsidRDefault="00450DFA" w:rsidP="00D1236D">
            <w:pPr>
              <w:tabs>
                <w:tab w:val="left" w:pos="0"/>
              </w:tabs>
              <w:spacing w:after="0" w:line="240" w:lineRule="auto"/>
              <w:rPr>
                <w:rFonts w:ascii="Times New Roman" w:eastAsia="AdvP4DF60E" w:hAnsi="Times New Roman" w:cs="Times New Roman"/>
                <w:b/>
                <w:bCs/>
                <w:sz w:val="18"/>
                <w:szCs w:val="18"/>
              </w:rPr>
            </w:pPr>
            <w:r>
              <w:rPr>
                <w:rFonts w:ascii="Times New Roman" w:eastAsia="AdvP4DF60E" w:hAnsi="Times New Roman" w:cs="Times New Roman"/>
                <w:b/>
                <w:bCs/>
                <w:sz w:val="18"/>
                <w:szCs w:val="18"/>
              </w:rPr>
              <w:t>17</w:t>
            </w:r>
          </w:p>
        </w:tc>
        <w:tc>
          <w:tcPr>
            <w:tcW w:w="1350" w:type="dxa"/>
            <w:shd w:val="clear" w:color="auto" w:fill="auto"/>
          </w:tcPr>
          <w:p w14:paraId="5E85EFED" w14:textId="77777777" w:rsidR="00180523" w:rsidRPr="00CE2D5C" w:rsidRDefault="00180523" w:rsidP="00D1236D">
            <w:pPr>
              <w:tabs>
                <w:tab w:val="left" w:pos="0"/>
              </w:tabs>
              <w:spacing w:after="0" w:line="240" w:lineRule="auto"/>
              <w:rPr>
                <w:rFonts w:ascii="Times New Roman" w:hAnsi="Times New Roman" w:cs="Times New Roman"/>
                <w:i/>
                <w:iCs/>
                <w:sz w:val="18"/>
                <w:szCs w:val="18"/>
              </w:rPr>
            </w:pPr>
            <w:r w:rsidRPr="00CE2D5C">
              <w:rPr>
                <w:rFonts w:ascii="Times New Roman" w:hAnsi="Times New Roman" w:cs="Times New Roman"/>
                <w:sz w:val="18"/>
                <w:szCs w:val="18"/>
              </w:rPr>
              <w:t>Lenzen</w:t>
            </w:r>
            <w:r w:rsidRPr="00CE2D5C">
              <w:rPr>
                <w:rFonts w:ascii="Times New Roman" w:hAnsi="Times New Roman" w:cs="Times New Roman"/>
                <w:sz w:val="18"/>
                <w:szCs w:val="18"/>
              </w:rPr>
              <w:br/>
              <w:t>(1999)</w:t>
            </w:r>
          </w:p>
        </w:tc>
        <w:tc>
          <w:tcPr>
            <w:tcW w:w="1260" w:type="dxa"/>
            <w:shd w:val="clear" w:color="auto" w:fill="auto"/>
          </w:tcPr>
          <w:p w14:paraId="53524637"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Australia</w:t>
            </w:r>
            <w:r w:rsidRPr="00CE2D5C">
              <w:rPr>
                <w:rFonts w:ascii="Times New Roman" w:hAnsi="Times New Roman" w:cs="Times New Roman"/>
                <w:sz w:val="18"/>
                <w:szCs w:val="18"/>
              </w:rPr>
              <w:br/>
              <w:t>(1992-1993)</w:t>
            </w:r>
          </w:p>
        </w:tc>
        <w:tc>
          <w:tcPr>
            <w:tcW w:w="1890" w:type="dxa"/>
            <w:shd w:val="clear" w:color="auto" w:fill="auto"/>
          </w:tcPr>
          <w:p w14:paraId="165C9422"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Cost, Material breakdowns, Energy and greenhouse gas contents and intensities of relevant materials and commodities</w:t>
            </w:r>
          </w:p>
        </w:tc>
        <w:tc>
          <w:tcPr>
            <w:tcW w:w="1530" w:type="dxa"/>
            <w:shd w:val="clear" w:color="auto" w:fill="auto"/>
          </w:tcPr>
          <w:p w14:paraId="78ABA242"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Cost-based analyses</w:t>
            </w:r>
          </w:p>
        </w:tc>
        <w:tc>
          <w:tcPr>
            <w:tcW w:w="2880" w:type="dxa"/>
            <w:shd w:val="clear" w:color="auto" w:fill="auto"/>
          </w:tcPr>
          <w:p w14:paraId="6B7CA9DF"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Greenhouse gas costs vary based on size and capacity factor, which will increase by </w:t>
            </w:r>
            <w:proofErr w:type="gramStart"/>
            <w:r w:rsidRPr="00CE2D5C">
              <w:rPr>
                <w:rFonts w:ascii="Times New Roman" w:hAnsi="Times New Roman" w:cs="Times New Roman"/>
                <w:sz w:val="18"/>
                <w:szCs w:val="18"/>
              </w:rPr>
              <w:t>using  fossil</w:t>
            </w:r>
            <w:proofErr w:type="gramEnd"/>
            <w:r w:rsidRPr="00CE2D5C">
              <w:rPr>
                <w:rFonts w:ascii="Times New Roman" w:hAnsi="Times New Roman" w:cs="Times New Roman"/>
                <w:sz w:val="18"/>
                <w:szCs w:val="18"/>
              </w:rPr>
              <w:t>-fuelled backup</w:t>
            </w:r>
          </w:p>
        </w:tc>
      </w:tr>
      <w:tr w:rsidR="00180523" w:rsidRPr="00CE2D5C" w14:paraId="28B0AC4C" w14:textId="77777777" w:rsidTr="00D1236D">
        <w:tc>
          <w:tcPr>
            <w:tcW w:w="450" w:type="dxa"/>
          </w:tcPr>
          <w:p w14:paraId="60F5BCB2" w14:textId="654E314E"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18</w:t>
            </w:r>
          </w:p>
        </w:tc>
        <w:tc>
          <w:tcPr>
            <w:tcW w:w="1350" w:type="dxa"/>
            <w:shd w:val="clear" w:color="auto" w:fill="auto"/>
          </w:tcPr>
          <w:p w14:paraId="4E54DB6B" w14:textId="77777777" w:rsidR="00180523" w:rsidRPr="00CE2D5C" w:rsidRDefault="00180523" w:rsidP="00D1236D">
            <w:pPr>
              <w:tabs>
                <w:tab w:val="left" w:pos="0"/>
              </w:tabs>
              <w:spacing w:after="0" w:line="240" w:lineRule="auto"/>
              <w:rPr>
                <w:rFonts w:ascii="Times New Roman" w:hAnsi="Times New Roman" w:cs="Times New Roman"/>
                <w:i/>
                <w:iCs/>
                <w:sz w:val="18"/>
                <w:szCs w:val="18"/>
              </w:rPr>
            </w:pPr>
            <w:r w:rsidRPr="00CE2D5C">
              <w:rPr>
                <w:rFonts w:ascii="Times New Roman" w:hAnsi="Times New Roman" w:cs="Times New Roman"/>
                <w:sz w:val="18"/>
                <w:szCs w:val="18"/>
              </w:rPr>
              <w:t>Schnitzer et al.</w:t>
            </w:r>
            <w:r w:rsidRPr="00CE2D5C">
              <w:rPr>
                <w:rFonts w:ascii="Times New Roman" w:hAnsi="Times New Roman" w:cs="Times New Roman"/>
                <w:sz w:val="18"/>
                <w:szCs w:val="18"/>
              </w:rPr>
              <w:br/>
              <w:t>(2006)</w:t>
            </w:r>
          </w:p>
        </w:tc>
        <w:tc>
          <w:tcPr>
            <w:tcW w:w="1260" w:type="dxa"/>
            <w:shd w:val="clear" w:color="auto" w:fill="auto"/>
          </w:tcPr>
          <w:p w14:paraId="28728126"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An Austria Diary plant</w:t>
            </w:r>
          </w:p>
        </w:tc>
        <w:tc>
          <w:tcPr>
            <w:tcW w:w="1890" w:type="dxa"/>
            <w:shd w:val="clear" w:color="auto" w:fill="auto"/>
          </w:tcPr>
          <w:p w14:paraId="4BD14A26"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Consumption efficiency of second energy production, Heat integration, Heat </w:t>
            </w:r>
            <w:r w:rsidRPr="00CE2D5C">
              <w:rPr>
                <w:rFonts w:ascii="Times New Roman" w:hAnsi="Times New Roman" w:cs="Times New Roman"/>
                <w:sz w:val="18"/>
                <w:szCs w:val="18"/>
              </w:rPr>
              <w:lastRenderedPageBreak/>
              <w:t>capacities of materials and products</w:t>
            </w:r>
          </w:p>
        </w:tc>
        <w:tc>
          <w:tcPr>
            <w:tcW w:w="1530" w:type="dxa"/>
            <w:shd w:val="clear" w:color="auto" w:fill="auto"/>
          </w:tcPr>
          <w:p w14:paraId="37166840"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lastRenderedPageBreak/>
              <w:t>Sankey diagrams, Pinch analysis, Environmental cost accounting</w:t>
            </w:r>
          </w:p>
        </w:tc>
        <w:tc>
          <w:tcPr>
            <w:tcW w:w="2880" w:type="dxa"/>
            <w:shd w:val="clear" w:color="auto" w:fill="auto"/>
          </w:tcPr>
          <w:p w14:paraId="71AA2DEC"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Temperature, cooling and heating are critical when considering solar thermal usage in the industry sector as an energy source</w:t>
            </w:r>
            <w:r w:rsidRPr="00CE2D5C">
              <w:rPr>
                <w:rFonts w:ascii="Times New Roman" w:hAnsi="Times New Roman" w:cs="Times New Roman"/>
                <w:sz w:val="18"/>
                <w:szCs w:val="18"/>
              </w:rPr>
              <w:br/>
            </w:r>
            <w:r w:rsidRPr="00CE2D5C">
              <w:rPr>
                <w:rFonts w:ascii="Times New Roman" w:hAnsi="Times New Roman" w:cs="Times New Roman"/>
                <w:sz w:val="18"/>
                <w:szCs w:val="18"/>
              </w:rPr>
              <w:lastRenderedPageBreak/>
              <w:t>- Although the payback period of solar thermal energy is long, the cash flow assessment of the system should be in consideration when making an economic analysis</w:t>
            </w:r>
          </w:p>
        </w:tc>
      </w:tr>
      <w:tr w:rsidR="00180523" w:rsidRPr="00CE2D5C" w14:paraId="7946142A" w14:textId="77777777" w:rsidTr="00D1236D">
        <w:tc>
          <w:tcPr>
            <w:tcW w:w="450" w:type="dxa"/>
          </w:tcPr>
          <w:p w14:paraId="1CCEB94D" w14:textId="3D3E1D5D"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lastRenderedPageBreak/>
              <w:t>19</w:t>
            </w:r>
          </w:p>
        </w:tc>
        <w:tc>
          <w:tcPr>
            <w:tcW w:w="1350" w:type="dxa"/>
            <w:shd w:val="clear" w:color="auto" w:fill="auto"/>
          </w:tcPr>
          <w:p w14:paraId="41A782B5" w14:textId="77777777" w:rsidR="00180523" w:rsidRPr="00CE2D5C" w:rsidRDefault="00180523" w:rsidP="00D1236D">
            <w:pPr>
              <w:tabs>
                <w:tab w:val="left" w:pos="0"/>
              </w:tabs>
              <w:spacing w:after="0" w:line="240" w:lineRule="auto"/>
              <w:rPr>
                <w:rFonts w:ascii="Times New Roman" w:hAnsi="Times New Roman" w:cs="Times New Roman"/>
                <w:i/>
                <w:iCs/>
                <w:sz w:val="18"/>
                <w:szCs w:val="18"/>
              </w:rPr>
            </w:pPr>
            <w:r w:rsidRPr="00CE2D5C">
              <w:rPr>
                <w:rFonts w:ascii="Times New Roman" w:hAnsi="Times New Roman" w:cs="Times New Roman"/>
                <w:sz w:val="18"/>
                <w:szCs w:val="18"/>
              </w:rPr>
              <w:t>Al-Masri &amp; Al-Sharqi</w:t>
            </w:r>
            <w:r w:rsidRPr="00CE2D5C">
              <w:rPr>
                <w:rFonts w:ascii="Times New Roman" w:hAnsi="Times New Roman" w:cs="Times New Roman"/>
                <w:sz w:val="18"/>
                <w:szCs w:val="18"/>
              </w:rPr>
              <w:br/>
              <w:t>(2020)</w:t>
            </w:r>
          </w:p>
        </w:tc>
        <w:tc>
          <w:tcPr>
            <w:tcW w:w="1260" w:type="dxa"/>
            <w:shd w:val="clear" w:color="auto" w:fill="auto"/>
          </w:tcPr>
          <w:p w14:paraId="524E3B62"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Jordan</w:t>
            </w:r>
          </w:p>
        </w:tc>
        <w:tc>
          <w:tcPr>
            <w:tcW w:w="1890" w:type="dxa"/>
            <w:shd w:val="clear" w:color="auto" w:fill="auto"/>
          </w:tcPr>
          <w:p w14:paraId="1E491271"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PV output power, Biogas generator output, Inverter output, Cost</w:t>
            </w:r>
          </w:p>
        </w:tc>
        <w:tc>
          <w:tcPr>
            <w:tcW w:w="1530" w:type="dxa"/>
            <w:shd w:val="clear" w:color="auto" w:fill="auto"/>
          </w:tcPr>
          <w:p w14:paraId="74554BD8"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Grid-connected PV-Biogas energy system proposed</w:t>
            </w:r>
          </w:p>
        </w:tc>
        <w:tc>
          <w:tcPr>
            <w:tcW w:w="2880" w:type="dxa"/>
            <w:shd w:val="clear" w:color="auto" w:fill="auto"/>
          </w:tcPr>
          <w:p w14:paraId="074B92A9"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Based on the affordability and reliability, the grid-connected system is better than a standalone system in a compromised solution</w:t>
            </w:r>
          </w:p>
        </w:tc>
      </w:tr>
      <w:tr w:rsidR="00180523" w:rsidRPr="00CE2D5C" w14:paraId="7207AA45" w14:textId="77777777" w:rsidTr="00D1236D">
        <w:tc>
          <w:tcPr>
            <w:tcW w:w="450" w:type="dxa"/>
          </w:tcPr>
          <w:p w14:paraId="4615E5DD" w14:textId="7FFDCBA6" w:rsidR="00180523" w:rsidRPr="00D26A76" w:rsidRDefault="00180523" w:rsidP="00D1236D">
            <w:pPr>
              <w:tabs>
                <w:tab w:val="left" w:pos="0"/>
              </w:tabs>
              <w:spacing w:after="0" w:line="240" w:lineRule="auto"/>
              <w:rPr>
                <w:rFonts w:ascii="Times New Roman" w:hAnsi="Times New Roman" w:cs="Times New Roman"/>
                <w:b/>
                <w:bCs/>
                <w:sz w:val="18"/>
                <w:szCs w:val="18"/>
              </w:rPr>
            </w:pPr>
            <w:r w:rsidRPr="00D26A76">
              <w:rPr>
                <w:rFonts w:ascii="Times New Roman" w:hAnsi="Times New Roman" w:cs="Times New Roman"/>
                <w:b/>
                <w:bCs/>
                <w:sz w:val="18"/>
                <w:szCs w:val="18"/>
              </w:rPr>
              <w:t>2</w:t>
            </w:r>
            <w:r w:rsidR="00450DFA">
              <w:rPr>
                <w:rFonts w:ascii="Times New Roman" w:hAnsi="Times New Roman" w:cs="Times New Roman"/>
                <w:b/>
                <w:bCs/>
                <w:sz w:val="18"/>
                <w:szCs w:val="18"/>
              </w:rPr>
              <w:t>0</w:t>
            </w:r>
          </w:p>
        </w:tc>
        <w:tc>
          <w:tcPr>
            <w:tcW w:w="1350" w:type="dxa"/>
            <w:shd w:val="clear" w:color="auto" w:fill="auto"/>
          </w:tcPr>
          <w:p w14:paraId="5120309E" w14:textId="77777777" w:rsidR="00180523" w:rsidRPr="00CE2D5C" w:rsidRDefault="00180523" w:rsidP="00D1236D">
            <w:pPr>
              <w:tabs>
                <w:tab w:val="left" w:pos="0"/>
              </w:tabs>
              <w:spacing w:after="0" w:line="240" w:lineRule="auto"/>
              <w:rPr>
                <w:rFonts w:ascii="Times New Roman" w:hAnsi="Times New Roman" w:cs="Times New Roman"/>
                <w:i/>
                <w:iCs/>
                <w:sz w:val="18"/>
                <w:szCs w:val="18"/>
              </w:rPr>
            </w:pPr>
            <w:r w:rsidRPr="00CE2D5C">
              <w:rPr>
                <w:rFonts w:ascii="Times New Roman" w:hAnsi="Times New Roman" w:cs="Times New Roman"/>
                <w:sz w:val="18"/>
                <w:szCs w:val="18"/>
              </w:rPr>
              <w:t>Greening &amp; Azapagic</w:t>
            </w:r>
            <w:r w:rsidRPr="00CE2D5C">
              <w:rPr>
                <w:rFonts w:ascii="Times New Roman" w:hAnsi="Times New Roman" w:cs="Times New Roman"/>
                <w:sz w:val="18"/>
                <w:szCs w:val="18"/>
              </w:rPr>
              <w:br/>
              <w:t>(2014)</w:t>
            </w:r>
          </w:p>
        </w:tc>
        <w:tc>
          <w:tcPr>
            <w:tcW w:w="1260" w:type="dxa"/>
            <w:shd w:val="clear" w:color="auto" w:fill="auto"/>
          </w:tcPr>
          <w:p w14:paraId="5AF5F55D"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UK</w:t>
            </w:r>
          </w:p>
        </w:tc>
        <w:tc>
          <w:tcPr>
            <w:tcW w:w="1890" w:type="dxa"/>
            <w:shd w:val="clear" w:color="auto" w:fill="auto"/>
          </w:tcPr>
          <w:p w14:paraId="28D2D411"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Solar thermal systems specification, Transport stage, Mode of transport, Distance</w:t>
            </w:r>
          </w:p>
        </w:tc>
        <w:tc>
          <w:tcPr>
            <w:tcW w:w="1530" w:type="dxa"/>
            <w:shd w:val="clear" w:color="auto" w:fill="auto"/>
          </w:tcPr>
          <w:p w14:paraId="3B1E5D81"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Life-cycle assessment</w:t>
            </w:r>
          </w:p>
        </w:tc>
        <w:tc>
          <w:tcPr>
            <w:tcW w:w="2880" w:type="dxa"/>
            <w:shd w:val="clear" w:color="auto" w:fill="auto"/>
          </w:tcPr>
          <w:p w14:paraId="16F5E2BA"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Energy loss reduction from solar thermal systems can help to reduce adverse environmental impacts</w:t>
            </w:r>
            <w:r w:rsidRPr="00CE2D5C">
              <w:rPr>
                <w:rFonts w:ascii="Times New Roman" w:hAnsi="Times New Roman" w:cs="Times New Roman"/>
                <w:sz w:val="18"/>
                <w:szCs w:val="18"/>
              </w:rPr>
              <w:br/>
              <w:t>- Mass installation of solar thermal systems leads to a small portion of reduction; therefore, economic aspects should be examined to evaluate opportunity costs</w:t>
            </w:r>
          </w:p>
        </w:tc>
      </w:tr>
      <w:tr w:rsidR="00180523" w:rsidRPr="00CE2D5C" w14:paraId="741A5824" w14:textId="77777777" w:rsidTr="00D1236D">
        <w:tc>
          <w:tcPr>
            <w:tcW w:w="450" w:type="dxa"/>
          </w:tcPr>
          <w:p w14:paraId="2B1C1BD1" w14:textId="6A17E675" w:rsidR="00180523" w:rsidRPr="00D26A76" w:rsidRDefault="00180523" w:rsidP="00D1236D">
            <w:pPr>
              <w:tabs>
                <w:tab w:val="left" w:pos="0"/>
              </w:tabs>
              <w:spacing w:after="0" w:line="240" w:lineRule="auto"/>
              <w:rPr>
                <w:rFonts w:ascii="Times New Roman" w:hAnsi="Times New Roman" w:cs="Times New Roman"/>
                <w:b/>
                <w:bCs/>
                <w:sz w:val="18"/>
                <w:szCs w:val="18"/>
              </w:rPr>
            </w:pPr>
            <w:r w:rsidRPr="00D26A76">
              <w:rPr>
                <w:rFonts w:ascii="Times New Roman" w:hAnsi="Times New Roman" w:cs="Times New Roman"/>
                <w:b/>
                <w:bCs/>
                <w:sz w:val="18"/>
                <w:szCs w:val="18"/>
              </w:rPr>
              <w:t>2</w:t>
            </w:r>
            <w:r w:rsidR="00450DFA">
              <w:rPr>
                <w:rFonts w:ascii="Times New Roman" w:hAnsi="Times New Roman" w:cs="Times New Roman"/>
                <w:b/>
                <w:bCs/>
                <w:sz w:val="18"/>
                <w:szCs w:val="18"/>
              </w:rPr>
              <w:t>1</w:t>
            </w:r>
          </w:p>
        </w:tc>
        <w:tc>
          <w:tcPr>
            <w:tcW w:w="1350" w:type="dxa"/>
            <w:shd w:val="clear" w:color="auto" w:fill="auto"/>
          </w:tcPr>
          <w:p w14:paraId="7063F96A"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Ribberink et al.</w:t>
            </w:r>
            <w:r w:rsidRPr="00CE2D5C">
              <w:rPr>
                <w:rFonts w:ascii="Times New Roman" w:hAnsi="Times New Roman" w:cs="Times New Roman"/>
                <w:sz w:val="18"/>
                <w:szCs w:val="18"/>
              </w:rPr>
              <w:br/>
              <w:t>(2013)</w:t>
            </w:r>
          </w:p>
        </w:tc>
        <w:tc>
          <w:tcPr>
            <w:tcW w:w="1260" w:type="dxa"/>
            <w:shd w:val="clear" w:color="auto" w:fill="auto"/>
          </w:tcPr>
          <w:p w14:paraId="46644534"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Canada (Case Study)</w:t>
            </w:r>
          </w:p>
        </w:tc>
        <w:tc>
          <w:tcPr>
            <w:tcW w:w="1890" w:type="dxa"/>
            <w:shd w:val="clear" w:color="auto" w:fill="auto"/>
          </w:tcPr>
          <w:p w14:paraId="0FBFB2BC"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Numerous Simulation parameters, Climatological data</w:t>
            </w:r>
          </w:p>
        </w:tc>
        <w:tc>
          <w:tcPr>
            <w:tcW w:w="1530" w:type="dxa"/>
            <w:shd w:val="clear" w:color="auto" w:fill="auto"/>
          </w:tcPr>
          <w:p w14:paraId="48389DC7"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TRNSYS</w:t>
            </w:r>
          </w:p>
        </w:tc>
        <w:tc>
          <w:tcPr>
            <w:tcW w:w="2880" w:type="dxa"/>
            <w:shd w:val="clear" w:color="auto" w:fill="auto"/>
          </w:tcPr>
          <w:p w14:paraId="3F09C012"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There is a high potential to reduce GHG emissions by including solar collectors to a residential cogeneration </w:t>
            </w:r>
            <w:proofErr w:type="gramStart"/>
            <w:r w:rsidRPr="00CE2D5C">
              <w:rPr>
                <w:rFonts w:ascii="Times New Roman" w:hAnsi="Times New Roman" w:cs="Times New Roman"/>
                <w:sz w:val="18"/>
                <w:szCs w:val="18"/>
              </w:rPr>
              <w:t>systems</w:t>
            </w:r>
            <w:proofErr w:type="gramEnd"/>
          </w:p>
        </w:tc>
      </w:tr>
      <w:tr w:rsidR="00180523" w:rsidRPr="00CE2D5C" w14:paraId="6A667AF6" w14:textId="77777777" w:rsidTr="00D1236D">
        <w:tc>
          <w:tcPr>
            <w:tcW w:w="450" w:type="dxa"/>
          </w:tcPr>
          <w:p w14:paraId="690F0294" w14:textId="5C6E4C6C"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22</w:t>
            </w:r>
          </w:p>
        </w:tc>
        <w:tc>
          <w:tcPr>
            <w:tcW w:w="1350" w:type="dxa"/>
            <w:shd w:val="clear" w:color="auto" w:fill="auto"/>
          </w:tcPr>
          <w:p w14:paraId="7FE2D169"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Zhang et al</w:t>
            </w:r>
            <w:r w:rsidRPr="00CE2D5C">
              <w:rPr>
                <w:rFonts w:ascii="Times New Roman" w:hAnsi="Times New Roman" w:cs="Times New Roman"/>
                <w:sz w:val="18"/>
                <w:szCs w:val="18"/>
              </w:rPr>
              <w:br/>
              <w:t>(2012)</w:t>
            </w:r>
          </w:p>
        </w:tc>
        <w:tc>
          <w:tcPr>
            <w:tcW w:w="1260" w:type="dxa"/>
            <w:shd w:val="clear" w:color="auto" w:fill="auto"/>
          </w:tcPr>
          <w:p w14:paraId="3B88ADB1"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China (Guizhou Province)</w:t>
            </w:r>
            <w:r w:rsidRPr="00CE2D5C">
              <w:rPr>
                <w:rFonts w:ascii="Times New Roman" w:hAnsi="Times New Roman" w:cs="Times New Roman"/>
                <w:sz w:val="18"/>
                <w:szCs w:val="18"/>
              </w:rPr>
              <w:br/>
              <w:t>(2010-2011)</w:t>
            </w:r>
          </w:p>
        </w:tc>
        <w:tc>
          <w:tcPr>
            <w:tcW w:w="1890" w:type="dxa"/>
            <w:shd w:val="clear" w:color="auto" w:fill="auto"/>
          </w:tcPr>
          <w:p w14:paraId="057C4595"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Direct &amp; Indirect emissions by; Construction, Operation, Demolition, Alternative energy, Alternative fertiliser and Net Emissions</w:t>
            </w:r>
          </w:p>
        </w:tc>
        <w:tc>
          <w:tcPr>
            <w:tcW w:w="1530" w:type="dxa"/>
            <w:shd w:val="clear" w:color="auto" w:fill="auto"/>
          </w:tcPr>
          <w:p w14:paraId="0B861649"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Hybrid LCA model</w:t>
            </w:r>
          </w:p>
        </w:tc>
        <w:tc>
          <w:tcPr>
            <w:tcW w:w="2880" w:type="dxa"/>
            <w:shd w:val="clear" w:color="auto" w:fill="auto"/>
          </w:tcPr>
          <w:p w14:paraId="3211A7FE"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To be able to achieve stable running of household biogas system, </w:t>
            </w:r>
            <w:r>
              <w:rPr>
                <w:rFonts w:ascii="Times New Roman" w:hAnsi="Times New Roman" w:cs="Times New Roman"/>
                <w:sz w:val="18"/>
                <w:szCs w:val="18"/>
              </w:rPr>
              <w:t>CO2</w:t>
            </w:r>
            <w:r w:rsidRPr="00CE2D5C">
              <w:rPr>
                <w:rFonts w:ascii="Times New Roman" w:hAnsi="Times New Roman" w:cs="Times New Roman"/>
                <w:sz w:val="18"/>
                <w:szCs w:val="18"/>
              </w:rPr>
              <w:t xml:space="preserve"> emission reduction potential should be taken into account, and the return on investment for the rural households was 1.78 years to achieve net carbon emission benefit</w:t>
            </w:r>
          </w:p>
        </w:tc>
      </w:tr>
      <w:tr w:rsidR="00180523" w:rsidRPr="00CE2D5C" w14:paraId="1B7F9DA0" w14:textId="77777777" w:rsidTr="00D1236D">
        <w:tc>
          <w:tcPr>
            <w:tcW w:w="450" w:type="dxa"/>
          </w:tcPr>
          <w:p w14:paraId="78881857" w14:textId="4EA4D74D"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23</w:t>
            </w:r>
          </w:p>
        </w:tc>
        <w:tc>
          <w:tcPr>
            <w:tcW w:w="1350" w:type="dxa"/>
            <w:shd w:val="clear" w:color="auto" w:fill="auto"/>
          </w:tcPr>
          <w:p w14:paraId="181AADCE"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Zhang et al</w:t>
            </w:r>
            <w:r w:rsidRPr="00CE2D5C">
              <w:rPr>
                <w:rFonts w:ascii="Times New Roman" w:hAnsi="Times New Roman" w:cs="Times New Roman"/>
                <w:sz w:val="18"/>
                <w:szCs w:val="18"/>
              </w:rPr>
              <w:br/>
              <w:t>(2022)</w:t>
            </w:r>
          </w:p>
        </w:tc>
        <w:tc>
          <w:tcPr>
            <w:tcW w:w="1260" w:type="dxa"/>
            <w:shd w:val="clear" w:color="auto" w:fill="auto"/>
          </w:tcPr>
          <w:p w14:paraId="528A7666"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209 biogas users and 489 non-biogas users from 19 villages in three provinces </w:t>
            </w:r>
            <w:r w:rsidRPr="00CE2D5C">
              <w:rPr>
                <w:rFonts w:ascii="Times New Roman" w:hAnsi="Times New Roman" w:cs="Times New Roman"/>
                <w:sz w:val="18"/>
                <w:szCs w:val="18"/>
              </w:rPr>
              <w:br/>
              <w:t>(2015)</w:t>
            </w:r>
          </w:p>
        </w:tc>
        <w:tc>
          <w:tcPr>
            <w:tcW w:w="1890" w:type="dxa"/>
            <w:shd w:val="clear" w:color="auto" w:fill="auto"/>
          </w:tcPr>
          <w:p w14:paraId="24ED1A99"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Household behaviour, Energy resources access, Acceptance of biogas access, Policy enforcement,</w:t>
            </w:r>
            <w:r>
              <w:rPr>
                <w:rFonts w:ascii="Times New Roman" w:hAnsi="Times New Roman" w:cs="Times New Roman"/>
                <w:sz w:val="18"/>
                <w:szCs w:val="18"/>
              </w:rPr>
              <w:t xml:space="preserve"> etc.</w:t>
            </w:r>
          </w:p>
        </w:tc>
        <w:tc>
          <w:tcPr>
            <w:tcW w:w="1530" w:type="dxa"/>
            <w:shd w:val="clear" w:color="auto" w:fill="auto"/>
          </w:tcPr>
          <w:p w14:paraId="37221681"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LMDI method</w:t>
            </w:r>
          </w:p>
        </w:tc>
        <w:tc>
          <w:tcPr>
            <w:tcW w:w="2880" w:type="dxa"/>
            <w:shd w:val="clear" w:color="auto" w:fill="auto"/>
          </w:tcPr>
          <w:p w14:paraId="31C6322C"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For households, acceptance of biogas technology influences the reduction effect, and government subsidies significantly influence cost effect does not affect the reduction</w:t>
            </w:r>
          </w:p>
        </w:tc>
      </w:tr>
      <w:tr w:rsidR="00180523" w:rsidRPr="00CE2D5C" w14:paraId="3A7648DF" w14:textId="77777777" w:rsidTr="00D1236D">
        <w:tc>
          <w:tcPr>
            <w:tcW w:w="450" w:type="dxa"/>
          </w:tcPr>
          <w:p w14:paraId="09CEBC39" w14:textId="17DC09FB"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24</w:t>
            </w:r>
          </w:p>
        </w:tc>
        <w:tc>
          <w:tcPr>
            <w:tcW w:w="1350" w:type="dxa"/>
            <w:shd w:val="clear" w:color="auto" w:fill="auto"/>
          </w:tcPr>
          <w:p w14:paraId="5B1799EB"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Fahmy et al.</w:t>
            </w:r>
            <w:r w:rsidRPr="00CE2D5C">
              <w:rPr>
                <w:rFonts w:ascii="Times New Roman" w:hAnsi="Times New Roman" w:cs="Times New Roman"/>
                <w:sz w:val="18"/>
                <w:szCs w:val="18"/>
              </w:rPr>
              <w:br/>
              <w:t>(2017)</w:t>
            </w:r>
          </w:p>
        </w:tc>
        <w:tc>
          <w:tcPr>
            <w:tcW w:w="1260" w:type="dxa"/>
            <w:shd w:val="clear" w:color="auto" w:fill="auto"/>
          </w:tcPr>
          <w:p w14:paraId="3378A397"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Egypt</w:t>
            </w:r>
            <w:r w:rsidRPr="00CE2D5C">
              <w:rPr>
                <w:rFonts w:ascii="Times New Roman" w:hAnsi="Times New Roman" w:cs="Times New Roman"/>
                <w:sz w:val="18"/>
                <w:szCs w:val="18"/>
              </w:rPr>
              <w:br/>
              <w:t>(2002)</w:t>
            </w:r>
          </w:p>
        </w:tc>
        <w:tc>
          <w:tcPr>
            <w:tcW w:w="1890" w:type="dxa"/>
            <w:shd w:val="clear" w:color="auto" w:fill="auto"/>
          </w:tcPr>
          <w:p w14:paraId="36289BD1"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External Walls, Glass Type, Energy-Plus weather (EPW), A summary report of weather data, An ASHRAE Design Conditions Design Day</w:t>
            </w:r>
          </w:p>
        </w:tc>
        <w:tc>
          <w:tcPr>
            <w:tcW w:w="1530" w:type="dxa"/>
            <w:shd w:val="clear" w:color="auto" w:fill="auto"/>
          </w:tcPr>
          <w:p w14:paraId="4EEE7119"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Morphing methodology</w:t>
            </w:r>
          </w:p>
        </w:tc>
        <w:tc>
          <w:tcPr>
            <w:tcW w:w="2880" w:type="dxa"/>
            <w:shd w:val="clear" w:color="auto" w:fill="auto"/>
          </w:tcPr>
          <w:p w14:paraId="2C75B38F"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The increase in annual consumption and cost has been reduced after the implementation of renewable energy supplied through the 2 m3 domestic biogas reactors, as well as the remarkable reductions in the annual </w:t>
            </w:r>
            <w:r>
              <w:rPr>
                <w:rFonts w:ascii="Times New Roman" w:hAnsi="Times New Roman" w:cs="Times New Roman"/>
                <w:sz w:val="18"/>
                <w:szCs w:val="18"/>
              </w:rPr>
              <w:t>CO2</w:t>
            </w:r>
            <w:r w:rsidRPr="00CE2D5C">
              <w:rPr>
                <w:rFonts w:ascii="Times New Roman" w:hAnsi="Times New Roman" w:cs="Times New Roman"/>
                <w:sz w:val="18"/>
                <w:szCs w:val="18"/>
              </w:rPr>
              <w:t xml:space="preserve"> emissions</w:t>
            </w:r>
          </w:p>
        </w:tc>
      </w:tr>
      <w:tr w:rsidR="00180523" w:rsidRPr="00CE2D5C" w14:paraId="3D1E9D0D" w14:textId="77777777" w:rsidTr="00D1236D">
        <w:tc>
          <w:tcPr>
            <w:tcW w:w="450" w:type="dxa"/>
          </w:tcPr>
          <w:p w14:paraId="66D65745" w14:textId="1A807D06"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25</w:t>
            </w:r>
          </w:p>
        </w:tc>
        <w:tc>
          <w:tcPr>
            <w:tcW w:w="1350" w:type="dxa"/>
            <w:shd w:val="clear" w:color="auto" w:fill="auto"/>
          </w:tcPr>
          <w:p w14:paraId="47DEDE1D"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Budzianowski et al.</w:t>
            </w:r>
            <w:r w:rsidRPr="00CE2D5C">
              <w:rPr>
                <w:rFonts w:ascii="Times New Roman" w:hAnsi="Times New Roman" w:cs="Times New Roman"/>
                <w:sz w:val="18"/>
                <w:szCs w:val="18"/>
              </w:rPr>
              <w:br/>
              <w:t>(2016)</w:t>
            </w:r>
          </w:p>
        </w:tc>
        <w:tc>
          <w:tcPr>
            <w:tcW w:w="1260" w:type="dxa"/>
            <w:shd w:val="clear" w:color="auto" w:fill="auto"/>
          </w:tcPr>
          <w:p w14:paraId="4BFBD587"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N/A</w:t>
            </w:r>
          </w:p>
        </w:tc>
        <w:tc>
          <w:tcPr>
            <w:tcW w:w="1890" w:type="dxa"/>
            <w:shd w:val="clear" w:color="auto" w:fill="auto"/>
          </w:tcPr>
          <w:p w14:paraId="173B7177"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AD of organic matter with increased CH4/</w:t>
            </w:r>
            <w:r>
              <w:rPr>
                <w:rFonts w:ascii="Times New Roman" w:hAnsi="Times New Roman" w:cs="Times New Roman"/>
                <w:sz w:val="18"/>
                <w:szCs w:val="18"/>
              </w:rPr>
              <w:t>CO2</w:t>
            </w:r>
            <w:r w:rsidRPr="00CE2D5C">
              <w:rPr>
                <w:rFonts w:ascii="Times New Roman" w:hAnsi="Times New Roman" w:cs="Times New Roman"/>
                <w:sz w:val="18"/>
                <w:szCs w:val="18"/>
              </w:rPr>
              <w:t xml:space="preserve"> selectivity, Biological H2 generation from organic matter, AD with biogenic </w:t>
            </w:r>
            <w:r>
              <w:rPr>
                <w:rFonts w:ascii="Times New Roman" w:hAnsi="Times New Roman" w:cs="Times New Roman"/>
                <w:sz w:val="18"/>
                <w:szCs w:val="18"/>
              </w:rPr>
              <w:t>CO2</w:t>
            </w:r>
            <w:r w:rsidRPr="00CE2D5C">
              <w:rPr>
                <w:rFonts w:ascii="Times New Roman" w:hAnsi="Times New Roman" w:cs="Times New Roman"/>
                <w:sz w:val="18"/>
                <w:szCs w:val="18"/>
              </w:rPr>
              <w:t xml:space="preserve"> recycling, Biogas utilisation with facilitated </w:t>
            </w:r>
            <w:r>
              <w:rPr>
                <w:rFonts w:ascii="Times New Roman" w:hAnsi="Times New Roman" w:cs="Times New Roman"/>
                <w:sz w:val="18"/>
                <w:szCs w:val="18"/>
              </w:rPr>
              <w:t>CO2</w:t>
            </w:r>
            <w:r w:rsidRPr="00CE2D5C">
              <w:rPr>
                <w:rFonts w:ascii="Times New Roman" w:hAnsi="Times New Roman" w:cs="Times New Roman"/>
                <w:sz w:val="18"/>
                <w:szCs w:val="18"/>
              </w:rPr>
              <w:t xml:space="preserve"> sequestration, Low-carbon biofuels from biogas. </w:t>
            </w:r>
          </w:p>
        </w:tc>
        <w:tc>
          <w:tcPr>
            <w:tcW w:w="1530" w:type="dxa"/>
            <w:shd w:val="clear" w:color="auto" w:fill="auto"/>
          </w:tcPr>
          <w:p w14:paraId="5E7C9867"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Comparative evaluation of variables without statistical model</w:t>
            </w:r>
          </w:p>
        </w:tc>
        <w:tc>
          <w:tcPr>
            <w:tcW w:w="2880" w:type="dxa"/>
            <w:shd w:val="clear" w:color="auto" w:fill="auto"/>
          </w:tcPr>
          <w:p w14:paraId="6CEF8DC5"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Biogas technology involvement can help to achieve; carbon neutral or even carbon negative energy systems, </w:t>
            </w:r>
            <w:proofErr w:type="gramStart"/>
            <w:r w:rsidRPr="00CE2D5C">
              <w:rPr>
                <w:rFonts w:ascii="Times New Roman" w:hAnsi="Times New Roman" w:cs="Times New Roman"/>
                <w:sz w:val="18"/>
                <w:szCs w:val="18"/>
              </w:rPr>
              <w:t>sustainability  transport</w:t>
            </w:r>
            <w:proofErr w:type="gramEnd"/>
            <w:r w:rsidRPr="00CE2D5C">
              <w:rPr>
                <w:rFonts w:ascii="Times New Roman" w:hAnsi="Times New Roman" w:cs="Times New Roman"/>
                <w:sz w:val="18"/>
                <w:szCs w:val="18"/>
              </w:rPr>
              <w:t>, development of bio-based economy, circular economy,  low-carbon energy schemes, lower the emissions of emission-intensive industries</w:t>
            </w:r>
          </w:p>
        </w:tc>
      </w:tr>
      <w:tr w:rsidR="00180523" w:rsidRPr="00CE2D5C" w14:paraId="535E4745" w14:textId="77777777" w:rsidTr="00D1236D">
        <w:tc>
          <w:tcPr>
            <w:tcW w:w="450" w:type="dxa"/>
          </w:tcPr>
          <w:p w14:paraId="5A7BD782" w14:textId="276722E0"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26</w:t>
            </w:r>
          </w:p>
        </w:tc>
        <w:tc>
          <w:tcPr>
            <w:tcW w:w="1350" w:type="dxa"/>
            <w:shd w:val="clear" w:color="auto" w:fill="auto"/>
          </w:tcPr>
          <w:p w14:paraId="5C07839F"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Coban et al.</w:t>
            </w:r>
            <w:r w:rsidRPr="00CE2D5C">
              <w:rPr>
                <w:rFonts w:ascii="Times New Roman" w:hAnsi="Times New Roman" w:cs="Times New Roman"/>
                <w:sz w:val="18"/>
                <w:szCs w:val="18"/>
              </w:rPr>
              <w:br/>
              <w:t>(2015)</w:t>
            </w:r>
          </w:p>
        </w:tc>
        <w:tc>
          <w:tcPr>
            <w:tcW w:w="1260" w:type="dxa"/>
            <w:shd w:val="clear" w:color="auto" w:fill="auto"/>
          </w:tcPr>
          <w:p w14:paraId="27514C18"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N/A</w:t>
            </w:r>
          </w:p>
        </w:tc>
        <w:tc>
          <w:tcPr>
            <w:tcW w:w="1890" w:type="dxa"/>
            <w:shd w:val="clear" w:color="auto" w:fill="auto"/>
          </w:tcPr>
          <w:p w14:paraId="74E10CAF"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Isotopically labelled KHCO3, </w:t>
            </w:r>
            <w:proofErr w:type="gramStart"/>
            <w:r w:rsidRPr="00CE2D5C">
              <w:rPr>
                <w:rFonts w:ascii="Times New Roman" w:hAnsi="Times New Roman" w:cs="Times New Roman"/>
                <w:sz w:val="18"/>
                <w:szCs w:val="18"/>
              </w:rPr>
              <w:t>Inoculum,  Cow</w:t>
            </w:r>
            <w:proofErr w:type="gramEnd"/>
            <w:r w:rsidRPr="00CE2D5C">
              <w:rPr>
                <w:rFonts w:ascii="Times New Roman" w:hAnsi="Times New Roman" w:cs="Times New Roman"/>
                <w:sz w:val="18"/>
                <w:szCs w:val="18"/>
              </w:rPr>
              <w:t xml:space="preserve"> mature, Soil, </w:t>
            </w:r>
          </w:p>
        </w:tc>
        <w:tc>
          <w:tcPr>
            <w:tcW w:w="1530" w:type="dxa"/>
            <w:shd w:val="clear" w:color="auto" w:fill="auto"/>
          </w:tcPr>
          <w:p w14:paraId="78B078DA"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Isotope labelling </w:t>
            </w:r>
            <w:proofErr w:type="gramStart"/>
            <w:r w:rsidRPr="00CE2D5C">
              <w:rPr>
                <w:rFonts w:ascii="Times New Roman" w:hAnsi="Times New Roman" w:cs="Times New Roman"/>
                <w:sz w:val="18"/>
                <w:szCs w:val="18"/>
              </w:rPr>
              <w:t>approach(</w:t>
            </w:r>
            <w:proofErr w:type="gramEnd"/>
            <w:r w:rsidRPr="00CE2D5C">
              <w:rPr>
                <w:rFonts w:ascii="Times New Roman" w:hAnsi="Times New Roman" w:cs="Times New Roman"/>
                <w:sz w:val="18"/>
                <w:szCs w:val="18"/>
              </w:rPr>
              <w:t>Experiment)</w:t>
            </w:r>
          </w:p>
        </w:tc>
        <w:tc>
          <w:tcPr>
            <w:tcW w:w="2880" w:type="dxa"/>
            <w:shd w:val="clear" w:color="auto" w:fill="auto"/>
          </w:tcPr>
          <w:p w14:paraId="251936F6"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Half of the biogas residues can be degradable</w:t>
            </w:r>
          </w:p>
        </w:tc>
      </w:tr>
      <w:tr w:rsidR="00180523" w:rsidRPr="00CE2D5C" w14:paraId="4FF3EC5A" w14:textId="77777777" w:rsidTr="00D1236D">
        <w:tc>
          <w:tcPr>
            <w:tcW w:w="450" w:type="dxa"/>
          </w:tcPr>
          <w:p w14:paraId="62E0FBFB" w14:textId="65426D31"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lastRenderedPageBreak/>
              <w:t>27</w:t>
            </w:r>
          </w:p>
        </w:tc>
        <w:tc>
          <w:tcPr>
            <w:tcW w:w="1350" w:type="dxa"/>
            <w:shd w:val="clear" w:color="auto" w:fill="auto"/>
          </w:tcPr>
          <w:p w14:paraId="6C2FA4D2"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Budzianowski</w:t>
            </w:r>
            <w:r w:rsidRPr="00CE2D5C">
              <w:rPr>
                <w:rFonts w:ascii="Times New Roman" w:hAnsi="Times New Roman" w:cs="Times New Roman"/>
                <w:sz w:val="18"/>
                <w:szCs w:val="18"/>
              </w:rPr>
              <w:br/>
              <w:t>(2011)</w:t>
            </w:r>
          </w:p>
        </w:tc>
        <w:tc>
          <w:tcPr>
            <w:tcW w:w="1260" w:type="dxa"/>
            <w:shd w:val="clear" w:color="auto" w:fill="auto"/>
          </w:tcPr>
          <w:p w14:paraId="7AD307EB"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Poland</w:t>
            </w:r>
            <w:r w:rsidRPr="00CE2D5C">
              <w:rPr>
                <w:rFonts w:ascii="Times New Roman" w:hAnsi="Times New Roman" w:cs="Times New Roman"/>
                <w:sz w:val="18"/>
                <w:szCs w:val="18"/>
              </w:rPr>
              <w:br/>
              <w:t>(2010)</w:t>
            </w:r>
          </w:p>
        </w:tc>
        <w:tc>
          <w:tcPr>
            <w:tcW w:w="1890" w:type="dxa"/>
            <w:shd w:val="clear" w:color="auto" w:fill="auto"/>
          </w:tcPr>
          <w:p w14:paraId="0CE3B77D"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Pr>
                <w:rFonts w:ascii="Times New Roman" w:hAnsi="Times New Roman" w:cs="Times New Roman"/>
                <w:sz w:val="18"/>
                <w:szCs w:val="18"/>
              </w:rPr>
              <w:t>CO2</w:t>
            </w:r>
            <w:r w:rsidRPr="00CE2D5C">
              <w:rPr>
                <w:rFonts w:ascii="Times New Roman" w:hAnsi="Times New Roman" w:cs="Times New Roman"/>
                <w:sz w:val="18"/>
                <w:szCs w:val="18"/>
              </w:rPr>
              <w:t xml:space="preserve"> generation intensity, electricity production</w:t>
            </w:r>
            <w:r w:rsidRPr="00CE2D5C">
              <w:rPr>
                <w:rFonts w:ascii="Times New Roman" w:hAnsi="Times New Roman" w:cs="Times New Roman"/>
                <w:sz w:val="18"/>
                <w:szCs w:val="18"/>
              </w:rPr>
              <w:br/>
              <w:t>capacity, cost of electricity, perspectives for near-term deployment in Poland, Risks</w:t>
            </w:r>
          </w:p>
        </w:tc>
        <w:tc>
          <w:tcPr>
            <w:tcW w:w="1530" w:type="dxa"/>
            <w:shd w:val="clear" w:color="auto" w:fill="auto"/>
          </w:tcPr>
          <w:p w14:paraId="1702E64B"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Criteria-based evaluation</w:t>
            </w:r>
          </w:p>
        </w:tc>
        <w:tc>
          <w:tcPr>
            <w:tcW w:w="2880" w:type="dxa"/>
            <w:shd w:val="clear" w:color="auto" w:fill="auto"/>
          </w:tcPr>
          <w:p w14:paraId="65498158"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The significant level of biogas production can help to solve CCS, and applying CCS into electricity production from biogas can result in negative net </w:t>
            </w:r>
            <w:r>
              <w:rPr>
                <w:rFonts w:ascii="Times New Roman" w:hAnsi="Times New Roman" w:cs="Times New Roman"/>
                <w:sz w:val="18"/>
                <w:szCs w:val="18"/>
              </w:rPr>
              <w:t>CO2</w:t>
            </w:r>
            <w:r w:rsidRPr="00CE2D5C">
              <w:rPr>
                <w:rFonts w:ascii="Times New Roman" w:hAnsi="Times New Roman" w:cs="Times New Roman"/>
                <w:sz w:val="18"/>
                <w:szCs w:val="18"/>
              </w:rPr>
              <w:t xml:space="preserve"> emissions, which will help to offset the </w:t>
            </w:r>
            <w:r>
              <w:rPr>
                <w:rFonts w:ascii="Times New Roman" w:hAnsi="Times New Roman" w:cs="Times New Roman"/>
                <w:sz w:val="18"/>
                <w:szCs w:val="18"/>
              </w:rPr>
              <w:t xml:space="preserve">adverse effects </w:t>
            </w:r>
            <w:r w:rsidRPr="00CE2D5C">
              <w:rPr>
                <w:rFonts w:ascii="Times New Roman" w:hAnsi="Times New Roman" w:cs="Times New Roman"/>
                <w:sz w:val="18"/>
                <w:szCs w:val="18"/>
              </w:rPr>
              <w:t>of the emissions</w:t>
            </w:r>
          </w:p>
        </w:tc>
      </w:tr>
      <w:tr w:rsidR="00180523" w:rsidRPr="00CE2D5C" w14:paraId="6E33F9B2" w14:textId="77777777" w:rsidTr="00D1236D">
        <w:tc>
          <w:tcPr>
            <w:tcW w:w="450" w:type="dxa"/>
          </w:tcPr>
          <w:p w14:paraId="5BBF1B4D" w14:textId="3368865F"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28</w:t>
            </w:r>
          </w:p>
        </w:tc>
        <w:tc>
          <w:tcPr>
            <w:tcW w:w="1350" w:type="dxa"/>
            <w:shd w:val="clear" w:color="auto" w:fill="auto"/>
          </w:tcPr>
          <w:p w14:paraId="4D87344F"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Zhang et al.</w:t>
            </w:r>
            <w:r w:rsidRPr="00CE2D5C">
              <w:rPr>
                <w:rFonts w:ascii="Times New Roman" w:hAnsi="Times New Roman" w:cs="Times New Roman"/>
                <w:sz w:val="18"/>
                <w:szCs w:val="18"/>
              </w:rPr>
              <w:br/>
              <w:t>(2007)</w:t>
            </w:r>
          </w:p>
        </w:tc>
        <w:tc>
          <w:tcPr>
            <w:tcW w:w="1260" w:type="dxa"/>
            <w:shd w:val="clear" w:color="auto" w:fill="auto"/>
          </w:tcPr>
          <w:p w14:paraId="56EEA4A6"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China</w:t>
            </w:r>
            <w:r w:rsidRPr="00CE2D5C">
              <w:rPr>
                <w:rFonts w:ascii="Times New Roman" w:hAnsi="Times New Roman" w:cs="Times New Roman"/>
                <w:sz w:val="18"/>
                <w:szCs w:val="18"/>
              </w:rPr>
              <w:br/>
              <w:t>(1996-2003)</w:t>
            </w:r>
          </w:p>
        </w:tc>
        <w:tc>
          <w:tcPr>
            <w:tcW w:w="1890" w:type="dxa"/>
            <w:shd w:val="clear" w:color="auto" w:fill="auto"/>
          </w:tcPr>
          <w:p w14:paraId="1C2F4801"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Emission quantities of </w:t>
            </w:r>
            <w:r>
              <w:rPr>
                <w:rFonts w:ascii="Times New Roman" w:hAnsi="Times New Roman" w:cs="Times New Roman"/>
                <w:sz w:val="18"/>
                <w:szCs w:val="18"/>
              </w:rPr>
              <w:t>CO2</w:t>
            </w:r>
            <w:r w:rsidRPr="00CE2D5C">
              <w:rPr>
                <w:rFonts w:ascii="Times New Roman" w:hAnsi="Times New Roman" w:cs="Times New Roman"/>
                <w:sz w:val="18"/>
                <w:szCs w:val="18"/>
              </w:rPr>
              <w:t xml:space="preserve"> and So2 of; Straw, Firewood, Coal, Refined Oil, Biogas</w:t>
            </w:r>
          </w:p>
        </w:tc>
        <w:tc>
          <w:tcPr>
            <w:tcW w:w="1530" w:type="dxa"/>
            <w:shd w:val="clear" w:color="auto" w:fill="auto"/>
          </w:tcPr>
          <w:p w14:paraId="5CE9FDB7"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Difference between emissions</w:t>
            </w:r>
          </w:p>
        </w:tc>
        <w:tc>
          <w:tcPr>
            <w:tcW w:w="2880" w:type="dxa"/>
            <w:shd w:val="clear" w:color="auto" w:fill="auto"/>
          </w:tcPr>
          <w:p w14:paraId="17B74DE5"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 Substitution of biomass energy and coal by biogas can reduce the </w:t>
            </w:r>
            <w:r>
              <w:rPr>
                <w:rFonts w:ascii="Times New Roman" w:hAnsi="Times New Roman" w:cs="Times New Roman"/>
                <w:sz w:val="18"/>
                <w:szCs w:val="18"/>
              </w:rPr>
              <w:t>CO2</w:t>
            </w:r>
            <w:r w:rsidRPr="00CE2D5C">
              <w:rPr>
                <w:rFonts w:ascii="Times New Roman" w:hAnsi="Times New Roman" w:cs="Times New Roman"/>
                <w:sz w:val="18"/>
                <w:szCs w:val="18"/>
              </w:rPr>
              <w:t xml:space="preserve"> emissions by a significant amount and can bring great benefits to the environment</w:t>
            </w:r>
          </w:p>
        </w:tc>
      </w:tr>
      <w:tr w:rsidR="00180523" w:rsidRPr="00CE2D5C" w14:paraId="6623377D" w14:textId="77777777" w:rsidTr="00D1236D">
        <w:tc>
          <w:tcPr>
            <w:tcW w:w="450" w:type="dxa"/>
          </w:tcPr>
          <w:p w14:paraId="5AFF01A5" w14:textId="3F7F767C"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29</w:t>
            </w:r>
          </w:p>
        </w:tc>
        <w:tc>
          <w:tcPr>
            <w:tcW w:w="1350" w:type="dxa"/>
            <w:shd w:val="clear" w:color="auto" w:fill="auto"/>
          </w:tcPr>
          <w:p w14:paraId="03EF0B02"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Kirikkaleli</w:t>
            </w:r>
            <w:r w:rsidRPr="00CE2D5C">
              <w:rPr>
                <w:rFonts w:ascii="Times New Roman" w:hAnsi="Times New Roman" w:cs="Times New Roman"/>
                <w:sz w:val="18"/>
                <w:szCs w:val="18"/>
              </w:rPr>
              <w:br/>
              <w:t>(2021)</w:t>
            </w:r>
          </w:p>
        </w:tc>
        <w:tc>
          <w:tcPr>
            <w:tcW w:w="1260" w:type="dxa"/>
            <w:shd w:val="clear" w:color="auto" w:fill="auto"/>
          </w:tcPr>
          <w:p w14:paraId="04860D11"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Italy</w:t>
            </w:r>
          </w:p>
        </w:tc>
        <w:tc>
          <w:tcPr>
            <w:tcW w:w="1890" w:type="dxa"/>
            <w:shd w:val="clear" w:color="auto" w:fill="auto"/>
          </w:tcPr>
          <w:p w14:paraId="25B007A4"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Asymmetric influence of trade, renewable energy, and economic growth on consumption-based </w:t>
            </w:r>
            <w:r>
              <w:rPr>
                <w:rFonts w:ascii="Times New Roman" w:hAnsi="Times New Roman" w:cs="Times New Roman"/>
                <w:sz w:val="18"/>
                <w:szCs w:val="18"/>
              </w:rPr>
              <w:t>CO2</w:t>
            </w:r>
            <w:r w:rsidRPr="00CE2D5C">
              <w:rPr>
                <w:rFonts w:ascii="Times New Roman" w:hAnsi="Times New Roman" w:cs="Times New Roman"/>
                <w:sz w:val="18"/>
                <w:szCs w:val="18"/>
              </w:rPr>
              <w:t xml:space="preserve"> emissions</w:t>
            </w:r>
          </w:p>
        </w:tc>
        <w:tc>
          <w:tcPr>
            <w:tcW w:w="1530" w:type="dxa"/>
            <w:shd w:val="clear" w:color="auto" w:fill="auto"/>
          </w:tcPr>
          <w:p w14:paraId="6D21D679"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Cointegration, Markov regression, Nonlinear ARDL(NARDL), Frequency domain causality</w:t>
            </w:r>
          </w:p>
        </w:tc>
        <w:tc>
          <w:tcPr>
            <w:tcW w:w="2880" w:type="dxa"/>
            <w:shd w:val="clear" w:color="auto" w:fill="auto"/>
          </w:tcPr>
          <w:p w14:paraId="462DCD21"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Renewable energy consumption helps Italy to reduce consumption-based </w:t>
            </w:r>
            <w:r>
              <w:rPr>
                <w:rFonts w:ascii="Times New Roman" w:hAnsi="Times New Roman" w:cs="Times New Roman"/>
                <w:sz w:val="18"/>
                <w:szCs w:val="18"/>
              </w:rPr>
              <w:t>CO2</w:t>
            </w:r>
            <w:r w:rsidRPr="00CE2D5C">
              <w:rPr>
                <w:rFonts w:ascii="Times New Roman" w:hAnsi="Times New Roman" w:cs="Times New Roman"/>
                <w:sz w:val="18"/>
                <w:szCs w:val="18"/>
              </w:rPr>
              <w:t xml:space="preserve"> emissions</w:t>
            </w:r>
          </w:p>
        </w:tc>
      </w:tr>
      <w:tr w:rsidR="00180523" w:rsidRPr="00CE2D5C" w14:paraId="7FB44F28" w14:textId="77777777" w:rsidTr="00D1236D">
        <w:tc>
          <w:tcPr>
            <w:tcW w:w="450" w:type="dxa"/>
          </w:tcPr>
          <w:p w14:paraId="7FF2DB9F" w14:textId="532D6C4F"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30</w:t>
            </w:r>
          </w:p>
        </w:tc>
        <w:tc>
          <w:tcPr>
            <w:tcW w:w="1350" w:type="dxa"/>
            <w:shd w:val="clear" w:color="auto" w:fill="auto"/>
          </w:tcPr>
          <w:p w14:paraId="22E05FAB"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Bhat (2018)</w:t>
            </w:r>
          </w:p>
        </w:tc>
        <w:tc>
          <w:tcPr>
            <w:tcW w:w="1260" w:type="dxa"/>
            <w:shd w:val="clear" w:color="auto" w:fill="auto"/>
          </w:tcPr>
          <w:p w14:paraId="14C2F52C"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5 BRICS Countries</w:t>
            </w:r>
            <w:r w:rsidRPr="00CE2D5C">
              <w:rPr>
                <w:rFonts w:ascii="Times New Roman" w:hAnsi="Times New Roman" w:cs="Times New Roman"/>
                <w:sz w:val="18"/>
                <w:szCs w:val="18"/>
              </w:rPr>
              <w:br/>
              <w:t>(1992-2016)</w:t>
            </w:r>
          </w:p>
        </w:tc>
        <w:tc>
          <w:tcPr>
            <w:tcW w:w="1890" w:type="dxa"/>
            <w:shd w:val="clear" w:color="auto" w:fill="auto"/>
          </w:tcPr>
          <w:p w14:paraId="1644487E"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GDP at market prices, Gross fixed capital formation, Labor force, Population GDP per head of population, Renewable energy consumption, Non-renewable energy consumption, </w:t>
            </w:r>
            <w:r>
              <w:rPr>
                <w:rFonts w:ascii="Times New Roman" w:hAnsi="Times New Roman" w:cs="Times New Roman"/>
                <w:sz w:val="18"/>
                <w:szCs w:val="18"/>
              </w:rPr>
              <w:t>CO2</w:t>
            </w:r>
          </w:p>
        </w:tc>
        <w:tc>
          <w:tcPr>
            <w:tcW w:w="1530" w:type="dxa"/>
            <w:shd w:val="clear" w:color="auto" w:fill="auto"/>
          </w:tcPr>
          <w:p w14:paraId="549DC364"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Cointegration, Long-run elasticity estimation</w:t>
            </w:r>
          </w:p>
        </w:tc>
        <w:tc>
          <w:tcPr>
            <w:tcW w:w="2880" w:type="dxa"/>
            <w:shd w:val="clear" w:color="auto" w:fill="auto"/>
          </w:tcPr>
          <w:p w14:paraId="435DC751"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While non-renewable energy consumption increases </w:t>
            </w:r>
            <w:r>
              <w:rPr>
                <w:rFonts w:ascii="Times New Roman" w:hAnsi="Times New Roman" w:cs="Times New Roman"/>
                <w:sz w:val="18"/>
                <w:szCs w:val="18"/>
              </w:rPr>
              <w:t>CO2</w:t>
            </w:r>
            <w:r w:rsidRPr="00CE2D5C">
              <w:rPr>
                <w:rFonts w:ascii="Times New Roman" w:hAnsi="Times New Roman" w:cs="Times New Roman"/>
                <w:sz w:val="18"/>
                <w:szCs w:val="18"/>
              </w:rPr>
              <w:t xml:space="preserve"> emissions, renewable energy consumption has the opposite effect</w:t>
            </w:r>
          </w:p>
        </w:tc>
      </w:tr>
      <w:tr w:rsidR="00180523" w:rsidRPr="00CE2D5C" w14:paraId="0675C1BA" w14:textId="77777777" w:rsidTr="00D1236D">
        <w:tc>
          <w:tcPr>
            <w:tcW w:w="450" w:type="dxa"/>
          </w:tcPr>
          <w:p w14:paraId="434D9E7A" w14:textId="45CB8106"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31</w:t>
            </w:r>
          </w:p>
        </w:tc>
        <w:tc>
          <w:tcPr>
            <w:tcW w:w="1350" w:type="dxa"/>
            <w:shd w:val="clear" w:color="auto" w:fill="auto"/>
          </w:tcPr>
          <w:p w14:paraId="13C58C5C" w14:textId="77777777" w:rsidR="00180523" w:rsidRPr="00D26A76" w:rsidRDefault="00180523" w:rsidP="00D1236D">
            <w:pPr>
              <w:tabs>
                <w:tab w:val="left" w:pos="0"/>
              </w:tabs>
              <w:spacing w:after="0" w:line="240" w:lineRule="auto"/>
              <w:rPr>
                <w:rFonts w:ascii="Times New Roman" w:hAnsi="Times New Roman" w:cs="Times New Roman"/>
                <w:sz w:val="18"/>
                <w:szCs w:val="18"/>
              </w:rPr>
            </w:pPr>
            <w:r w:rsidRPr="00D26A76">
              <w:rPr>
                <w:rFonts w:ascii="Times New Roman" w:hAnsi="Times New Roman" w:cs="Times New Roman"/>
                <w:sz w:val="18"/>
                <w:szCs w:val="18"/>
              </w:rPr>
              <w:t>Raza et al. (2020)</w:t>
            </w:r>
          </w:p>
        </w:tc>
        <w:tc>
          <w:tcPr>
            <w:tcW w:w="1260" w:type="dxa"/>
            <w:shd w:val="clear" w:color="auto" w:fill="auto"/>
          </w:tcPr>
          <w:p w14:paraId="1CA65754" w14:textId="77777777" w:rsidR="00180523" w:rsidRPr="00D26A76" w:rsidRDefault="00180523" w:rsidP="00D1236D">
            <w:pPr>
              <w:tabs>
                <w:tab w:val="left" w:pos="0"/>
              </w:tabs>
              <w:spacing w:after="0" w:line="240" w:lineRule="auto"/>
              <w:rPr>
                <w:rFonts w:ascii="Times New Roman" w:hAnsi="Times New Roman" w:cs="Times New Roman"/>
                <w:sz w:val="18"/>
                <w:szCs w:val="18"/>
              </w:rPr>
            </w:pPr>
            <w:r w:rsidRPr="00D26A76">
              <w:rPr>
                <w:rFonts w:ascii="Times New Roman" w:hAnsi="Times New Roman" w:cs="Times New Roman"/>
                <w:sz w:val="18"/>
                <w:szCs w:val="18"/>
              </w:rPr>
              <w:t>Next-11 and BRICS countries</w:t>
            </w:r>
            <w:r w:rsidRPr="00D26A76">
              <w:rPr>
                <w:rFonts w:ascii="Times New Roman" w:hAnsi="Times New Roman" w:cs="Times New Roman"/>
                <w:sz w:val="18"/>
                <w:szCs w:val="18"/>
              </w:rPr>
              <w:br/>
              <w:t>(1990-2015)</w:t>
            </w:r>
          </w:p>
        </w:tc>
        <w:tc>
          <w:tcPr>
            <w:tcW w:w="1890" w:type="dxa"/>
            <w:shd w:val="clear" w:color="auto" w:fill="auto"/>
          </w:tcPr>
          <w:p w14:paraId="3470E3F2" w14:textId="77777777" w:rsidR="00180523" w:rsidRPr="00D26A76" w:rsidRDefault="00180523" w:rsidP="00D1236D">
            <w:pPr>
              <w:tabs>
                <w:tab w:val="left" w:pos="0"/>
              </w:tabs>
              <w:spacing w:after="0" w:line="240" w:lineRule="auto"/>
              <w:rPr>
                <w:rFonts w:ascii="Times New Roman" w:hAnsi="Times New Roman" w:cs="Times New Roman"/>
                <w:sz w:val="18"/>
                <w:szCs w:val="18"/>
              </w:rPr>
            </w:pPr>
            <w:r w:rsidRPr="00D26A76">
              <w:rPr>
                <w:rFonts w:ascii="Times New Roman" w:hAnsi="Times New Roman" w:cs="Times New Roman"/>
                <w:sz w:val="18"/>
                <w:szCs w:val="18"/>
              </w:rPr>
              <w:t xml:space="preserve">GDP, Residential energy consumption as per capita, Renewable energy consumption, </w:t>
            </w:r>
            <w:proofErr w:type="gramStart"/>
            <w:r w:rsidRPr="00D26A76">
              <w:rPr>
                <w:rFonts w:ascii="Times New Roman" w:hAnsi="Times New Roman" w:cs="Times New Roman"/>
                <w:sz w:val="18"/>
                <w:szCs w:val="18"/>
              </w:rPr>
              <w:t>Financial</w:t>
            </w:r>
            <w:proofErr w:type="gramEnd"/>
            <w:r w:rsidRPr="00D26A76">
              <w:rPr>
                <w:rFonts w:ascii="Times New Roman" w:hAnsi="Times New Roman" w:cs="Times New Roman"/>
                <w:sz w:val="18"/>
                <w:szCs w:val="18"/>
              </w:rPr>
              <w:t xml:space="preserve"> development, </w:t>
            </w:r>
            <w:r>
              <w:rPr>
                <w:rFonts w:ascii="Times New Roman" w:hAnsi="Times New Roman" w:cs="Times New Roman"/>
                <w:sz w:val="18"/>
                <w:szCs w:val="18"/>
              </w:rPr>
              <w:t>CO2</w:t>
            </w:r>
          </w:p>
        </w:tc>
        <w:tc>
          <w:tcPr>
            <w:tcW w:w="1530" w:type="dxa"/>
            <w:shd w:val="clear" w:color="auto" w:fill="auto"/>
          </w:tcPr>
          <w:p w14:paraId="69E577C1" w14:textId="77777777" w:rsidR="00180523" w:rsidRPr="00D26A76"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D26A76">
              <w:rPr>
                <w:rFonts w:ascii="Times New Roman" w:hAnsi="Times New Roman" w:cs="Times New Roman"/>
                <w:sz w:val="18"/>
                <w:szCs w:val="18"/>
              </w:rPr>
              <w:t>Cointegration, Causality</w:t>
            </w:r>
          </w:p>
        </w:tc>
        <w:tc>
          <w:tcPr>
            <w:tcW w:w="2880" w:type="dxa"/>
            <w:shd w:val="clear" w:color="auto" w:fill="auto"/>
          </w:tcPr>
          <w:p w14:paraId="233013D6" w14:textId="77777777" w:rsidR="00180523" w:rsidRPr="00D26A76"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D26A76">
              <w:rPr>
                <w:rFonts w:ascii="Times New Roman" w:hAnsi="Times New Roman" w:cs="Times New Roman"/>
                <w:sz w:val="18"/>
                <w:szCs w:val="18"/>
              </w:rPr>
              <w:t xml:space="preserve">Renewable energy consumption is the fundamental part of </w:t>
            </w:r>
            <w:r>
              <w:rPr>
                <w:rFonts w:ascii="Times New Roman" w:hAnsi="Times New Roman" w:cs="Times New Roman"/>
                <w:sz w:val="18"/>
                <w:szCs w:val="18"/>
              </w:rPr>
              <w:t>CO2</w:t>
            </w:r>
            <w:r w:rsidRPr="00D26A76">
              <w:rPr>
                <w:rFonts w:ascii="Times New Roman" w:hAnsi="Times New Roman" w:cs="Times New Roman"/>
                <w:sz w:val="18"/>
                <w:szCs w:val="18"/>
              </w:rPr>
              <w:t xml:space="preserve"> emission reduction</w:t>
            </w:r>
          </w:p>
        </w:tc>
      </w:tr>
      <w:tr w:rsidR="00180523" w:rsidRPr="00CE2D5C" w14:paraId="6F9BC321" w14:textId="77777777" w:rsidTr="00D1236D">
        <w:tc>
          <w:tcPr>
            <w:tcW w:w="450" w:type="dxa"/>
          </w:tcPr>
          <w:p w14:paraId="6E95ACE6" w14:textId="442433E5"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3</w:t>
            </w:r>
            <w:r w:rsidR="00180523" w:rsidRPr="00D26A76">
              <w:rPr>
                <w:rFonts w:ascii="Times New Roman" w:hAnsi="Times New Roman" w:cs="Times New Roman"/>
                <w:b/>
                <w:bCs/>
                <w:sz w:val="18"/>
                <w:szCs w:val="18"/>
              </w:rPr>
              <w:t>2</w:t>
            </w:r>
          </w:p>
        </w:tc>
        <w:tc>
          <w:tcPr>
            <w:tcW w:w="1350" w:type="dxa"/>
            <w:shd w:val="clear" w:color="auto" w:fill="auto"/>
          </w:tcPr>
          <w:p w14:paraId="7F16D376"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Vo </w:t>
            </w:r>
            <w:r w:rsidRPr="00CE2D5C">
              <w:rPr>
                <w:rFonts w:ascii="Times New Roman" w:hAnsi="Times New Roman" w:cs="Times New Roman"/>
                <w:color w:val="000000"/>
                <w:sz w:val="18"/>
                <w:szCs w:val="18"/>
              </w:rPr>
              <w:t>&amp; Le (2019)</w:t>
            </w:r>
          </w:p>
        </w:tc>
        <w:tc>
          <w:tcPr>
            <w:tcW w:w="1260" w:type="dxa"/>
            <w:shd w:val="clear" w:color="auto" w:fill="auto"/>
          </w:tcPr>
          <w:p w14:paraId="29BB42E4"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5 ASEAN members</w:t>
            </w:r>
            <w:r w:rsidRPr="00CE2D5C">
              <w:rPr>
                <w:rFonts w:ascii="Times New Roman" w:hAnsi="Times New Roman" w:cs="Times New Roman"/>
                <w:sz w:val="18"/>
                <w:szCs w:val="18"/>
              </w:rPr>
              <w:br/>
              <w:t>(1971-2014)</w:t>
            </w:r>
          </w:p>
        </w:tc>
        <w:tc>
          <w:tcPr>
            <w:tcW w:w="1890" w:type="dxa"/>
            <w:shd w:val="clear" w:color="auto" w:fill="auto"/>
          </w:tcPr>
          <w:p w14:paraId="1001E366"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Pr>
                <w:rFonts w:ascii="Times New Roman" w:hAnsi="Times New Roman" w:cs="Times New Roman"/>
                <w:sz w:val="18"/>
                <w:szCs w:val="18"/>
              </w:rPr>
              <w:t>CO2</w:t>
            </w:r>
            <w:r w:rsidRPr="00CE2D5C">
              <w:rPr>
                <w:rFonts w:ascii="Times New Roman" w:hAnsi="Times New Roman" w:cs="Times New Roman"/>
                <w:sz w:val="18"/>
                <w:szCs w:val="18"/>
              </w:rPr>
              <w:t>, Energy consumption, Renewable energy consumption, GDP per capita, Population</w:t>
            </w:r>
          </w:p>
        </w:tc>
        <w:tc>
          <w:tcPr>
            <w:tcW w:w="1530" w:type="dxa"/>
            <w:shd w:val="clear" w:color="auto" w:fill="auto"/>
          </w:tcPr>
          <w:p w14:paraId="337D66DE"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Causality, VECM</w:t>
            </w:r>
          </w:p>
        </w:tc>
        <w:tc>
          <w:tcPr>
            <w:tcW w:w="2880" w:type="dxa"/>
            <w:shd w:val="clear" w:color="auto" w:fill="auto"/>
          </w:tcPr>
          <w:p w14:paraId="6CE02FEF"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There is a long-run relationship on Indonesia, Myanmar and Malaysia between variables</w:t>
            </w:r>
          </w:p>
        </w:tc>
      </w:tr>
      <w:tr w:rsidR="00180523" w:rsidRPr="00CE2D5C" w14:paraId="680A647A" w14:textId="77777777" w:rsidTr="00D1236D">
        <w:tc>
          <w:tcPr>
            <w:tcW w:w="450" w:type="dxa"/>
          </w:tcPr>
          <w:p w14:paraId="05034240" w14:textId="658F52DC"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33</w:t>
            </w:r>
          </w:p>
        </w:tc>
        <w:tc>
          <w:tcPr>
            <w:tcW w:w="1350" w:type="dxa"/>
            <w:shd w:val="clear" w:color="auto" w:fill="auto"/>
          </w:tcPr>
          <w:p w14:paraId="69114480"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Pham et al</w:t>
            </w:r>
            <w:r w:rsidRPr="00CE2D5C">
              <w:rPr>
                <w:rFonts w:ascii="Times New Roman" w:hAnsi="Times New Roman" w:cs="Times New Roman"/>
                <w:sz w:val="18"/>
                <w:szCs w:val="18"/>
              </w:rPr>
              <w:br/>
              <w:t>(2020)</w:t>
            </w:r>
          </w:p>
        </w:tc>
        <w:tc>
          <w:tcPr>
            <w:tcW w:w="1260" w:type="dxa"/>
            <w:shd w:val="clear" w:color="auto" w:fill="auto"/>
          </w:tcPr>
          <w:p w14:paraId="567DC5A1"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44 countries</w:t>
            </w:r>
            <w:r w:rsidRPr="00CE2D5C">
              <w:rPr>
                <w:rFonts w:ascii="Times New Roman" w:hAnsi="Times New Roman" w:cs="Times New Roman"/>
                <w:sz w:val="18"/>
                <w:szCs w:val="18"/>
              </w:rPr>
              <w:br/>
              <w:t>(2003-2014)</w:t>
            </w:r>
          </w:p>
        </w:tc>
        <w:tc>
          <w:tcPr>
            <w:tcW w:w="1890" w:type="dxa"/>
            <w:shd w:val="clear" w:color="auto" w:fill="auto"/>
          </w:tcPr>
          <w:p w14:paraId="3213973E"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Pr>
                <w:rFonts w:ascii="Times New Roman" w:hAnsi="Times New Roman" w:cs="Times New Roman"/>
                <w:sz w:val="18"/>
                <w:szCs w:val="18"/>
              </w:rPr>
              <w:t>CO2</w:t>
            </w:r>
            <w:r w:rsidRPr="00CE2D5C">
              <w:rPr>
                <w:rFonts w:ascii="Times New Roman" w:hAnsi="Times New Roman" w:cs="Times New Roman"/>
                <w:sz w:val="18"/>
                <w:szCs w:val="18"/>
              </w:rPr>
              <w:t xml:space="preserve"> emissions, Merchandise exports on GDP, Merchandise imports on GDP, Net FDI inflow on GDP, Real GDP, Renewable energy consumption</w:t>
            </w:r>
          </w:p>
        </w:tc>
        <w:tc>
          <w:tcPr>
            <w:tcW w:w="1530" w:type="dxa"/>
            <w:shd w:val="clear" w:color="auto" w:fill="auto"/>
          </w:tcPr>
          <w:p w14:paraId="349DF2A0"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Pooled mean group regression</w:t>
            </w:r>
          </w:p>
        </w:tc>
        <w:tc>
          <w:tcPr>
            <w:tcW w:w="2880" w:type="dxa"/>
            <w:shd w:val="clear" w:color="auto" w:fill="auto"/>
          </w:tcPr>
          <w:p w14:paraId="2A71BA72"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Renewable energy consumption has a positive effect on environmental quality</w:t>
            </w:r>
          </w:p>
        </w:tc>
      </w:tr>
      <w:tr w:rsidR="00180523" w:rsidRPr="00CE2D5C" w14:paraId="02802043" w14:textId="77777777" w:rsidTr="00D1236D">
        <w:tc>
          <w:tcPr>
            <w:tcW w:w="450" w:type="dxa"/>
          </w:tcPr>
          <w:p w14:paraId="455B76D8" w14:textId="7783B45C"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34</w:t>
            </w:r>
          </w:p>
        </w:tc>
        <w:tc>
          <w:tcPr>
            <w:tcW w:w="1350" w:type="dxa"/>
            <w:shd w:val="clear" w:color="auto" w:fill="auto"/>
          </w:tcPr>
          <w:p w14:paraId="60EB1302"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Liang et al.</w:t>
            </w:r>
            <w:r w:rsidRPr="00CE2D5C">
              <w:rPr>
                <w:rFonts w:ascii="Times New Roman" w:hAnsi="Times New Roman" w:cs="Times New Roman"/>
                <w:sz w:val="18"/>
                <w:szCs w:val="18"/>
              </w:rPr>
              <w:br/>
              <w:t>(2021)</w:t>
            </w:r>
          </w:p>
        </w:tc>
        <w:tc>
          <w:tcPr>
            <w:tcW w:w="1260" w:type="dxa"/>
            <w:shd w:val="clear" w:color="auto" w:fill="auto"/>
          </w:tcPr>
          <w:p w14:paraId="35452C10"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N/A</w:t>
            </w:r>
          </w:p>
        </w:tc>
        <w:tc>
          <w:tcPr>
            <w:tcW w:w="1890" w:type="dxa"/>
            <w:shd w:val="clear" w:color="auto" w:fill="auto"/>
          </w:tcPr>
          <w:p w14:paraId="39B830B6"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Numerous variables to consider:</w:t>
            </w:r>
            <w:r w:rsidRPr="00CE2D5C">
              <w:rPr>
                <w:rFonts w:ascii="Times New Roman" w:hAnsi="Times New Roman" w:cs="Times New Roman"/>
                <w:sz w:val="18"/>
                <w:szCs w:val="18"/>
              </w:rPr>
              <w:br/>
              <w:t>CSP plant, Unit Operations, Working fluid thermodynamics, Equipment sizing, Thermal storage, Finance, Emissions</w:t>
            </w:r>
          </w:p>
        </w:tc>
        <w:tc>
          <w:tcPr>
            <w:tcW w:w="1530" w:type="dxa"/>
            <w:shd w:val="clear" w:color="auto" w:fill="auto"/>
          </w:tcPr>
          <w:p w14:paraId="6A319A38"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Multi-objective MINLP model</w:t>
            </w:r>
          </w:p>
        </w:tc>
        <w:tc>
          <w:tcPr>
            <w:tcW w:w="2880" w:type="dxa"/>
            <w:shd w:val="clear" w:color="auto" w:fill="auto"/>
          </w:tcPr>
          <w:p w14:paraId="0BF649F6"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While cost-effective design aims to reduce the unit cost of power generation by maximising the power generation capacity, environmentally friendly designs prefer smaller power plants</w:t>
            </w:r>
          </w:p>
        </w:tc>
      </w:tr>
      <w:tr w:rsidR="00180523" w:rsidRPr="00CE2D5C" w14:paraId="7B8411CB" w14:textId="77777777" w:rsidTr="00D1236D">
        <w:tc>
          <w:tcPr>
            <w:tcW w:w="450" w:type="dxa"/>
          </w:tcPr>
          <w:p w14:paraId="08625F2B" w14:textId="3CF2E5F7"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35</w:t>
            </w:r>
          </w:p>
        </w:tc>
        <w:tc>
          <w:tcPr>
            <w:tcW w:w="1350" w:type="dxa"/>
            <w:shd w:val="clear" w:color="auto" w:fill="auto"/>
          </w:tcPr>
          <w:p w14:paraId="40E9AA46"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Aunon-Hidalgo et al.</w:t>
            </w:r>
            <w:r w:rsidRPr="00CE2D5C">
              <w:rPr>
                <w:rFonts w:ascii="Times New Roman" w:hAnsi="Times New Roman" w:cs="Times New Roman"/>
                <w:sz w:val="18"/>
                <w:szCs w:val="18"/>
              </w:rPr>
              <w:br/>
              <w:t>(2021)</w:t>
            </w:r>
          </w:p>
        </w:tc>
        <w:tc>
          <w:tcPr>
            <w:tcW w:w="1260" w:type="dxa"/>
            <w:shd w:val="clear" w:color="auto" w:fill="auto"/>
          </w:tcPr>
          <w:p w14:paraId="5F360BFF"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2.3.2020 - 23.4.2020</w:t>
            </w:r>
          </w:p>
        </w:tc>
        <w:tc>
          <w:tcPr>
            <w:tcW w:w="1890" w:type="dxa"/>
            <w:shd w:val="clear" w:color="auto" w:fill="auto"/>
          </w:tcPr>
          <w:p w14:paraId="3777189E"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Numerous variables to Electrical evaluation, Thermal evaluation, </w:t>
            </w:r>
            <w:r>
              <w:rPr>
                <w:rFonts w:ascii="Times New Roman" w:hAnsi="Times New Roman" w:cs="Times New Roman"/>
                <w:sz w:val="18"/>
                <w:szCs w:val="18"/>
              </w:rPr>
              <w:t>CO2</w:t>
            </w:r>
            <w:r w:rsidRPr="00CE2D5C">
              <w:rPr>
                <w:rFonts w:ascii="Times New Roman" w:hAnsi="Times New Roman" w:cs="Times New Roman"/>
                <w:sz w:val="18"/>
                <w:szCs w:val="18"/>
              </w:rPr>
              <w:t xml:space="preserve"> emission analysis</w:t>
            </w:r>
          </w:p>
        </w:tc>
        <w:tc>
          <w:tcPr>
            <w:tcW w:w="1530" w:type="dxa"/>
            <w:shd w:val="clear" w:color="auto" w:fill="auto"/>
          </w:tcPr>
          <w:p w14:paraId="6EF83D36"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Micro-CHP Stirling Engine</w:t>
            </w:r>
          </w:p>
        </w:tc>
        <w:tc>
          <w:tcPr>
            <w:tcW w:w="2880" w:type="dxa"/>
            <w:shd w:val="clear" w:color="auto" w:fill="auto"/>
          </w:tcPr>
          <w:p w14:paraId="44513C53"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-The joint operation of solar heat with PV panels results in significant </w:t>
            </w:r>
            <w:r>
              <w:rPr>
                <w:rFonts w:ascii="Times New Roman" w:hAnsi="Times New Roman" w:cs="Times New Roman"/>
                <w:sz w:val="18"/>
                <w:szCs w:val="18"/>
              </w:rPr>
              <w:t>CO2</w:t>
            </w:r>
            <w:r w:rsidRPr="00CE2D5C">
              <w:rPr>
                <w:rFonts w:ascii="Times New Roman" w:hAnsi="Times New Roman" w:cs="Times New Roman"/>
                <w:sz w:val="18"/>
                <w:szCs w:val="18"/>
              </w:rPr>
              <w:t xml:space="preserve"> emission reductions</w:t>
            </w:r>
            <w:r w:rsidRPr="00CE2D5C">
              <w:rPr>
                <w:rFonts w:ascii="Times New Roman" w:hAnsi="Times New Roman" w:cs="Times New Roman"/>
                <w:sz w:val="18"/>
                <w:szCs w:val="18"/>
              </w:rPr>
              <w:br/>
              <w:t xml:space="preserve">-Achieving lower </w:t>
            </w:r>
            <w:r>
              <w:rPr>
                <w:rFonts w:ascii="Times New Roman" w:hAnsi="Times New Roman" w:cs="Times New Roman"/>
                <w:sz w:val="18"/>
                <w:szCs w:val="18"/>
              </w:rPr>
              <w:t>CO2</w:t>
            </w:r>
            <w:r w:rsidRPr="00CE2D5C">
              <w:rPr>
                <w:rFonts w:ascii="Times New Roman" w:hAnsi="Times New Roman" w:cs="Times New Roman"/>
                <w:sz w:val="18"/>
                <w:szCs w:val="18"/>
              </w:rPr>
              <w:t xml:space="preserve"> emissions values with increasing heat usage in the system is possible</w:t>
            </w:r>
          </w:p>
        </w:tc>
      </w:tr>
      <w:tr w:rsidR="00180523" w:rsidRPr="00CE2D5C" w14:paraId="10EE0F5D" w14:textId="77777777" w:rsidTr="00D1236D">
        <w:tc>
          <w:tcPr>
            <w:tcW w:w="450" w:type="dxa"/>
          </w:tcPr>
          <w:p w14:paraId="14AB8A31" w14:textId="5909E311"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lastRenderedPageBreak/>
              <w:t>36</w:t>
            </w:r>
          </w:p>
        </w:tc>
        <w:tc>
          <w:tcPr>
            <w:tcW w:w="1350" w:type="dxa"/>
            <w:shd w:val="clear" w:color="auto" w:fill="auto"/>
          </w:tcPr>
          <w:p w14:paraId="13E12D94"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Ampuño et al.</w:t>
            </w:r>
            <w:r w:rsidRPr="00CE2D5C">
              <w:rPr>
                <w:rFonts w:ascii="Times New Roman" w:hAnsi="Times New Roman" w:cs="Times New Roman"/>
                <w:sz w:val="18"/>
                <w:szCs w:val="18"/>
              </w:rPr>
              <w:br/>
              <w:t>(2020)</w:t>
            </w:r>
          </w:p>
        </w:tc>
        <w:tc>
          <w:tcPr>
            <w:tcW w:w="1260" w:type="dxa"/>
            <w:shd w:val="clear" w:color="auto" w:fill="auto"/>
          </w:tcPr>
          <w:p w14:paraId="409E4DF3"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Ecuador </w:t>
            </w:r>
            <w:proofErr w:type="gramStart"/>
            <w:r w:rsidRPr="00CE2D5C">
              <w:rPr>
                <w:rFonts w:ascii="Times New Roman" w:hAnsi="Times New Roman" w:cs="Times New Roman"/>
                <w:sz w:val="18"/>
                <w:szCs w:val="18"/>
              </w:rPr>
              <w:t>( two</w:t>
            </w:r>
            <w:proofErr w:type="gramEnd"/>
            <w:r w:rsidRPr="00CE2D5C">
              <w:rPr>
                <w:rFonts w:ascii="Times New Roman" w:hAnsi="Times New Roman" w:cs="Times New Roman"/>
                <w:sz w:val="18"/>
                <w:szCs w:val="18"/>
              </w:rPr>
              <w:t xml:space="preserve"> coastal cities and one island)</w:t>
            </w:r>
            <w:r w:rsidRPr="00CE2D5C">
              <w:rPr>
                <w:rFonts w:ascii="Times New Roman" w:hAnsi="Times New Roman" w:cs="Times New Roman"/>
                <w:sz w:val="18"/>
                <w:szCs w:val="18"/>
              </w:rPr>
              <w:br/>
              <w:t>(2011-2018)</w:t>
            </w:r>
          </w:p>
        </w:tc>
        <w:tc>
          <w:tcPr>
            <w:tcW w:w="1890" w:type="dxa"/>
            <w:shd w:val="clear" w:color="auto" w:fill="auto"/>
          </w:tcPr>
          <w:p w14:paraId="14212C30"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Numerous variables, including Outlet temperature, Oil flow, Thermodynamic variables</w:t>
            </w:r>
          </w:p>
        </w:tc>
        <w:tc>
          <w:tcPr>
            <w:tcW w:w="1530" w:type="dxa"/>
            <w:shd w:val="clear" w:color="auto" w:fill="auto"/>
          </w:tcPr>
          <w:p w14:paraId="57A8D6CC"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Solar Collector field, PCS Model</w:t>
            </w:r>
          </w:p>
        </w:tc>
        <w:tc>
          <w:tcPr>
            <w:tcW w:w="2880" w:type="dxa"/>
            <w:shd w:val="clear" w:color="auto" w:fill="auto"/>
          </w:tcPr>
          <w:p w14:paraId="03453425"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 Implementation of thermo-solar plants helps </w:t>
            </w:r>
            <w:r>
              <w:rPr>
                <w:rFonts w:ascii="Times New Roman" w:hAnsi="Times New Roman" w:cs="Times New Roman"/>
                <w:sz w:val="18"/>
                <w:szCs w:val="18"/>
              </w:rPr>
              <w:t>CO2</w:t>
            </w:r>
            <w:r w:rsidRPr="00CE2D5C">
              <w:rPr>
                <w:rFonts w:ascii="Times New Roman" w:hAnsi="Times New Roman" w:cs="Times New Roman"/>
                <w:sz w:val="18"/>
                <w:szCs w:val="18"/>
              </w:rPr>
              <w:t xml:space="preserve"> emission reduction with reduction of fossil fuel consumption</w:t>
            </w:r>
          </w:p>
        </w:tc>
      </w:tr>
      <w:tr w:rsidR="00180523" w:rsidRPr="00CE2D5C" w14:paraId="1E667F1C" w14:textId="77777777" w:rsidTr="00D1236D">
        <w:tc>
          <w:tcPr>
            <w:tcW w:w="450" w:type="dxa"/>
          </w:tcPr>
          <w:p w14:paraId="17D024CD" w14:textId="4CA34CA4"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37</w:t>
            </w:r>
          </w:p>
        </w:tc>
        <w:tc>
          <w:tcPr>
            <w:tcW w:w="1350" w:type="dxa"/>
            <w:shd w:val="clear" w:color="auto" w:fill="auto"/>
          </w:tcPr>
          <w:p w14:paraId="272097ED"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Cheng et al.</w:t>
            </w:r>
            <w:r w:rsidRPr="00CE2D5C">
              <w:rPr>
                <w:rFonts w:ascii="Times New Roman" w:hAnsi="Times New Roman" w:cs="Times New Roman"/>
                <w:sz w:val="18"/>
                <w:szCs w:val="18"/>
              </w:rPr>
              <w:br/>
              <w:t>(2022)</w:t>
            </w:r>
          </w:p>
        </w:tc>
        <w:tc>
          <w:tcPr>
            <w:tcW w:w="1260" w:type="dxa"/>
            <w:shd w:val="clear" w:color="auto" w:fill="auto"/>
          </w:tcPr>
          <w:p w14:paraId="28713591"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China (30 provinces)</w:t>
            </w:r>
            <w:r w:rsidRPr="00CE2D5C">
              <w:rPr>
                <w:rFonts w:ascii="Times New Roman" w:hAnsi="Times New Roman" w:cs="Times New Roman"/>
                <w:sz w:val="18"/>
                <w:szCs w:val="18"/>
              </w:rPr>
              <w:br/>
              <w:t>(2004-2016)</w:t>
            </w:r>
          </w:p>
        </w:tc>
        <w:tc>
          <w:tcPr>
            <w:tcW w:w="1890" w:type="dxa"/>
            <w:shd w:val="clear" w:color="auto" w:fill="auto"/>
          </w:tcPr>
          <w:p w14:paraId="1A20C6AE"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Capital, Construction labours, Construction mechanical equipment, Energy, Total output value of the construction industry, </w:t>
            </w:r>
            <w:r>
              <w:rPr>
                <w:rFonts w:ascii="Times New Roman" w:hAnsi="Times New Roman" w:cs="Times New Roman"/>
                <w:sz w:val="18"/>
                <w:szCs w:val="18"/>
              </w:rPr>
              <w:t>CO2</w:t>
            </w:r>
            <w:r w:rsidRPr="00CE2D5C">
              <w:rPr>
                <w:rFonts w:ascii="Times New Roman" w:hAnsi="Times New Roman" w:cs="Times New Roman"/>
                <w:sz w:val="18"/>
                <w:szCs w:val="18"/>
              </w:rPr>
              <w:t xml:space="preserve"> emissions</w:t>
            </w:r>
          </w:p>
        </w:tc>
        <w:tc>
          <w:tcPr>
            <w:tcW w:w="1530" w:type="dxa"/>
            <w:shd w:val="clear" w:color="auto" w:fill="auto"/>
          </w:tcPr>
          <w:p w14:paraId="7672D43A"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Environmental production Technology</w:t>
            </w:r>
          </w:p>
        </w:tc>
        <w:tc>
          <w:tcPr>
            <w:tcW w:w="2880" w:type="dxa"/>
            <w:shd w:val="clear" w:color="auto" w:fill="auto"/>
          </w:tcPr>
          <w:p w14:paraId="2E44BF2A"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While </w:t>
            </w:r>
            <w:r>
              <w:rPr>
                <w:rFonts w:ascii="Times New Roman" w:hAnsi="Times New Roman" w:cs="Times New Roman"/>
                <w:sz w:val="18"/>
                <w:szCs w:val="18"/>
              </w:rPr>
              <w:t>industrial production increases CO2</w:t>
            </w:r>
            <w:r w:rsidRPr="00CE2D5C">
              <w:rPr>
                <w:rFonts w:ascii="Times New Roman" w:hAnsi="Times New Roman" w:cs="Times New Roman"/>
                <w:sz w:val="18"/>
                <w:szCs w:val="18"/>
              </w:rPr>
              <w:t xml:space="preserve"> emission at the national level, it has mixed results </w:t>
            </w:r>
            <w:r>
              <w:rPr>
                <w:rFonts w:ascii="Times New Roman" w:hAnsi="Times New Roman" w:cs="Times New Roman"/>
                <w:sz w:val="18"/>
                <w:szCs w:val="18"/>
              </w:rPr>
              <w:t>at</w:t>
            </w:r>
            <w:r w:rsidRPr="00CE2D5C">
              <w:rPr>
                <w:rFonts w:ascii="Times New Roman" w:hAnsi="Times New Roman" w:cs="Times New Roman"/>
                <w:sz w:val="18"/>
                <w:szCs w:val="18"/>
              </w:rPr>
              <w:t xml:space="preserve"> </w:t>
            </w:r>
            <w:r>
              <w:rPr>
                <w:rFonts w:ascii="Times New Roman" w:hAnsi="Times New Roman" w:cs="Times New Roman"/>
                <w:sz w:val="18"/>
                <w:szCs w:val="18"/>
              </w:rPr>
              <w:t xml:space="preserve">the </w:t>
            </w:r>
            <w:r w:rsidRPr="00CE2D5C">
              <w:rPr>
                <w:rFonts w:ascii="Times New Roman" w:hAnsi="Times New Roman" w:cs="Times New Roman"/>
                <w:sz w:val="18"/>
                <w:szCs w:val="18"/>
              </w:rPr>
              <w:t>regional level</w:t>
            </w:r>
          </w:p>
        </w:tc>
      </w:tr>
      <w:tr w:rsidR="00180523" w:rsidRPr="00CE2D5C" w14:paraId="5A85BF6D" w14:textId="77777777" w:rsidTr="00D1236D">
        <w:tc>
          <w:tcPr>
            <w:tcW w:w="450" w:type="dxa"/>
          </w:tcPr>
          <w:p w14:paraId="5D270846" w14:textId="54049E57"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38</w:t>
            </w:r>
          </w:p>
        </w:tc>
        <w:tc>
          <w:tcPr>
            <w:tcW w:w="1350" w:type="dxa"/>
            <w:shd w:val="clear" w:color="auto" w:fill="auto"/>
          </w:tcPr>
          <w:p w14:paraId="3D753AA0"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Chen et al.</w:t>
            </w:r>
            <w:r w:rsidRPr="00CE2D5C">
              <w:rPr>
                <w:rFonts w:ascii="Times New Roman" w:hAnsi="Times New Roman" w:cs="Times New Roman"/>
                <w:sz w:val="18"/>
                <w:szCs w:val="18"/>
              </w:rPr>
              <w:br/>
              <w:t>(2022)</w:t>
            </w:r>
          </w:p>
        </w:tc>
        <w:tc>
          <w:tcPr>
            <w:tcW w:w="1260" w:type="dxa"/>
            <w:shd w:val="clear" w:color="auto" w:fill="auto"/>
          </w:tcPr>
          <w:p w14:paraId="5556D3C1"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5 Countries (</w:t>
            </w:r>
            <w:r>
              <w:rPr>
                <w:rFonts w:ascii="Times New Roman" w:hAnsi="Times New Roman" w:cs="Times New Roman"/>
                <w:sz w:val="18"/>
                <w:szCs w:val="18"/>
              </w:rPr>
              <w:t>China, India, Japan, USA, Russia</w:t>
            </w:r>
            <w:r w:rsidRPr="00CE2D5C">
              <w:rPr>
                <w:rFonts w:ascii="Times New Roman" w:hAnsi="Times New Roman" w:cs="Times New Roman"/>
                <w:sz w:val="18"/>
                <w:szCs w:val="18"/>
              </w:rPr>
              <w:t>)</w:t>
            </w:r>
            <w:r w:rsidRPr="00CE2D5C">
              <w:rPr>
                <w:rFonts w:ascii="Times New Roman" w:hAnsi="Times New Roman" w:cs="Times New Roman"/>
                <w:sz w:val="18"/>
                <w:szCs w:val="18"/>
              </w:rPr>
              <w:br/>
              <w:t>(2015)</w:t>
            </w:r>
          </w:p>
        </w:tc>
        <w:tc>
          <w:tcPr>
            <w:tcW w:w="1890" w:type="dxa"/>
            <w:shd w:val="clear" w:color="auto" w:fill="auto"/>
          </w:tcPr>
          <w:p w14:paraId="7F0685D3"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26 industries</w:t>
            </w:r>
          </w:p>
        </w:tc>
        <w:tc>
          <w:tcPr>
            <w:tcW w:w="1530" w:type="dxa"/>
            <w:shd w:val="clear" w:color="auto" w:fill="auto"/>
          </w:tcPr>
          <w:p w14:paraId="3848F361"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Multi-regional input-output analysis, </w:t>
            </w:r>
            <w:proofErr w:type="gramStart"/>
            <w:r w:rsidRPr="00CE2D5C">
              <w:rPr>
                <w:rFonts w:ascii="Times New Roman" w:hAnsi="Times New Roman" w:cs="Times New Roman"/>
                <w:sz w:val="18"/>
                <w:szCs w:val="18"/>
              </w:rPr>
              <w:t>Multi-regional</w:t>
            </w:r>
            <w:proofErr w:type="gramEnd"/>
            <w:r w:rsidRPr="00CE2D5C">
              <w:rPr>
                <w:rFonts w:ascii="Times New Roman" w:hAnsi="Times New Roman" w:cs="Times New Roman"/>
                <w:sz w:val="18"/>
                <w:szCs w:val="18"/>
              </w:rPr>
              <w:t xml:space="preserve"> structural path analysis</w:t>
            </w:r>
          </w:p>
        </w:tc>
        <w:tc>
          <w:tcPr>
            <w:tcW w:w="2880" w:type="dxa"/>
            <w:shd w:val="clear" w:color="auto" w:fill="auto"/>
          </w:tcPr>
          <w:p w14:paraId="61AD904D"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Industries that contributed the most </w:t>
            </w:r>
            <w:r>
              <w:rPr>
                <w:rFonts w:ascii="Times New Roman" w:hAnsi="Times New Roman" w:cs="Times New Roman"/>
                <w:sz w:val="18"/>
                <w:szCs w:val="18"/>
              </w:rPr>
              <w:t>CO2</w:t>
            </w:r>
            <w:r w:rsidRPr="00CE2D5C">
              <w:rPr>
                <w:rFonts w:ascii="Times New Roman" w:hAnsi="Times New Roman" w:cs="Times New Roman"/>
                <w:sz w:val="18"/>
                <w:szCs w:val="18"/>
              </w:rPr>
              <w:t xml:space="preserve"> emissions in five regions; electricity, petroleum, chemical, non-metallic mineral products, construction and transport industry</w:t>
            </w:r>
          </w:p>
        </w:tc>
      </w:tr>
      <w:tr w:rsidR="00180523" w:rsidRPr="00CE2D5C" w14:paraId="375548D9" w14:textId="77777777" w:rsidTr="00D1236D">
        <w:tc>
          <w:tcPr>
            <w:tcW w:w="450" w:type="dxa"/>
          </w:tcPr>
          <w:p w14:paraId="580D9030" w14:textId="470DAD18"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39</w:t>
            </w:r>
          </w:p>
        </w:tc>
        <w:tc>
          <w:tcPr>
            <w:tcW w:w="1350" w:type="dxa"/>
            <w:shd w:val="clear" w:color="auto" w:fill="auto"/>
          </w:tcPr>
          <w:p w14:paraId="1B61683E"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Wang et al.</w:t>
            </w:r>
            <w:r w:rsidRPr="00CE2D5C">
              <w:rPr>
                <w:rFonts w:ascii="Times New Roman" w:hAnsi="Times New Roman" w:cs="Times New Roman"/>
                <w:sz w:val="18"/>
                <w:szCs w:val="18"/>
              </w:rPr>
              <w:br/>
              <w:t>(2021)</w:t>
            </w:r>
          </w:p>
        </w:tc>
        <w:tc>
          <w:tcPr>
            <w:tcW w:w="1260" w:type="dxa"/>
            <w:shd w:val="clear" w:color="auto" w:fill="auto"/>
          </w:tcPr>
          <w:p w14:paraId="02E8CE18"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China (Provincial data)</w:t>
            </w:r>
            <w:r w:rsidRPr="00CE2D5C">
              <w:rPr>
                <w:rFonts w:ascii="Times New Roman" w:hAnsi="Times New Roman" w:cs="Times New Roman"/>
                <w:sz w:val="18"/>
                <w:szCs w:val="18"/>
              </w:rPr>
              <w:br/>
              <w:t>(2000-2018)</w:t>
            </w:r>
          </w:p>
        </w:tc>
        <w:tc>
          <w:tcPr>
            <w:tcW w:w="1890" w:type="dxa"/>
            <w:shd w:val="clear" w:color="auto" w:fill="auto"/>
          </w:tcPr>
          <w:p w14:paraId="383731B5"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Technology, FDI, </w:t>
            </w:r>
            <w:r>
              <w:rPr>
                <w:rFonts w:ascii="Times New Roman" w:hAnsi="Times New Roman" w:cs="Times New Roman"/>
                <w:sz w:val="18"/>
                <w:szCs w:val="18"/>
              </w:rPr>
              <w:t>CO2</w:t>
            </w:r>
            <w:r w:rsidRPr="00CE2D5C">
              <w:rPr>
                <w:rFonts w:ascii="Times New Roman" w:hAnsi="Times New Roman" w:cs="Times New Roman"/>
                <w:sz w:val="18"/>
                <w:szCs w:val="18"/>
              </w:rPr>
              <w:t xml:space="preserve"> emissions, Urbanisation, Energy Intensity</w:t>
            </w:r>
          </w:p>
        </w:tc>
        <w:tc>
          <w:tcPr>
            <w:tcW w:w="1530" w:type="dxa"/>
            <w:shd w:val="clear" w:color="auto" w:fill="auto"/>
          </w:tcPr>
          <w:p w14:paraId="387AAF12"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Quantile regression</w:t>
            </w:r>
          </w:p>
        </w:tc>
        <w:tc>
          <w:tcPr>
            <w:tcW w:w="2880" w:type="dxa"/>
            <w:shd w:val="clear" w:color="auto" w:fill="auto"/>
          </w:tcPr>
          <w:p w14:paraId="559B0680"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Technology has a positive effect on </w:t>
            </w:r>
            <w:r>
              <w:rPr>
                <w:rFonts w:ascii="Times New Roman" w:hAnsi="Times New Roman" w:cs="Times New Roman"/>
                <w:sz w:val="18"/>
                <w:szCs w:val="18"/>
              </w:rPr>
              <w:t>CO2</w:t>
            </w:r>
            <w:r w:rsidRPr="00CE2D5C">
              <w:rPr>
                <w:rFonts w:ascii="Times New Roman" w:hAnsi="Times New Roman" w:cs="Times New Roman"/>
                <w:sz w:val="18"/>
                <w:szCs w:val="18"/>
              </w:rPr>
              <w:t xml:space="preserve"> emissions in the first three quantiles; however, its effect turns negative the remaining 6 of the seven quartiles. </w:t>
            </w:r>
          </w:p>
        </w:tc>
      </w:tr>
      <w:tr w:rsidR="00180523" w:rsidRPr="00CE2D5C" w14:paraId="3652538D" w14:textId="77777777" w:rsidTr="00D1236D">
        <w:tc>
          <w:tcPr>
            <w:tcW w:w="450" w:type="dxa"/>
          </w:tcPr>
          <w:p w14:paraId="5DD87955" w14:textId="461CD9F7"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40</w:t>
            </w:r>
          </w:p>
        </w:tc>
        <w:tc>
          <w:tcPr>
            <w:tcW w:w="1350" w:type="dxa"/>
            <w:shd w:val="clear" w:color="auto" w:fill="auto"/>
          </w:tcPr>
          <w:p w14:paraId="54B39D2D"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Hu et al.</w:t>
            </w:r>
            <w:r w:rsidRPr="00CE2D5C">
              <w:rPr>
                <w:rFonts w:ascii="Times New Roman" w:hAnsi="Times New Roman" w:cs="Times New Roman"/>
                <w:sz w:val="18"/>
                <w:szCs w:val="18"/>
              </w:rPr>
              <w:br/>
              <w:t>(2021)</w:t>
            </w:r>
          </w:p>
        </w:tc>
        <w:tc>
          <w:tcPr>
            <w:tcW w:w="1260" w:type="dxa"/>
            <w:shd w:val="clear" w:color="auto" w:fill="auto"/>
          </w:tcPr>
          <w:p w14:paraId="09A1A563"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China</w:t>
            </w:r>
            <w:r w:rsidRPr="00CE2D5C">
              <w:rPr>
                <w:rFonts w:ascii="Times New Roman" w:hAnsi="Times New Roman" w:cs="Times New Roman"/>
                <w:sz w:val="18"/>
                <w:szCs w:val="18"/>
              </w:rPr>
              <w:br/>
              <w:t>(2013-2019)</w:t>
            </w:r>
          </w:p>
        </w:tc>
        <w:tc>
          <w:tcPr>
            <w:tcW w:w="1890" w:type="dxa"/>
            <w:shd w:val="clear" w:color="auto" w:fill="auto"/>
          </w:tcPr>
          <w:p w14:paraId="195278DF"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Energy consumption, Output value and investment in fixed assets, R&amp;D expenditure, Thermal energy consumption</w:t>
            </w:r>
          </w:p>
        </w:tc>
        <w:tc>
          <w:tcPr>
            <w:tcW w:w="1530" w:type="dxa"/>
            <w:shd w:val="clear" w:color="auto" w:fill="auto"/>
          </w:tcPr>
          <w:p w14:paraId="0BF3B571"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Kaya identity, LMDI method</w:t>
            </w:r>
          </w:p>
        </w:tc>
        <w:tc>
          <w:tcPr>
            <w:tcW w:w="2880" w:type="dxa"/>
            <w:shd w:val="clear" w:color="auto" w:fill="auto"/>
          </w:tcPr>
          <w:p w14:paraId="1F846CE5"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Developmental investment expenditures</w:t>
            </w:r>
            <w:r w:rsidRPr="00CE2D5C">
              <w:rPr>
                <w:rFonts w:ascii="Times New Roman" w:hAnsi="Times New Roman" w:cs="Times New Roman"/>
                <w:sz w:val="18"/>
                <w:szCs w:val="18"/>
              </w:rPr>
              <w:t xml:space="preserve"> ha</w:t>
            </w:r>
            <w:r>
              <w:rPr>
                <w:rFonts w:ascii="Times New Roman" w:hAnsi="Times New Roman" w:cs="Times New Roman"/>
                <w:sz w:val="18"/>
                <w:szCs w:val="18"/>
              </w:rPr>
              <w:t>ve</w:t>
            </w:r>
            <w:r w:rsidRPr="00CE2D5C">
              <w:rPr>
                <w:rFonts w:ascii="Times New Roman" w:hAnsi="Times New Roman" w:cs="Times New Roman"/>
                <w:sz w:val="18"/>
                <w:szCs w:val="18"/>
              </w:rPr>
              <w:t xml:space="preserve"> detrimental effects on the environment; however, R&amp;D intensity and energy intensity were the two primary emission reduction factors</w:t>
            </w:r>
          </w:p>
        </w:tc>
      </w:tr>
      <w:tr w:rsidR="00180523" w:rsidRPr="00CE2D5C" w14:paraId="4C92790E" w14:textId="77777777" w:rsidTr="00D1236D">
        <w:tc>
          <w:tcPr>
            <w:tcW w:w="450" w:type="dxa"/>
          </w:tcPr>
          <w:p w14:paraId="0F5C1135" w14:textId="6081625E"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41</w:t>
            </w:r>
          </w:p>
        </w:tc>
        <w:tc>
          <w:tcPr>
            <w:tcW w:w="1350" w:type="dxa"/>
            <w:shd w:val="clear" w:color="auto" w:fill="auto"/>
          </w:tcPr>
          <w:p w14:paraId="5A0CCE95"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Wang et al.</w:t>
            </w:r>
            <w:r w:rsidRPr="00CE2D5C">
              <w:rPr>
                <w:rFonts w:ascii="Times New Roman" w:hAnsi="Times New Roman" w:cs="Times New Roman"/>
                <w:sz w:val="18"/>
                <w:szCs w:val="18"/>
              </w:rPr>
              <w:br/>
              <w:t>(2021)</w:t>
            </w:r>
          </w:p>
        </w:tc>
        <w:tc>
          <w:tcPr>
            <w:tcW w:w="1260" w:type="dxa"/>
            <w:shd w:val="clear" w:color="auto" w:fill="auto"/>
          </w:tcPr>
          <w:p w14:paraId="385E0A0A"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China</w:t>
            </w:r>
            <w:r w:rsidRPr="00CE2D5C">
              <w:rPr>
                <w:rFonts w:ascii="Times New Roman" w:hAnsi="Times New Roman" w:cs="Times New Roman"/>
                <w:sz w:val="18"/>
                <w:szCs w:val="18"/>
              </w:rPr>
              <w:br/>
              <w:t>(2000-2016)</w:t>
            </w:r>
          </w:p>
        </w:tc>
        <w:tc>
          <w:tcPr>
            <w:tcW w:w="1890" w:type="dxa"/>
            <w:shd w:val="clear" w:color="auto" w:fill="auto"/>
          </w:tcPr>
          <w:p w14:paraId="0AB3E84B"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Square of GDP per capita, Population size, Real gross industrial output, Total energy consumption, Real gross industrial output, Industrial energy consumption</w:t>
            </w:r>
            <w:r>
              <w:rPr>
                <w:rFonts w:ascii="Times New Roman" w:hAnsi="Times New Roman" w:cs="Times New Roman"/>
                <w:sz w:val="18"/>
                <w:szCs w:val="18"/>
              </w:rPr>
              <w:t>.</w:t>
            </w:r>
          </w:p>
        </w:tc>
        <w:tc>
          <w:tcPr>
            <w:tcW w:w="1530" w:type="dxa"/>
            <w:shd w:val="clear" w:color="auto" w:fill="auto"/>
          </w:tcPr>
          <w:p w14:paraId="32E343BD"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Input-output optimisation model, STIRPAT</w:t>
            </w:r>
          </w:p>
        </w:tc>
        <w:tc>
          <w:tcPr>
            <w:tcW w:w="2880" w:type="dxa"/>
            <w:shd w:val="clear" w:color="auto" w:fill="auto"/>
          </w:tcPr>
          <w:p w14:paraId="53AA6FDE"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Improving the industrial structure will be helpful to </w:t>
            </w:r>
            <w:r>
              <w:rPr>
                <w:rFonts w:ascii="Times New Roman" w:hAnsi="Times New Roman" w:cs="Times New Roman"/>
                <w:sz w:val="18"/>
                <w:szCs w:val="18"/>
              </w:rPr>
              <w:t>CO2</w:t>
            </w:r>
            <w:r w:rsidRPr="00CE2D5C">
              <w:rPr>
                <w:rFonts w:ascii="Times New Roman" w:hAnsi="Times New Roman" w:cs="Times New Roman"/>
                <w:sz w:val="18"/>
                <w:szCs w:val="18"/>
              </w:rPr>
              <w:t xml:space="preserve"> reduction, which can be achieved by promoting low-carbon industries</w:t>
            </w:r>
          </w:p>
        </w:tc>
      </w:tr>
      <w:tr w:rsidR="00180523" w:rsidRPr="00CE2D5C" w14:paraId="33A848E5" w14:textId="77777777" w:rsidTr="00D1236D">
        <w:tc>
          <w:tcPr>
            <w:tcW w:w="450" w:type="dxa"/>
          </w:tcPr>
          <w:p w14:paraId="2A3AED06" w14:textId="1FE2E6F7"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42</w:t>
            </w:r>
          </w:p>
        </w:tc>
        <w:tc>
          <w:tcPr>
            <w:tcW w:w="1350" w:type="dxa"/>
            <w:shd w:val="clear" w:color="auto" w:fill="auto"/>
          </w:tcPr>
          <w:p w14:paraId="31A3B7FA"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Aslam et al.</w:t>
            </w:r>
            <w:r w:rsidRPr="00CE2D5C">
              <w:rPr>
                <w:rFonts w:ascii="Times New Roman" w:hAnsi="Times New Roman" w:cs="Times New Roman"/>
                <w:sz w:val="18"/>
                <w:szCs w:val="18"/>
              </w:rPr>
              <w:br/>
              <w:t>(2021)</w:t>
            </w:r>
          </w:p>
        </w:tc>
        <w:tc>
          <w:tcPr>
            <w:tcW w:w="1260" w:type="dxa"/>
            <w:shd w:val="clear" w:color="auto" w:fill="auto"/>
          </w:tcPr>
          <w:p w14:paraId="70D5BF85"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Malaysia</w:t>
            </w:r>
            <w:r w:rsidRPr="00CE2D5C">
              <w:rPr>
                <w:rFonts w:ascii="Times New Roman" w:hAnsi="Times New Roman" w:cs="Times New Roman"/>
                <w:sz w:val="18"/>
                <w:szCs w:val="18"/>
              </w:rPr>
              <w:br/>
              <w:t>(1971 - 2016)</w:t>
            </w:r>
          </w:p>
        </w:tc>
        <w:tc>
          <w:tcPr>
            <w:tcW w:w="1890" w:type="dxa"/>
            <w:shd w:val="clear" w:color="auto" w:fill="auto"/>
          </w:tcPr>
          <w:p w14:paraId="53213904"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Pr>
                <w:rFonts w:ascii="Times New Roman" w:hAnsi="Times New Roman" w:cs="Times New Roman"/>
                <w:sz w:val="18"/>
                <w:szCs w:val="18"/>
              </w:rPr>
              <w:t>CO2</w:t>
            </w:r>
            <w:r w:rsidRPr="00CE2D5C">
              <w:rPr>
                <w:rFonts w:ascii="Times New Roman" w:hAnsi="Times New Roman" w:cs="Times New Roman"/>
                <w:sz w:val="18"/>
                <w:szCs w:val="18"/>
              </w:rPr>
              <w:t xml:space="preserve"> emissions, GDP, </w:t>
            </w:r>
            <w:r>
              <w:rPr>
                <w:rFonts w:ascii="Times New Roman" w:hAnsi="Times New Roman" w:cs="Times New Roman"/>
                <w:sz w:val="18"/>
                <w:szCs w:val="18"/>
              </w:rPr>
              <w:t>CO2</w:t>
            </w:r>
            <w:r w:rsidRPr="00CE2D5C">
              <w:rPr>
                <w:rFonts w:ascii="Times New Roman" w:hAnsi="Times New Roman" w:cs="Times New Roman"/>
                <w:sz w:val="18"/>
                <w:szCs w:val="18"/>
              </w:rPr>
              <w:t xml:space="preserve"> emissions from liquid fuel consumption, Industry, Trade</w:t>
            </w:r>
          </w:p>
        </w:tc>
        <w:tc>
          <w:tcPr>
            <w:tcW w:w="1530" w:type="dxa"/>
            <w:shd w:val="clear" w:color="auto" w:fill="auto"/>
          </w:tcPr>
          <w:p w14:paraId="3C953747"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ARDL, VECM, Granger</w:t>
            </w:r>
          </w:p>
        </w:tc>
        <w:tc>
          <w:tcPr>
            <w:tcW w:w="2880" w:type="dxa"/>
            <w:shd w:val="clear" w:color="auto" w:fill="auto"/>
          </w:tcPr>
          <w:p w14:paraId="43767D0E"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The industry has a negative effect on the environmental footprint in the long run</w:t>
            </w:r>
          </w:p>
        </w:tc>
      </w:tr>
      <w:tr w:rsidR="00180523" w:rsidRPr="00CE2D5C" w14:paraId="71EF52AC" w14:textId="77777777" w:rsidTr="00D1236D">
        <w:tc>
          <w:tcPr>
            <w:tcW w:w="450" w:type="dxa"/>
          </w:tcPr>
          <w:p w14:paraId="5A01459E" w14:textId="724A2890"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43</w:t>
            </w:r>
          </w:p>
        </w:tc>
        <w:tc>
          <w:tcPr>
            <w:tcW w:w="1350" w:type="dxa"/>
            <w:shd w:val="clear" w:color="auto" w:fill="auto"/>
          </w:tcPr>
          <w:p w14:paraId="7DD8A2B9"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Chen et al.</w:t>
            </w:r>
            <w:r w:rsidRPr="00CE2D5C">
              <w:rPr>
                <w:rFonts w:ascii="Times New Roman" w:hAnsi="Times New Roman" w:cs="Times New Roman"/>
                <w:sz w:val="18"/>
                <w:szCs w:val="18"/>
              </w:rPr>
              <w:br/>
              <w:t>(2021)</w:t>
            </w:r>
          </w:p>
        </w:tc>
        <w:tc>
          <w:tcPr>
            <w:tcW w:w="1260" w:type="dxa"/>
            <w:shd w:val="clear" w:color="auto" w:fill="auto"/>
          </w:tcPr>
          <w:p w14:paraId="7AE79BB9"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40 countries and aggregate of Rest of the World </w:t>
            </w:r>
            <w:r w:rsidRPr="00CE2D5C">
              <w:rPr>
                <w:rFonts w:ascii="Times New Roman" w:hAnsi="Times New Roman" w:cs="Times New Roman"/>
                <w:sz w:val="18"/>
                <w:szCs w:val="18"/>
              </w:rPr>
              <w:br/>
              <w:t>(1995-2009)</w:t>
            </w:r>
          </w:p>
        </w:tc>
        <w:tc>
          <w:tcPr>
            <w:tcW w:w="1890" w:type="dxa"/>
            <w:shd w:val="clear" w:color="auto" w:fill="auto"/>
          </w:tcPr>
          <w:p w14:paraId="224E069D"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Construction industry data</w:t>
            </w:r>
          </w:p>
        </w:tc>
        <w:tc>
          <w:tcPr>
            <w:tcW w:w="1530" w:type="dxa"/>
            <w:shd w:val="clear" w:color="auto" w:fill="auto"/>
          </w:tcPr>
          <w:p w14:paraId="266078FF"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Multiregional input</w:t>
            </w:r>
            <w:r>
              <w:rPr>
                <w:rFonts w:ascii="Times New Roman" w:hAnsi="Times New Roman" w:cs="Times New Roman"/>
                <w:sz w:val="18"/>
                <w:szCs w:val="18"/>
              </w:rPr>
              <w:t>-</w:t>
            </w:r>
            <w:r w:rsidRPr="00CE2D5C">
              <w:rPr>
                <w:rFonts w:ascii="Times New Roman" w:hAnsi="Times New Roman" w:cs="Times New Roman"/>
                <w:sz w:val="18"/>
                <w:szCs w:val="18"/>
              </w:rPr>
              <w:t>output model, Structural decomposition analysis model</w:t>
            </w:r>
          </w:p>
        </w:tc>
        <w:tc>
          <w:tcPr>
            <w:tcW w:w="2880" w:type="dxa"/>
            <w:shd w:val="clear" w:color="auto" w:fill="auto"/>
          </w:tcPr>
          <w:p w14:paraId="5E0E9ECF"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Although each </w:t>
            </w:r>
            <w:proofErr w:type="gramStart"/>
            <w:r w:rsidRPr="00CE2D5C">
              <w:rPr>
                <w:rFonts w:ascii="Times New Roman" w:hAnsi="Times New Roman" w:cs="Times New Roman"/>
                <w:sz w:val="18"/>
                <w:szCs w:val="18"/>
              </w:rPr>
              <w:t>countries</w:t>
            </w:r>
            <w:proofErr w:type="gramEnd"/>
            <w:r w:rsidRPr="00CE2D5C">
              <w:rPr>
                <w:rFonts w:ascii="Times New Roman" w:hAnsi="Times New Roman" w:cs="Times New Roman"/>
                <w:sz w:val="18"/>
                <w:szCs w:val="18"/>
              </w:rPr>
              <w:t xml:space="preserve"> industrial structure and driving factors of </w:t>
            </w:r>
            <w:r>
              <w:rPr>
                <w:rFonts w:ascii="Times New Roman" w:hAnsi="Times New Roman" w:cs="Times New Roman"/>
                <w:sz w:val="18"/>
                <w:szCs w:val="18"/>
              </w:rPr>
              <w:t>CO2</w:t>
            </w:r>
            <w:r w:rsidRPr="00CE2D5C">
              <w:rPr>
                <w:rFonts w:ascii="Times New Roman" w:hAnsi="Times New Roman" w:cs="Times New Roman"/>
                <w:sz w:val="18"/>
                <w:szCs w:val="18"/>
              </w:rPr>
              <w:t xml:space="preserve"> emissions across countries differ, the number of constructions of buildings and infrastructure is one of the main determining factors of </w:t>
            </w:r>
            <w:r>
              <w:rPr>
                <w:rFonts w:ascii="Times New Roman" w:hAnsi="Times New Roman" w:cs="Times New Roman"/>
                <w:sz w:val="18"/>
                <w:szCs w:val="18"/>
              </w:rPr>
              <w:t>CO2</w:t>
            </w:r>
            <w:r w:rsidRPr="00CE2D5C">
              <w:rPr>
                <w:rFonts w:ascii="Times New Roman" w:hAnsi="Times New Roman" w:cs="Times New Roman"/>
                <w:sz w:val="18"/>
                <w:szCs w:val="18"/>
              </w:rPr>
              <w:t xml:space="preserve"> emissions caused by the construction industry</w:t>
            </w:r>
          </w:p>
        </w:tc>
      </w:tr>
      <w:tr w:rsidR="00180523" w:rsidRPr="00CE2D5C" w14:paraId="0503DD4F" w14:textId="77777777" w:rsidTr="00D1236D">
        <w:tc>
          <w:tcPr>
            <w:tcW w:w="450" w:type="dxa"/>
          </w:tcPr>
          <w:p w14:paraId="05438AC5" w14:textId="01D5269C"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44</w:t>
            </w:r>
          </w:p>
        </w:tc>
        <w:tc>
          <w:tcPr>
            <w:tcW w:w="1350" w:type="dxa"/>
            <w:shd w:val="clear" w:color="auto" w:fill="auto"/>
          </w:tcPr>
          <w:p w14:paraId="0B2F6BD4"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Nassar et al.</w:t>
            </w:r>
            <w:r w:rsidRPr="00CE2D5C">
              <w:rPr>
                <w:rFonts w:ascii="Times New Roman" w:hAnsi="Times New Roman" w:cs="Times New Roman"/>
                <w:sz w:val="18"/>
                <w:szCs w:val="18"/>
              </w:rPr>
              <w:br/>
              <w:t>(2021)</w:t>
            </w:r>
          </w:p>
        </w:tc>
        <w:tc>
          <w:tcPr>
            <w:tcW w:w="1260" w:type="dxa"/>
            <w:shd w:val="clear" w:color="auto" w:fill="auto"/>
          </w:tcPr>
          <w:p w14:paraId="354869B3"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Libya</w:t>
            </w:r>
            <w:r w:rsidRPr="00CE2D5C">
              <w:rPr>
                <w:rFonts w:ascii="Times New Roman" w:hAnsi="Times New Roman" w:cs="Times New Roman"/>
                <w:sz w:val="18"/>
                <w:szCs w:val="18"/>
              </w:rPr>
              <w:br/>
              <w:t>(08/2010)</w:t>
            </w:r>
          </w:p>
        </w:tc>
        <w:tc>
          <w:tcPr>
            <w:tcW w:w="1890" w:type="dxa"/>
            <w:shd w:val="clear" w:color="auto" w:fill="auto"/>
          </w:tcPr>
          <w:p w14:paraId="360BCF05"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Electrical generation, Fuel consumption, Gas composition, ten different gas turbine operation parameters, Fuel heating value, Emission from flare, </w:t>
            </w:r>
            <w:r>
              <w:rPr>
                <w:rFonts w:ascii="Times New Roman" w:hAnsi="Times New Roman" w:cs="Times New Roman"/>
                <w:sz w:val="18"/>
                <w:szCs w:val="18"/>
              </w:rPr>
              <w:t>CO2</w:t>
            </w:r>
            <w:r w:rsidRPr="00CE2D5C">
              <w:rPr>
                <w:rFonts w:ascii="Times New Roman" w:hAnsi="Times New Roman" w:cs="Times New Roman"/>
                <w:sz w:val="18"/>
                <w:szCs w:val="18"/>
              </w:rPr>
              <w:t xml:space="preserve"> dissolved in water</w:t>
            </w:r>
            <w:r>
              <w:rPr>
                <w:rFonts w:ascii="Times New Roman" w:hAnsi="Times New Roman" w:cs="Times New Roman"/>
                <w:sz w:val="18"/>
                <w:szCs w:val="18"/>
              </w:rPr>
              <w:t>.</w:t>
            </w:r>
          </w:p>
        </w:tc>
        <w:tc>
          <w:tcPr>
            <w:tcW w:w="1530" w:type="dxa"/>
            <w:shd w:val="clear" w:color="auto" w:fill="auto"/>
          </w:tcPr>
          <w:p w14:paraId="7E11C83B"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Life Cycle Assessment</w:t>
            </w:r>
          </w:p>
        </w:tc>
        <w:tc>
          <w:tcPr>
            <w:tcW w:w="2880" w:type="dxa"/>
            <w:shd w:val="clear" w:color="auto" w:fill="auto"/>
          </w:tcPr>
          <w:p w14:paraId="0B3B8256"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The most </w:t>
            </w:r>
            <w:r>
              <w:rPr>
                <w:rFonts w:ascii="Times New Roman" w:hAnsi="Times New Roman" w:cs="Times New Roman"/>
                <w:sz w:val="18"/>
                <w:szCs w:val="18"/>
              </w:rPr>
              <w:t>CO2</w:t>
            </w:r>
            <w:r w:rsidRPr="00CE2D5C">
              <w:rPr>
                <w:rFonts w:ascii="Times New Roman" w:hAnsi="Times New Roman" w:cs="Times New Roman"/>
                <w:sz w:val="18"/>
                <w:szCs w:val="18"/>
              </w:rPr>
              <w:t xml:space="preserve"> emission contribution from a sectoral perspective is infrastructure by a wide margin</w:t>
            </w:r>
          </w:p>
        </w:tc>
      </w:tr>
      <w:tr w:rsidR="00180523" w:rsidRPr="00CE2D5C" w14:paraId="002EB684" w14:textId="77777777" w:rsidTr="00D1236D">
        <w:tc>
          <w:tcPr>
            <w:tcW w:w="450" w:type="dxa"/>
          </w:tcPr>
          <w:p w14:paraId="004DDECB" w14:textId="2D97E980"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45</w:t>
            </w:r>
          </w:p>
        </w:tc>
        <w:tc>
          <w:tcPr>
            <w:tcW w:w="1350" w:type="dxa"/>
            <w:shd w:val="clear" w:color="auto" w:fill="auto"/>
          </w:tcPr>
          <w:p w14:paraId="4668C2F9"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Nasir et al.</w:t>
            </w:r>
            <w:r w:rsidRPr="00CE2D5C">
              <w:rPr>
                <w:rFonts w:ascii="Times New Roman" w:hAnsi="Times New Roman" w:cs="Times New Roman"/>
                <w:sz w:val="18"/>
                <w:szCs w:val="18"/>
              </w:rPr>
              <w:br/>
              <w:t>(2021)</w:t>
            </w:r>
          </w:p>
        </w:tc>
        <w:tc>
          <w:tcPr>
            <w:tcW w:w="1260" w:type="dxa"/>
            <w:shd w:val="clear" w:color="auto" w:fill="auto"/>
          </w:tcPr>
          <w:p w14:paraId="3C0CB143"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Australia</w:t>
            </w:r>
            <w:r w:rsidRPr="00CE2D5C">
              <w:rPr>
                <w:rFonts w:ascii="Times New Roman" w:hAnsi="Times New Roman" w:cs="Times New Roman"/>
                <w:sz w:val="18"/>
                <w:szCs w:val="18"/>
              </w:rPr>
              <w:br/>
              <w:t>(1980-2014)</w:t>
            </w:r>
          </w:p>
        </w:tc>
        <w:tc>
          <w:tcPr>
            <w:tcW w:w="1890" w:type="dxa"/>
            <w:shd w:val="clear" w:color="auto" w:fill="auto"/>
          </w:tcPr>
          <w:p w14:paraId="4DF9214B"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Pr>
                <w:rFonts w:ascii="Times New Roman" w:hAnsi="Times New Roman" w:cs="Times New Roman"/>
                <w:sz w:val="18"/>
                <w:szCs w:val="18"/>
              </w:rPr>
              <w:t>CO2</w:t>
            </w:r>
            <w:r w:rsidRPr="00CE2D5C">
              <w:rPr>
                <w:rFonts w:ascii="Times New Roman" w:hAnsi="Times New Roman" w:cs="Times New Roman"/>
                <w:sz w:val="18"/>
                <w:szCs w:val="18"/>
              </w:rPr>
              <w:t xml:space="preserve">, economic growth, trade openness, </w:t>
            </w:r>
            <w:r w:rsidRPr="00CE2D5C">
              <w:rPr>
                <w:rFonts w:ascii="Times New Roman" w:hAnsi="Times New Roman" w:cs="Times New Roman"/>
                <w:sz w:val="18"/>
                <w:szCs w:val="18"/>
              </w:rPr>
              <w:lastRenderedPageBreak/>
              <w:t>industrialisation, energy consumption, financial development</w:t>
            </w:r>
          </w:p>
        </w:tc>
        <w:tc>
          <w:tcPr>
            <w:tcW w:w="1530" w:type="dxa"/>
            <w:shd w:val="clear" w:color="auto" w:fill="auto"/>
          </w:tcPr>
          <w:p w14:paraId="697F1ECC"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lastRenderedPageBreak/>
              <w:t>Causality</w:t>
            </w:r>
          </w:p>
        </w:tc>
        <w:tc>
          <w:tcPr>
            <w:tcW w:w="2880" w:type="dxa"/>
            <w:shd w:val="clear" w:color="auto" w:fill="auto"/>
          </w:tcPr>
          <w:p w14:paraId="4CCD6F2C"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While stock market development has a bidirectional causal relationship with </w:t>
            </w:r>
            <w:r>
              <w:rPr>
                <w:rFonts w:ascii="Times New Roman" w:hAnsi="Times New Roman" w:cs="Times New Roman"/>
                <w:sz w:val="18"/>
                <w:szCs w:val="18"/>
              </w:rPr>
              <w:t>CO2</w:t>
            </w:r>
            <w:r w:rsidRPr="00CE2D5C">
              <w:rPr>
                <w:rFonts w:ascii="Times New Roman" w:hAnsi="Times New Roman" w:cs="Times New Roman"/>
                <w:sz w:val="18"/>
                <w:szCs w:val="18"/>
              </w:rPr>
              <w:t xml:space="preserve"> emissions in </w:t>
            </w:r>
            <w:r w:rsidRPr="00CE2D5C">
              <w:rPr>
                <w:rFonts w:ascii="Times New Roman" w:hAnsi="Times New Roman" w:cs="Times New Roman"/>
                <w:sz w:val="18"/>
                <w:szCs w:val="18"/>
              </w:rPr>
              <w:lastRenderedPageBreak/>
              <w:t>the short run, financial development is beneficial for the environment in the long run</w:t>
            </w:r>
          </w:p>
        </w:tc>
      </w:tr>
      <w:tr w:rsidR="00180523" w:rsidRPr="00CE2D5C" w14:paraId="78F5D231" w14:textId="77777777" w:rsidTr="00D1236D">
        <w:tc>
          <w:tcPr>
            <w:tcW w:w="450" w:type="dxa"/>
          </w:tcPr>
          <w:p w14:paraId="1B1C9D07" w14:textId="6CEAEE4F"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lastRenderedPageBreak/>
              <w:t>46</w:t>
            </w:r>
          </w:p>
        </w:tc>
        <w:tc>
          <w:tcPr>
            <w:tcW w:w="1350" w:type="dxa"/>
            <w:shd w:val="clear" w:color="auto" w:fill="auto"/>
          </w:tcPr>
          <w:p w14:paraId="33C0DC6D"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Shoaib et al.</w:t>
            </w:r>
            <w:r w:rsidRPr="00CE2D5C">
              <w:rPr>
                <w:rFonts w:ascii="Times New Roman" w:hAnsi="Times New Roman" w:cs="Times New Roman"/>
                <w:sz w:val="18"/>
                <w:szCs w:val="18"/>
              </w:rPr>
              <w:br/>
              <w:t>(2020)</w:t>
            </w:r>
          </w:p>
        </w:tc>
        <w:tc>
          <w:tcPr>
            <w:tcW w:w="1260" w:type="dxa"/>
            <w:shd w:val="clear" w:color="auto" w:fill="auto"/>
          </w:tcPr>
          <w:p w14:paraId="08D52362"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G8 and D8 Nations</w:t>
            </w:r>
            <w:r w:rsidRPr="00CE2D5C">
              <w:rPr>
                <w:rFonts w:ascii="Times New Roman" w:hAnsi="Times New Roman" w:cs="Times New Roman"/>
                <w:sz w:val="18"/>
                <w:szCs w:val="18"/>
              </w:rPr>
              <w:br/>
              <w:t>(1999-2013)</w:t>
            </w:r>
          </w:p>
        </w:tc>
        <w:tc>
          <w:tcPr>
            <w:tcW w:w="1890" w:type="dxa"/>
            <w:shd w:val="clear" w:color="auto" w:fill="auto"/>
          </w:tcPr>
          <w:p w14:paraId="73BB1BA6"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Financial development and </w:t>
            </w:r>
            <w:r>
              <w:rPr>
                <w:rFonts w:ascii="Times New Roman" w:hAnsi="Times New Roman" w:cs="Times New Roman"/>
                <w:sz w:val="18"/>
                <w:szCs w:val="18"/>
              </w:rPr>
              <w:t>CO2</w:t>
            </w:r>
            <w:r w:rsidRPr="00CE2D5C">
              <w:rPr>
                <w:rFonts w:ascii="Times New Roman" w:hAnsi="Times New Roman" w:cs="Times New Roman"/>
                <w:sz w:val="18"/>
                <w:szCs w:val="18"/>
              </w:rPr>
              <w:t xml:space="preserve"> emissions</w:t>
            </w:r>
          </w:p>
        </w:tc>
        <w:tc>
          <w:tcPr>
            <w:tcW w:w="1530" w:type="dxa"/>
            <w:shd w:val="clear" w:color="auto" w:fill="auto"/>
          </w:tcPr>
          <w:p w14:paraId="6C20A038"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PMG, Panel ARDL</w:t>
            </w:r>
          </w:p>
        </w:tc>
        <w:tc>
          <w:tcPr>
            <w:tcW w:w="2880" w:type="dxa"/>
            <w:shd w:val="clear" w:color="auto" w:fill="auto"/>
          </w:tcPr>
          <w:p w14:paraId="3AAF7A5B"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 Financial development is beneficial for the environment in the long run</w:t>
            </w:r>
          </w:p>
        </w:tc>
      </w:tr>
      <w:tr w:rsidR="00180523" w:rsidRPr="00CE2D5C" w14:paraId="61715EB3" w14:textId="77777777" w:rsidTr="00D1236D">
        <w:tc>
          <w:tcPr>
            <w:tcW w:w="450" w:type="dxa"/>
          </w:tcPr>
          <w:p w14:paraId="098D998A" w14:textId="20054638"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47</w:t>
            </w:r>
          </w:p>
        </w:tc>
        <w:tc>
          <w:tcPr>
            <w:tcW w:w="1350" w:type="dxa"/>
            <w:shd w:val="clear" w:color="auto" w:fill="auto"/>
          </w:tcPr>
          <w:p w14:paraId="184800CD"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Zhao &amp; Yang </w:t>
            </w:r>
            <w:r w:rsidRPr="00CE2D5C">
              <w:rPr>
                <w:rFonts w:ascii="Times New Roman" w:hAnsi="Times New Roman" w:cs="Times New Roman"/>
                <w:sz w:val="18"/>
                <w:szCs w:val="18"/>
              </w:rPr>
              <w:br/>
              <w:t>(2020)</w:t>
            </w:r>
          </w:p>
        </w:tc>
        <w:tc>
          <w:tcPr>
            <w:tcW w:w="1260" w:type="dxa"/>
            <w:shd w:val="clear" w:color="auto" w:fill="auto"/>
          </w:tcPr>
          <w:p w14:paraId="1D537EC2"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29 Chinese provinces</w:t>
            </w:r>
            <w:r w:rsidRPr="00CE2D5C">
              <w:rPr>
                <w:rFonts w:ascii="Times New Roman" w:hAnsi="Times New Roman" w:cs="Times New Roman"/>
                <w:sz w:val="18"/>
                <w:szCs w:val="18"/>
              </w:rPr>
              <w:br/>
              <w:t>(2001-2015)</w:t>
            </w:r>
          </w:p>
        </w:tc>
        <w:tc>
          <w:tcPr>
            <w:tcW w:w="1890" w:type="dxa"/>
            <w:shd w:val="clear" w:color="auto" w:fill="auto"/>
          </w:tcPr>
          <w:p w14:paraId="27329A7D"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Pr>
                <w:rFonts w:ascii="Times New Roman" w:hAnsi="Times New Roman" w:cs="Times New Roman"/>
                <w:sz w:val="18"/>
                <w:szCs w:val="18"/>
              </w:rPr>
              <w:t>CO2</w:t>
            </w:r>
            <w:r w:rsidRPr="00CE2D5C">
              <w:rPr>
                <w:rFonts w:ascii="Times New Roman" w:hAnsi="Times New Roman" w:cs="Times New Roman"/>
                <w:sz w:val="18"/>
                <w:szCs w:val="18"/>
              </w:rPr>
              <w:t>, Financial development, GDP, Energy consumption, Urban population</w:t>
            </w:r>
          </w:p>
        </w:tc>
        <w:tc>
          <w:tcPr>
            <w:tcW w:w="1530" w:type="dxa"/>
            <w:shd w:val="clear" w:color="auto" w:fill="auto"/>
          </w:tcPr>
          <w:p w14:paraId="5B5D8839"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Panel data</w:t>
            </w:r>
          </w:p>
        </w:tc>
        <w:tc>
          <w:tcPr>
            <w:tcW w:w="2880" w:type="dxa"/>
            <w:shd w:val="clear" w:color="auto" w:fill="auto"/>
          </w:tcPr>
          <w:p w14:paraId="2E3FD23E"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Regional financial development has a restrictor effect on </w:t>
            </w:r>
            <w:r>
              <w:rPr>
                <w:rFonts w:ascii="Times New Roman" w:hAnsi="Times New Roman" w:cs="Times New Roman"/>
                <w:sz w:val="18"/>
                <w:szCs w:val="18"/>
              </w:rPr>
              <w:t>CO2</w:t>
            </w:r>
            <w:r w:rsidRPr="00CE2D5C">
              <w:rPr>
                <w:rFonts w:ascii="Times New Roman" w:hAnsi="Times New Roman" w:cs="Times New Roman"/>
                <w:sz w:val="18"/>
                <w:szCs w:val="18"/>
              </w:rPr>
              <w:t xml:space="preserve"> emissions</w:t>
            </w:r>
          </w:p>
        </w:tc>
      </w:tr>
      <w:tr w:rsidR="00180523" w:rsidRPr="00CE2D5C" w14:paraId="018D94E4" w14:textId="77777777" w:rsidTr="00D1236D">
        <w:tc>
          <w:tcPr>
            <w:tcW w:w="450" w:type="dxa"/>
          </w:tcPr>
          <w:p w14:paraId="554AF27C" w14:textId="2379D696" w:rsidR="00180523" w:rsidRPr="00D26A76" w:rsidRDefault="00450DFA" w:rsidP="00D1236D">
            <w:pPr>
              <w:tabs>
                <w:tab w:val="left" w:pos="0"/>
              </w:tabs>
              <w:spacing w:after="0" w:line="240" w:lineRule="auto"/>
              <w:rPr>
                <w:rFonts w:ascii="Times New Roman" w:hAnsi="Times New Roman" w:cs="Times New Roman"/>
                <w:b/>
                <w:bCs/>
                <w:sz w:val="18"/>
                <w:szCs w:val="18"/>
              </w:rPr>
            </w:pPr>
            <w:r>
              <w:rPr>
                <w:rFonts w:ascii="Times New Roman" w:hAnsi="Times New Roman" w:cs="Times New Roman"/>
                <w:b/>
                <w:bCs/>
                <w:sz w:val="18"/>
                <w:szCs w:val="18"/>
              </w:rPr>
              <w:t>48</w:t>
            </w:r>
          </w:p>
        </w:tc>
        <w:tc>
          <w:tcPr>
            <w:tcW w:w="1350" w:type="dxa"/>
            <w:shd w:val="clear" w:color="auto" w:fill="auto"/>
          </w:tcPr>
          <w:p w14:paraId="374569BF"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Sharma et al.</w:t>
            </w:r>
            <w:r w:rsidRPr="00CE2D5C">
              <w:rPr>
                <w:rFonts w:ascii="Times New Roman" w:hAnsi="Times New Roman" w:cs="Times New Roman"/>
                <w:sz w:val="18"/>
                <w:szCs w:val="18"/>
              </w:rPr>
              <w:br/>
              <w:t>(2021)</w:t>
            </w:r>
          </w:p>
        </w:tc>
        <w:tc>
          <w:tcPr>
            <w:tcW w:w="1260" w:type="dxa"/>
            <w:shd w:val="clear" w:color="auto" w:fill="auto"/>
          </w:tcPr>
          <w:p w14:paraId="7CF69109"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sidRPr="00CE2D5C">
              <w:rPr>
                <w:rFonts w:ascii="Times New Roman" w:hAnsi="Times New Roman" w:cs="Times New Roman"/>
                <w:sz w:val="18"/>
                <w:szCs w:val="18"/>
              </w:rPr>
              <w:t>11 countries (1976-2015)</w:t>
            </w:r>
          </w:p>
        </w:tc>
        <w:tc>
          <w:tcPr>
            <w:tcW w:w="1890" w:type="dxa"/>
            <w:shd w:val="clear" w:color="auto" w:fill="auto"/>
          </w:tcPr>
          <w:p w14:paraId="1A26FF82" w14:textId="77777777" w:rsidR="00180523" w:rsidRPr="00CE2D5C" w:rsidRDefault="00180523" w:rsidP="00D1236D">
            <w:pPr>
              <w:tabs>
                <w:tab w:val="left" w:pos="0"/>
              </w:tabs>
              <w:spacing w:after="0" w:line="240" w:lineRule="auto"/>
              <w:rPr>
                <w:rFonts w:ascii="Times New Roman" w:hAnsi="Times New Roman" w:cs="Times New Roman"/>
                <w:sz w:val="18"/>
                <w:szCs w:val="18"/>
              </w:rPr>
            </w:pPr>
            <w:r>
              <w:rPr>
                <w:rFonts w:ascii="Times New Roman" w:hAnsi="Times New Roman" w:cs="Times New Roman"/>
                <w:sz w:val="18"/>
                <w:szCs w:val="18"/>
              </w:rPr>
              <w:t>CO2</w:t>
            </w:r>
            <w:r w:rsidRPr="00CE2D5C">
              <w:rPr>
                <w:rFonts w:ascii="Times New Roman" w:hAnsi="Times New Roman" w:cs="Times New Roman"/>
                <w:sz w:val="18"/>
                <w:szCs w:val="18"/>
              </w:rPr>
              <w:t xml:space="preserve"> emissions, GDP, Financial development, Consumption of energy resources</w:t>
            </w:r>
          </w:p>
        </w:tc>
        <w:tc>
          <w:tcPr>
            <w:tcW w:w="1530" w:type="dxa"/>
            <w:shd w:val="clear" w:color="auto" w:fill="auto"/>
          </w:tcPr>
          <w:p w14:paraId="6524CDCE"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Westerlund, CS-ARDL</w:t>
            </w:r>
          </w:p>
        </w:tc>
        <w:tc>
          <w:tcPr>
            <w:tcW w:w="2880" w:type="dxa"/>
            <w:shd w:val="clear" w:color="auto" w:fill="auto"/>
          </w:tcPr>
          <w:p w14:paraId="4FF83EC9" w14:textId="77777777" w:rsidR="00180523" w:rsidRPr="00CE2D5C" w:rsidRDefault="00180523" w:rsidP="00D1236D">
            <w:pPr>
              <w:tabs>
                <w:tab w:val="left" w:pos="0"/>
              </w:tabs>
              <w:autoSpaceDE w:val="0"/>
              <w:autoSpaceDN w:val="0"/>
              <w:adjustRightInd w:val="0"/>
              <w:spacing w:after="0" w:line="240" w:lineRule="auto"/>
              <w:rPr>
                <w:rFonts w:ascii="Times New Roman" w:hAnsi="Times New Roman" w:cs="Times New Roman"/>
                <w:sz w:val="18"/>
                <w:szCs w:val="18"/>
              </w:rPr>
            </w:pPr>
            <w:r w:rsidRPr="00CE2D5C">
              <w:rPr>
                <w:rFonts w:ascii="Times New Roman" w:hAnsi="Times New Roman" w:cs="Times New Roman"/>
                <w:sz w:val="18"/>
                <w:szCs w:val="18"/>
              </w:rPr>
              <w:t xml:space="preserve">Financial sector development has a positive effect on </w:t>
            </w:r>
            <w:r>
              <w:rPr>
                <w:rFonts w:ascii="Times New Roman" w:hAnsi="Times New Roman" w:cs="Times New Roman"/>
                <w:sz w:val="18"/>
                <w:szCs w:val="18"/>
              </w:rPr>
              <w:t>CO2</w:t>
            </w:r>
            <w:r w:rsidRPr="00CE2D5C">
              <w:rPr>
                <w:rFonts w:ascii="Times New Roman" w:hAnsi="Times New Roman" w:cs="Times New Roman"/>
                <w:sz w:val="18"/>
                <w:szCs w:val="18"/>
              </w:rPr>
              <w:t xml:space="preserve">, and energy has a negatively moderating role between financial development and </w:t>
            </w:r>
            <w:r>
              <w:rPr>
                <w:rFonts w:ascii="Times New Roman" w:hAnsi="Times New Roman" w:cs="Times New Roman"/>
                <w:sz w:val="18"/>
                <w:szCs w:val="18"/>
              </w:rPr>
              <w:t>CO2</w:t>
            </w:r>
            <w:r w:rsidRPr="00CE2D5C">
              <w:rPr>
                <w:rFonts w:ascii="Times New Roman" w:hAnsi="Times New Roman" w:cs="Times New Roman"/>
                <w:sz w:val="18"/>
                <w:szCs w:val="18"/>
              </w:rPr>
              <w:t xml:space="preserve"> emissions</w:t>
            </w:r>
          </w:p>
        </w:tc>
      </w:tr>
    </w:tbl>
    <w:p w14:paraId="366AFE8A" w14:textId="77777777" w:rsidR="00180523" w:rsidRPr="00CE2D5C" w:rsidRDefault="00180523" w:rsidP="00180523">
      <w:pPr>
        <w:spacing w:after="0" w:line="240" w:lineRule="auto"/>
        <w:rPr>
          <w:rFonts w:ascii="Times New Roman" w:hAnsi="Times New Roman" w:cs="Times New Roman"/>
          <w:color w:val="000000" w:themeColor="text1"/>
          <w:sz w:val="18"/>
          <w:szCs w:val="18"/>
        </w:rPr>
      </w:pPr>
    </w:p>
    <w:p w14:paraId="41B3C97A" w14:textId="77777777" w:rsidR="00180523" w:rsidRDefault="00180523" w:rsidP="00180523">
      <w:pPr>
        <w:spacing w:after="0" w:line="240" w:lineRule="auto"/>
        <w:rPr>
          <w:rFonts w:ascii="Times New Roman" w:hAnsi="Times New Roman" w:cs="Times New Roman"/>
          <w:b/>
          <w:bCs/>
          <w:color w:val="000000" w:themeColor="text1"/>
          <w:sz w:val="18"/>
          <w:szCs w:val="18"/>
        </w:rPr>
      </w:pPr>
    </w:p>
    <w:p w14:paraId="294522E4" w14:textId="77777777" w:rsidR="00180523" w:rsidRDefault="00180523" w:rsidP="00180523">
      <w:pPr>
        <w:spacing w:after="0" w:line="240" w:lineRule="auto"/>
        <w:rPr>
          <w:rFonts w:ascii="Times New Roman" w:hAnsi="Times New Roman" w:cs="Times New Roman"/>
          <w:b/>
          <w:bCs/>
          <w:color w:val="000000" w:themeColor="text1"/>
          <w:sz w:val="18"/>
          <w:szCs w:val="18"/>
        </w:rPr>
      </w:pPr>
    </w:p>
    <w:p w14:paraId="5C5848F0" w14:textId="77777777" w:rsidR="00180523" w:rsidRDefault="00180523" w:rsidP="00180523">
      <w:pPr>
        <w:spacing w:after="0" w:line="240" w:lineRule="auto"/>
        <w:rPr>
          <w:rFonts w:ascii="Times New Roman" w:hAnsi="Times New Roman" w:cs="Times New Roman"/>
          <w:b/>
          <w:bCs/>
          <w:color w:val="000000" w:themeColor="text1"/>
          <w:sz w:val="18"/>
          <w:szCs w:val="18"/>
        </w:rPr>
      </w:pPr>
    </w:p>
    <w:p w14:paraId="41F2FD4C" w14:textId="77777777" w:rsidR="00180523" w:rsidRDefault="00180523" w:rsidP="00180523">
      <w:pPr>
        <w:spacing w:after="0" w:line="240" w:lineRule="auto"/>
        <w:rPr>
          <w:rFonts w:ascii="Times New Roman" w:hAnsi="Times New Roman" w:cs="Times New Roman"/>
          <w:b/>
          <w:bCs/>
          <w:color w:val="000000" w:themeColor="text1"/>
          <w:sz w:val="18"/>
          <w:szCs w:val="18"/>
        </w:rPr>
      </w:pPr>
    </w:p>
    <w:p w14:paraId="21EC2BD8" w14:textId="77777777" w:rsidR="00180523" w:rsidRDefault="00180523" w:rsidP="00180523">
      <w:pPr>
        <w:spacing w:after="0" w:line="240" w:lineRule="auto"/>
        <w:rPr>
          <w:rFonts w:ascii="Times New Roman" w:hAnsi="Times New Roman" w:cs="Times New Roman"/>
          <w:b/>
          <w:bCs/>
          <w:color w:val="000000" w:themeColor="text1"/>
          <w:sz w:val="18"/>
          <w:szCs w:val="18"/>
        </w:rPr>
      </w:pPr>
    </w:p>
    <w:p w14:paraId="7C5AD222" w14:textId="77777777" w:rsidR="00180523" w:rsidRDefault="00180523" w:rsidP="00180523">
      <w:pPr>
        <w:spacing w:after="0" w:line="240" w:lineRule="auto"/>
        <w:rPr>
          <w:rFonts w:ascii="Times New Roman" w:hAnsi="Times New Roman" w:cs="Times New Roman"/>
          <w:b/>
          <w:bCs/>
          <w:color w:val="000000" w:themeColor="text1"/>
          <w:sz w:val="18"/>
          <w:szCs w:val="18"/>
        </w:rPr>
      </w:pPr>
    </w:p>
    <w:p w14:paraId="433C6C4B" w14:textId="77777777" w:rsidR="00180523" w:rsidRDefault="00180523" w:rsidP="00180523">
      <w:pPr>
        <w:spacing w:after="0" w:line="240" w:lineRule="auto"/>
        <w:rPr>
          <w:rFonts w:ascii="Times New Roman" w:hAnsi="Times New Roman" w:cs="Times New Roman"/>
          <w:b/>
          <w:bCs/>
          <w:color w:val="000000" w:themeColor="text1"/>
          <w:sz w:val="18"/>
          <w:szCs w:val="18"/>
        </w:rPr>
      </w:pPr>
    </w:p>
    <w:p w14:paraId="00136286" w14:textId="77777777" w:rsidR="00180523" w:rsidRDefault="00180523" w:rsidP="00180523">
      <w:pPr>
        <w:spacing w:after="0" w:line="240" w:lineRule="auto"/>
        <w:rPr>
          <w:rFonts w:ascii="Times New Roman" w:hAnsi="Times New Roman" w:cs="Times New Roman"/>
          <w:b/>
          <w:bCs/>
          <w:color w:val="000000" w:themeColor="text1"/>
          <w:sz w:val="18"/>
          <w:szCs w:val="18"/>
        </w:rPr>
      </w:pPr>
    </w:p>
    <w:p w14:paraId="02B76A07" w14:textId="77777777" w:rsidR="00180523" w:rsidRDefault="00180523" w:rsidP="00180523">
      <w:pPr>
        <w:spacing w:after="0" w:line="240" w:lineRule="auto"/>
        <w:rPr>
          <w:rFonts w:ascii="Times New Roman" w:hAnsi="Times New Roman" w:cs="Times New Roman"/>
          <w:b/>
          <w:bCs/>
          <w:color w:val="000000" w:themeColor="text1"/>
          <w:sz w:val="18"/>
          <w:szCs w:val="18"/>
        </w:rPr>
      </w:pPr>
    </w:p>
    <w:p w14:paraId="516B3CA0" w14:textId="77777777" w:rsidR="00180523" w:rsidRDefault="00180523" w:rsidP="00180523">
      <w:pPr>
        <w:spacing w:after="0" w:line="240" w:lineRule="auto"/>
        <w:rPr>
          <w:rFonts w:ascii="Times New Roman" w:hAnsi="Times New Roman" w:cs="Times New Roman"/>
          <w:b/>
          <w:bCs/>
          <w:color w:val="000000" w:themeColor="text1"/>
          <w:sz w:val="18"/>
          <w:szCs w:val="18"/>
        </w:rPr>
      </w:pPr>
    </w:p>
    <w:p w14:paraId="44A03D46"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1A54D440"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3D83C2E7"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569D1E36"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6F13F6E9"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13B2D491"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3F533721"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46857B60"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300D0C15"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1EC928F1"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443F1113"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16382645"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206A83CA"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2E5F0EAF"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4B32CF09"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0A54E868"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0BFFD8D3"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03B3310B"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54F92424"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2C0FF232"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60FB05B1"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053F6E8B"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778FB28E"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4EF8C010"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1C3D82A4"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161D8898"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5E54119C"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29C4039F"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267322EE"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3C37D402"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0F4B3E51"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71EA3193"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0BA541B8"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1A4596A9" w14:textId="77777777" w:rsidR="00765F38" w:rsidRDefault="00765F38" w:rsidP="00180523">
      <w:pPr>
        <w:spacing w:after="0" w:line="240" w:lineRule="auto"/>
        <w:rPr>
          <w:rFonts w:ascii="Times New Roman" w:hAnsi="Times New Roman" w:cs="Times New Roman"/>
          <w:b/>
          <w:bCs/>
          <w:color w:val="000000" w:themeColor="text1"/>
          <w:sz w:val="18"/>
          <w:szCs w:val="18"/>
        </w:rPr>
      </w:pPr>
    </w:p>
    <w:p w14:paraId="1A01A275" w14:textId="77777777" w:rsidR="00180523" w:rsidRDefault="00180523" w:rsidP="00180523">
      <w:pPr>
        <w:spacing w:after="0" w:line="240" w:lineRule="auto"/>
        <w:rPr>
          <w:rFonts w:ascii="Times New Roman" w:hAnsi="Times New Roman" w:cs="Times New Roman"/>
          <w:b/>
          <w:bCs/>
          <w:color w:val="000000" w:themeColor="text1"/>
          <w:sz w:val="18"/>
          <w:szCs w:val="18"/>
        </w:rPr>
      </w:pPr>
    </w:p>
    <w:p w14:paraId="4BC22C15" w14:textId="77777777" w:rsidR="00180523" w:rsidRPr="00CE2D5C" w:rsidRDefault="00180523" w:rsidP="00180523">
      <w:pPr>
        <w:spacing w:after="0" w:line="240" w:lineRule="auto"/>
        <w:rPr>
          <w:rFonts w:ascii="Times New Roman" w:hAnsi="Times New Roman" w:cs="Times New Roman"/>
          <w:b/>
          <w:bCs/>
          <w:color w:val="000000" w:themeColor="text1"/>
          <w:sz w:val="18"/>
          <w:szCs w:val="18"/>
        </w:rPr>
      </w:pPr>
    </w:p>
    <w:p w14:paraId="732209B4" w14:textId="77777777" w:rsidR="00180523" w:rsidRPr="00200134" w:rsidRDefault="00180523" w:rsidP="00C07D8A">
      <w:pPr>
        <w:spacing w:after="0" w:line="240" w:lineRule="auto"/>
        <w:rPr>
          <w:rFonts w:ascii="Times New Roman" w:hAnsi="Times New Roman" w:cs="Times New Roman"/>
          <w:color w:val="000000" w:themeColor="text1"/>
        </w:rPr>
      </w:pPr>
      <w:r w:rsidRPr="00200134">
        <w:rPr>
          <w:rFonts w:ascii="Times New Roman" w:hAnsi="Times New Roman" w:cs="Times New Roman"/>
          <w:b/>
          <w:bCs/>
          <w:color w:val="000000" w:themeColor="text1"/>
        </w:rPr>
        <w:lastRenderedPageBreak/>
        <w:t>Table A3</w:t>
      </w:r>
      <w:r w:rsidRPr="00200134">
        <w:rPr>
          <w:rFonts w:ascii="Times New Roman" w:hAnsi="Times New Roman" w:cs="Times New Roman"/>
          <w:color w:val="000000" w:themeColor="text1"/>
        </w:rPr>
        <w:t xml:space="preserve">. Literature Review on </w:t>
      </w:r>
      <w:r>
        <w:rPr>
          <w:rFonts w:ascii="Times New Roman" w:hAnsi="Times New Roman" w:cs="Times New Roman"/>
          <w:color w:val="000000" w:themeColor="text1"/>
        </w:rPr>
        <w:t xml:space="preserve">the </w:t>
      </w:r>
      <w:r w:rsidRPr="00200134">
        <w:rPr>
          <w:rFonts w:ascii="Times New Roman" w:hAnsi="Times New Roman" w:cs="Times New Roman"/>
          <w:color w:val="000000" w:themeColor="text1"/>
        </w:rPr>
        <w:t>Asymmetric Effects</w:t>
      </w:r>
      <w:r>
        <w:rPr>
          <w:rFonts w:ascii="Times New Roman" w:hAnsi="Times New Roman" w:cs="Times New Roman"/>
          <w:color w:val="000000" w:themeColor="text1"/>
        </w:rPr>
        <w:t xml:space="preserve"> of Renewables</w:t>
      </w:r>
    </w:p>
    <w:tbl>
      <w:tblPr>
        <w:tblW w:w="9396" w:type="dxa"/>
        <w:tblLayout w:type="fixed"/>
        <w:tblLook w:val="04A0" w:firstRow="1" w:lastRow="0" w:firstColumn="1" w:lastColumn="0" w:noHBand="0" w:noVBand="1"/>
      </w:tblPr>
      <w:tblGrid>
        <w:gridCol w:w="510"/>
        <w:gridCol w:w="1285"/>
        <w:gridCol w:w="1260"/>
        <w:gridCol w:w="1800"/>
        <w:gridCol w:w="1620"/>
        <w:gridCol w:w="2921"/>
      </w:tblGrid>
      <w:tr w:rsidR="00180523" w:rsidRPr="00D974D5" w14:paraId="5523D8F0" w14:textId="77777777" w:rsidTr="00D1236D">
        <w:tc>
          <w:tcPr>
            <w:tcW w:w="510" w:type="dxa"/>
            <w:tcBorders>
              <w:top w:val="single" w:sz="4" w:space="0" w:color="auto"/>
              <w:left w:val="single" w:sz="4" w:space="0" w:color="auto"/>
              <w:bottom w:val="single" w:sz="4" w:space="0" w:color="auto"/>
              <w:right w:val="single" w:sz="4" w:space="0" w:color="auto"/>
            </w:tcBorders>
          </w:tcPr>
          <w:p w14:paraId="7BDB23B1" w14:textId="77777777" w:rsidR="00180523" w:rsidRPr="00D974D5" w:rsidRDefault="00180523" w:rsidP="00D1236D">
            <w:pPr>
              <w:spacing w:after="0" w:line="240" w:lineRule="auto"/>
              <w:jc w:val="center"/>
              <w:rPr>
                <w:rFonts w:ascii="Times New Roman" w:hAnsi="Times New Roman" w:cs="Times New Roman"/>
                <w:color w:val="000000" w:themeColor="text1"/>
                <w:sz w:val="17"/>
                <w:szCs w:val="17"/>
              </w:rPr>
            </w:pPr>
            <w:r w:rsidRPr="00D974D5">
              <w:rPr>
                <w:rFonts w:ascii="Times New Roman" w:hAnsi="Times New Roman" w:cs="Times New Roman"/>
                <w:color w:val="000000" w:themeColor="text1"/>
                <w:sz w:val="17"/>
                <w:szCs w:val="17"/>
              </w:rPr>
              <w:t>No</w:t>
            </w:r>
          </w:p>
        </w:tc>
        <w:tc>
          <w:tcPr>
            <w:tcW w:w="1285" w:type="dxa"/>
            <w:tcBorders>
              <w:top w:val="single" w:sz="4" w:space="0" w:color="auto"/>
              <w:left w:val="single" w:sz="4" w:space="0" w:color="auto"/>
              <w:bottom w:val="single" w:sz="4" w:space="0" w:color="auto"/>
              <w:right w:val="single" w:sz="4" w:space="0" w:color="auto"/>
            </w:tcBorders>
          </w:tcPr>
          <w:p w14:paraId="20F52D52" w14:textId="77777777" w:rsidR="00180523" w:rsidRPr="00D974D5" w:rsidRDefault="00180523" w:rsidP="00D1236D">
            <w:pPr>
              <w:spacing w:after="0" w:line="240" w:lineRule="auto"/>
              <w:jc w:val="center"/>
              <w:rPr>
                <w:rFonts w:ascii="Times New Roman" w:hAnsi="Times New Roman" w:cs="Times New Roman"/>
                <w:color w:val="000000" w:themeColor="text1"/>
                <w:sz w:val="17"/>
                <w:szCs w:val="17"/>
              </w:rPr>
            </w:pPr>
            <w:r w:rsidRPr="00D974D5">
              <w:rPr>
                <w:rFonts w:ascii="Times New Roman" w:hAnsi="Times New Roman" w:cs="Times New Roman"/>
                <w:color w:val="000000" w:themeColor="text1"/>
                <w:sz w:val="17"/>
                <w:szCs w:val="17"/>
              </w:rPr>
              <w:t>Author</w:t>
            </w:r>
          </w:p>
        </w:tc>
        <w:tc>
          <w:tcPr>
            <w:tcW w:w="1260" w:type="dxa"/>
            <w:tcBorders>
              <w:top w:val="single" w:sz="4" w:space="0" w:color="auto"/>
              <w:left w:val="single" w:sz="4" w:space="0" w:color="auto"/>
              <w:bottom w:val="single" w:sz="4" w:space="0" w:color="auto"/>
              <w:right w:val="single" w:sz="4" w:space="0" w:color="auto"/>
            </w:tcBorders>
          </w:tcPr>
          <w:p w14:paraId="78D86B8B" w14:textId="77777777" w:rsidR="00180523" w:rsidRPr="00D974D5" w:rsidRDefault="00180523" w:rsidP="00D1236D">
            <w:pPr>
              <w:spacing w:after="0" w:line="240" w:lineRule="auto"/>
              <w:jc w:val="center"/>
              <w:rPr>
                <w:rFonts w:ascii="Times New Roman" w:hAnsi="Times New Roman" w:cs="Times New Roman"/>
                <w:color w:val="000000" w:themeColor="text1"/>
                <w:sz w:val="17"/>
                <w:szCs w:val="17"/>
              </w:rPr>
            </w:pPr>
            <w:r w:rsidRPr="00D974D5">
              <w:rPr>
                <w:rFonts w:ascii="Times New Roman" w:hAnsi="Times New Roman" w:cs="Times New Roman"/>
                <w:color w:val="000000" w:themeColor="text1"/>
                <w:sz w:val="17"/>
                <w:szCs w:val="17"/>
              </w:rPr>
              <w:t>Country and Period</w:t>
            </w:r>
          </w:p>
        </w:tc>
        <w:tc>
          <w:tcPr>
            <w:tcW w:w="1800" w:type="dxa"/>
            <w:tcBorders>
              <w:top w:val="single" w:sz="4" w:space="0" w:color="auto"/>
              <w:left w:val="single" w:sz="4" w:space="0" w:color="auto"/>
              <w:bottom w:val="single" w:sz="4" w:space="0" w:color="auto"/>
              <w:right w:val="single" w:sz="4" w:space="0" w:color="auto"/>
            </w:tcBorders>
          </w:tcPr>
          <w:p w14:paraId="21A29BA6" w14:textId="77777777" w:rsidR="00180523" w:rsidRPr="00D974D5" w:rsidRDefault="00180523" w:rsidP="00D1236D">
            <w:pPr>
              <w:spacing w:after="0" w:line="240" w:lineRule="auto"/>
              <w:jc w:val="center"/>
              <w:rPr>
                <w:rFonts w:ascii="Times New Roman" w:hAnsi="Times New Roman" w:cs="Times New Roman"/>
                <w:color w:val="000000" w:themeColor="text1"/>
                <w:sz w:val="17"/>
                <w:szCs w:val="17"/>
              </w:rPr>
            </w:pPr>
            <w:r w:rsidRPr="00D974D5">
              <w:rPr>
                <w:rFonts w:ascii="Times New Roman" w:hAnsi="Times New Roman" w:cs="Times New Roman"/>
                <w:color w:val="000000" w:themeColor="text1"/>
                <w:sz w:val="17"/>
                <w:szCs w:val="17"/>
              </w:rPr>
              <w:t>Variables</w:t>
            </w:r>
          </w:p>
        </w:tc>
        <w:tc>
          <w:tcPr>
            <w:tcW w:w="1620" w:type="dxa"/>
            <w:tcBorders>
              <w:top w:val="single" w:sz="4" w:space="0" w:color="auto"/>
              <w:left w:val="single" w:sz="4" w:space="0" w:color="auto"/>
              <w:bottom w:val="single" w:sz="4" w:space="0" w:color="auto"/>
              <w:right w:val="single" w:sz="4" w:space="0" w:color="auto"/>
            </w:tcBorders>
          </w:tcPr>
          <w:p w14:paraId="7639F55C" w14:textId="77777777" w:rsidR="00180523" w:rsidRPr="00D974D5" w:rsidRDefault="00180523" w:rsidP="00D1236D">
            <w:pPr>
              <w:spacing w:after="0" w:line="240" w:lineRule="auto"/>
              <w:jc w:val="center"/>
              <w:rPr>
                <w:rFonts w:ascii="Times New Roman" w:hAnsi="Times New Roman" w:cs="Times New Roman"/>
                <w:color w:val="000000" w:themeColor="text1"/>
                <w:sz w:val="17"/>
                <w:szCs w:val="17"/>
              </w:rPr>
            </w:pPr>
            <w:r w:rsidRPr="00D974D5">
              <w:rPr>
                <w:rFonts w:ascii="Times New Roman" w:hAnsi="Times New Roman" w:cs="Times New Roman"/>
                <w:color w:val="000000" w:themeColor="text1"/>
                <w:sz w:val="17"/>
                <w:szCs w:val="17"/>
              </w:rPr>
              <w:t>Method</w:t>
            </w:r>
          </w:p>
        </w:tc>
        <w:tc>
          <w:tcPr>
            <w:tcW w:w="2921" w:type="dxa"/>
            <w:tcBorders>
              <w:top w:val="single" w:sz="4" w:space="0" w:color="auto"/>
              <w:left w:val="single" w:sz="4" w:space="0" w:color="auto"/>
              <w:bottom w:val="single" w:sz="4" w:space="0" w:color="auto"/>
              <w:right w:val="single" w:sz="4" w:space="0" w:color="auto"/>
            </w:tcBorders>
          </w:tcPr>
          <w:p w14:paraId="2886C442" w14:textId="77777777" w:rsidR="00180523" w:rsidRPr="00D974D5" w:rsidRDefault="00180523" w:rsidP="00D1236D">
            <w:pPr>
              <w:spacing w:after="0" w:line="240" w:lineRule="auto"/>
              <w:jc w:val="center"/>
              <w:rPr>
                <w:rFonts w:ascii="Times New Roman" w:hAnsi="Times New Roman" w:cs="Times New Roman"/>
                <w:color w:val="000000" w:themeColor="text1"/>
                <w:sz w:val="17"/>
                <w:szCs w:val="17"/>
              </w:rPr>
            </w:pPr>
            <w:r w:rsidRPr="00D974D5">
              <w:rPr>
                <w:rFonts w:ascii="Times New Roman" w:hAnsi="Times New Roman" w:cs="Times New Roman"/>
                <w:color w:val="000000" w:themeColor="text1"/>
                <w:sz w:val="17"/>
                <w:szCs w:val="17"/>
              </w:rPr>
              <w:t>Results</w:t>
            </w:r>
          </w:p>
        </w:tc>
      </w:tr>
      <w:tr w:rsidR="00180523" w:rsidRPr="00D974D5" w14:paraId="76AE4014" w14:textId="77777777" w:rsidTr="00D1236D">
        <w:trPr>
          <w:trHeight w:val="1736"/>
        </w:trPr>
        <w:tc>
          <w:tcPr>
            <w:tcW w:w="510" w:type="dxa"/>
            <w:tcBorders>
              <w:top w:val="single" w:sz="4" w:space="0" w:color="auto"/>
              <w:left w:val="single" w:sz="4" w:space="0" w:color="auto"/>
              <w:bottom w:val="single" w:sz="4" w:space="0" w:color="auto"/>
              <w:right w:val="single" w:sz="4" w:space="0" w:color="auto"/>
            </w:tcBorders>
          </w:tcPr>
          <w:p w14:paraId="5B465B88" w14:textId="77777777" w:rsidR="00180523" w:rsidRPr="00D974D5" w:rsidRDefault="00180523" w:rsidP="00D1236D">
            <w:pPr>
              <w:spacing w:after="0" w:line="240" w:lineRule="auto"/>
              <w:jc w:val="both"/>
              <w:rPr>
                <w:rFonts w:ascii="Times New Roman" w:hAnsi="Times New Roman" w:cs="Times New Roman"/>
                <w:b/>
                <w:bCs/>
                <w:color w:val="000000" w:themeColor="text1"/>
                <w:sz w:val="17"/>
                <w:szCs w:val="17"/>
              </w:rPr>
            </w:pPr>
            <w:r w:rsidRPr="00D974D5">
              <w:rPr>
                <w:rFonts w:ascii="Times New Roman" w:hAnsi="Times New Roman" w:cs="Times New Roman"/>
                <w:b/>
                <w:bCs/>
                <w:color w:val="000000" w:themeColor="text1"/>
                <w:sz w:val="17"/>
                <w:szCs w:val="17"/>
              </w:rPr>
              <w:t>1</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35326346"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Ali &amp; Kirikkaleli.</w:t>
            </w:r>
            <w:r w:rsidRPr="00D974D5">
              <w:rPr>
                <w:rFonts w:ascii="Times New Roman" w:hAnsi="Times New Roman" w:cs="Times New Roman"/>
                <w:sz w:val="17"/>
                <w:szCs w:val="17"/>
              </w:rPr>
              <w:br/>
              <w:t>(2021)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917395D"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Italy</w:t>
            </w:r>
            <w:r w:rsidRPr="00D974D5">
              <w:rPr>
                <w:rFonts w:ascii="Times New Roman" w:hAnsi="Times New Roman" w:cs="Times New Roman"/>
                <w:sz w:val="17"/>
                <w:szCs w:val="17"/>
              </w:rPr>
              <w:br/>
              <w:t>(1970-2018)</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3B0082D2"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 xml:space="preserve">Consumption-based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 Renewable energy consumption, Exports, Imports, Economic Growth</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1DA78A8F"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NARDL (Non-Linear ARDL)</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3F7B4260"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 xml:space="preserve">- Renewable energy, Exports and Gdp growth have a negative effect on Consumption-based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 while Imports have an adverse effect</w:t>
            </w:r>
            <w:r w:rsidRPr="00D974D5">
              <w:rPr>
                <w:rFonts w:ascii="Times New Roman" w:hAnsi="Times New Roman" w:cs="Times New Roman"/>
                <w:sz w:val="17"/>
                <w:szCs w:val="17"/>
              </w:rPr>
              <w:br/>
              <w:t>-ARDL exhibited a long‐term asymmetric association between REN, EXP, IMP, GDPC, and C</w:t>
            </w:r>
            <w:r>
              <w:rPr>
                <w:rFonts w:ascii="Times New Roman" w:hAnsi="Times New Roman" w:cs="Times New Roman"/>
                <w:sz w:val="17"/>
                <w:szCs w:val="17"/>
              </w:rPr>
              <w:t>CO2</w:t>
            </w:r>
            <w:r w:rsidRPr="00D974D5">
              <w:rPr>
                <w:rFonts w:ascii="Times New Roman" w:hAnsi="Times New Roman" w:cs="Times New Roman"/>
                <w:sz w:val="17"/>
                <w:szCs w:val="17"/>
              </w:rPr>
              <w:t>. It postulates that a 1% positive shock in REN, EXP, and GDPC reduces C</w:t>
            </w:r>
            <w:r>
              <w:rPr>
                <w:rFonts w:ascii="Times New Roman" w:hAnsi="Times New Roman" w:cs="Times New Roman"/>
                <w:sz w:val="17"/>
                <w:szCs w:val="17"/>
              </w:rPr>
              <w:t>CO2</w:t>
            </w:r>
            <w:r w:rsidRPr="00D974D5">
              <w:rPr>
                <w:rFonts w:ascii="Times New Roman" w:hAnsi="Times New Roman" w:cs="Times New Roman"/>
                <w:sz w:val="17"/>
                <w:szCs w:val="17"/>
              </w:rPr>
              <w:t>. However, a 1% positive shock in IMP increases C</w:t>
            </w:r>
            <w:r>
              <w:rPr>
                <w:rFonts w:ascii="Times New Roman" w:hAnsi="Times New Roman" w:cs="Times New Roman"/>
                <w:sz w:val="17"/>
                <w:szCs w:val="17"/>
              </w:rPr>
              <w:t>CO2</w:t>
            </w:r>
            <w:r w:rsidRPr="00D974D5">
              <w:rPr>
                <w:rFonts w:ascii="Times New Roman" w:hAnsi="Times New Roman" w:cs="Times New Roman"/>
                <w:sz w:val="17"/>
                <w:szCs w:val="17"/>
              </w:rPr>
              <w:br/>
              <w:t xml:space="preserve">- Renewable energy, Exports and Economic growth has negative impacts on Consumption-based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w:t>
            </w:r>
          </w:p>
        </w:tc>
      </w:tr>
      <w:tr w:rsidR="00180523" w:rsidRPr="00D974D5" w14:paraId="72AAD5B6" w14:textId="77777777" w:rsidTr="00D1236D">
        <w:tc>
          <w:tcPr>
            <w:tcW w:w="510" w:type="dxa"/>
            <w:tcBorders>
              <w:top w:val="single" w:sz="4" w:space="0" w:color="auto"/>
              <w:left w:val="single" w:sz="4" w:space="0" w:color="auto"/>
              <w:bottom w:val="single" w:sz="4" w:space="0" w:color="auto"/>
              <w:right w:val="single" w:sz="4" w:space="0" w:color="auto"/>
            </w:tcBorders>
          </w:tcPr>
          <w:p w14:paraId="15DD2BFD" w14:textId="77777777" w:rsidR="00180523" w:rsidRPr="00D974D5" w:rsidRDefault="00180523" w:rsidP="00D1236D">
            <w:pPr>
              <w:spacing w:after="0" w:line="240" w:lineRule="auto"/>
              <w:jc w:val="both"/>
              <w:rPr>
                <w:rFonts w:ascii="Times New Roman" w:hAnsi="Times New Roman" w:cs="Times New Roman"/>
                <w:b/>
                <w:bCs/>
                <w:color w:val="000000" w:themeColor="text1"/>
                <w:sz w:val="17"/>
                <w:szCs w:val="17"/>
              </w:rPr>
            </w:pPr>
            <w:r w:rsidRPr="00D974D5">
              <w:rPr>
                <w:rFonts w:ascii="Times New Roman" w:hAnsi="Times New Roman" w:cs="Times New Roman"/>
                <w:b/>
                <w:bCs/>
                <w:color w:val="000000" w:themeColor="text1"/>
                <w:sz w:val="17"/>
                <w:szCs w:val="17"/>
              </w:rPr>
              <w:t>2</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60ED51F7"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Ahmed et al</w:t>
            </w:r>
            <w:r w:rsidRPr="00D974D5">
              <w:rPr>
                <w:rFonts w:ascii="Times New Roman" w:hAnsi="Times New Roman" w:cs="Times New Roman"/>
                <w:sz w:val="17"/>
                <w:szCs w:val="17"/>
              </w:rPr>
              <w:br/>
              <w:t>(2021)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B6E4E65"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USA</w:t>
            </w:r>
            <w:r w:rsidRPr="00D974D5">
              <w:rPr>
                <w:rFonts w:ascii="Times New Roman" w:hAnsi="Times New Roman" w:cs="Times New Roman"/>
                <w:sz w:val="17"/>
                <w:szCs w:val="17"/>
              </w:rPr>
              <w:br/>
              <w:t>(1985-2017)</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1C22E1E"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Pr>
                <w:rFonts w:ascii="Times New Roman" w:hAnsi="Times New Roman" w:cs="Times New Roman"/>
                <w:sz w:val="17"/>
                <w:szCs w:val="17"/>
              </w:rPr>
              <w:t>CO2</w:t>
            </w:r>
            <w:r w:rsidRPr="00D974D5">
              <w:rPr>
                <w:rFonts w:ascii="Times New Roman" w:hAnsi="Times New Roman" w:cs="Times New Roman"/>
                <w:sz w:val="17"/>
                <w:szCs w:val="17"/>
              </w:rPr>
              <w:t xml:space="preserve"> emissions, GDP per capita, GDP per capita square, Public renewable energy research development and demonstration budgets, Economic policy uncertainty, FDI</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16FFBEF"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Linear and Non-Linear ARDL</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3020BACB" w14:textId="77777777" w:rsidR="00180523" w:rsidRPr="00D974D5" w:rsidRDefault="00180523" w:rsidP="00D1236D">
            <w:pPr>
              <w:spacing w:after="0" w:line="240" w:lineRule="auto"/>
              <w:rPr>
                <w:rFonts w:ascii="Times New Roman" w:hAnsi="Times New Roman" w:cs="Times New Roman"/>
                <w:sz w:val="17"/>
                <w:szCs w:val="17"/>
              </w:rPr>
            </w:pPr>
            <w:r w:rsidRPr="00D974D5">
              <w:rPr>
                <w:rFonts w:ascii="Times New Roman" w:hAnsi="Times New Roman" w:cs="Times New Roman"/>
                <w:sz w:val="17"/>
                <w:szCs w:val="17"/>
              </w:rPr>
              <w:t xml:space="preserve">- Only asymmetric cointegration among variables. </w:t>
            </w:r>
            <w:r w:rsidRPr="00D974D5">
              <w:rPr>
                <w:rFonts w:ascii="Times New Roman" w:hAnsi="Times New Roman" w:cs="Times New Roman"/>
                <w:sz w:val="17"/>
                <w:szCs w:val="17"/>
              </w:rPr>
              <w:br/>
              <w:t xml:space="preserve">- In the long-run, positive and negative shocks on Economic policy uncertainty have reduced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 and negative impacts surpass the positive impact. Public renewable energy research development and demonstration budgets do not affect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w:t>
            </w:r>
            <w:r w:rsidRPr="00D974D5">
              <w:rPr>
                <w:rFonts w:ascii="Times New Roman" w:hAnsi="Times New Roman" w:cs="Times New Roman"/>
                <w:sz w:val="17"/>
                <w:szCs w:val="17"/>
              </w:rPr>
              <w:br/>
              <w:t xml:space="preserve">- EKC hypothesis </w:t>
            </w:r>
            <w:r w:rsidRPr="00D974D5">
              <w:rPr>
                <w:rFonts w:ascii="Times New Roman" w:hAnsi="Times New Roman" w:cs="Times New Roman"/>
                <w:sz w:val="17"/>
                <w:szCs w:val="17"/>
              </w:rPr>
              <w:br/>
              <w:t>- There is a symmetric bidirectional causality between Growth and Economic policy uncertainty</w:t>
            </w:r>
          </w:p>
        </w:tc>
      </w:tr>
      <w:tr w:rsidR="00180523" w:rsidRPr="00D974D5" w14:paraId="03FBA399" w14:textId="77777777" w:rsidTr="00D1236D">
        <w:trPr>
          <w:trHeight w:val="2420"/>
        </w:trPr>
        <w:tc>
          <w:tcPr>
            <w:tcW w:w="510" w:type="dxa"/>
            <w:tcBorders>
              <w:top w:val="single" w:sz="4" w:space="0" w:color="auto"/>
              <w:left w:val="single" w:sz="4" w:space="0" w:color="auto"/>
              <w:bottom w:val="single" w:sz="4" w:space="0" w:color="auto"/>
              <w:right w:val="single" w:sz="4" w:space="0" w:color="auto"/>
            </w:tcBorders>
          </w:tcPr>
          <w:p w14:paraId="1ED58A66" w14:textId="77777777" w:rsidR="00180523" w:rsidRPr="00D974D5" w:rsidRDefault="00180523" w:rsidP="00D1236D">
            <w:pPr>
              <w:spacing w:after="0" w:line="240" w:lineRule="auto"/>
              <w:jc w:val="both"/>
              <w:rPr>
                <w:rFonts w:ascii="Times New Roman" w:hAnsi="Times New Roman" w:cs="Times New Roman"/>
                <w:b/>
                <w:bCs/>
                <w:color w:val="000000" w:themeColor="text1"/>
                <w:sz w:val="17"/>
                <w:szCs w:val="17"/>
              </w:rPr>
            </w:pPr>
            <w:r w:rsidRPr="00D974D5">
              <w:rPr>
                <w:rFonts w:ascii="Times New Roman" w:hAnsi="Times New Roman" w:cs="Times New Roman"/>
                <w:b/>
                <w:bCs/>
                <w:color w:val="000000" w:themeColor="text1"/>
                <w:sz w:val="17"/>
                <w:szCs w:val="17"/>
              </w:rPr>
              <w:t>3</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012B3876"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Ahmed et al.</w:t>
            </w:r>
            <w:r w:rsidRPr="00D974D5">
              <w:rPr>
                <w:rFonts w:ascii="Times New Roman" w:hAnsi="Times New Roman" w:cs="Times New Roman"/>
                <w:sz w:val="17"/>
                <w:szCs w:val="17"/>
              </w:rPr>
              <w:br/>
              <w:t>(2021)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221AC54"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Japan</w:t>
            </w:r>
            <w:r w:rsidRPr="00D974D5">
              <w:rPr>
                <w:rFonts w:ascii="Times New Roman" w:hAnsi="Times New Roman" w:cs="Times New Roman"/>
                <w:sz w:val="17"/>
                <w:szCs w:val="17"/>
              </w:rPr>
              <w:br/>
              <w:t>(1971-2016)</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0DD0BD4"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Ecological Footprint, GDP, GDP square, Energy Consumption, Economic Globalization, Financial Development, Population Density</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0B1B8608"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Linear and Non-Linear ARDL</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39F1955B"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 For the asymmetric ARDL model, negative and positive effects of globalisation and population density has a decreasing effect on Ecological footprint. However, positive shocks on financial development and Energy consumption ha</w:t>
            </w:r>
            <w:r>
              <w:rPr>
                <w:rFonts w:ascii="Times New Roman" w:hAnsi="Times New Roman" w:cs="Times New Roman"/>
                <w:sz w:val="17"/>
                <w:szCs w:val="17"/>
              </w:rPr>
              <w:t>ve</w:t>
            </w:r>
            <w:r w:rsidRPr="00D974D5">
              <w:rPr>
                <w:rFonts w:ascii="Times New Roman" w:hAnsi="Times New Roman" w:cs="Times New Roman"/>
                <w:sz w:val="17"/>
                <w:szCs w:val="17"/>
              </w:rPr>
              <w:t xml:space="preserve"> the opposite effect.</w:t>
            </w:r>
            <w:r w:rsidRPr="00D974D5">
              <w:rPr>
                <w:rFonts w:ascii="Times New Roman" w:hAnsi="Times New Roman" w:cs="Times New Roman"/>
                <w:sz w:val="17"/>
                <w:szCs w:val="17"/>
              </w:rPr>
              <w:br/>
              <w:t>- Causality from GDP to Ecological Footprint</w:t>
            </w:r>
            <w:r w:rsidRPr="00D974D5">
              <w:rPr>
                <w:rFonts w:ascii="Times New Roman" w:hAnsi="Times New Roman" w:cs="Times New Roman"/>
                <w:sz w:val="17"/>
                <w:szCs w:val="17"/>
              </w:rPr>
              <w:br/>
              <w:t>- Linear ARDL method is unable to present reliable results in the presence of asymmetries</w:t>
            </w:r>
          </w:p>
        </w:tc>
      </w:tr>
      <w:tr w:rsidR="00180523" w:rsidRPr="00D974D5" w14:paraId="64F5716D" w14:textId="77777777" w:rsidTr="00D1236D">
        <w:trPr>
          <w:trHeight w:val="1610"/>
        </w:trPr>
        <w:tc>
          <w:tcPr>
            <w:tcW w:w="510" w:type="dxa"/>
            <w:tcBorders>
              <w:top w:val="single" w:sz="4" w:space="0" w:color="auto"/>
              <w:left w:val="single" w:sz="4" w:space="0" w:color="auto"/>
              <w:bottom w:val="single" w:sz="4" w:space="0" w:color="auto"/>
              <w:right w:val="single" w:sz="4" w:space="0" w:color="auto"/>
            </w:tcBorders>
          </w:tcPr>
          <w:p w14:paraId="67BFC865" w14:textId="77777777" w:rsidR="00180523" w:rsidRPr="00D974D5" w:rsidRDefault="00180523" w:rsidP="00D1236D">
            <w:pPr>
              <w:spacing w:after="0" w:line="240" w:lineRule="auto"/>
              <w:jc w:val="both"/>
              <w:rPr>
                <w:rFonts w:ascii="Times New Roman" w:hAnsi="Times New Roman" w:cs="Times New Roman"/>
                <w:b/>
                <w:bCs/>
                <w:color w:val="000000" w:themeColor="text1"/>
                <w:sz w:val="17"/>
                <w:szCs w:val="17"/>
              </w:rPr>
            </w:pPr>
            <w:r w:rsidRPr="00D974D5">
              <w:rPr>
                <w:rFonts w:ascii="Times New Roman" w:hAnsi="Times New Roman" w:cs="Times New Roman"/>
                <w:b/>
                <w:bCs/>
                <w:color w:val="000000" w:themeColor="text1"/>
                <w:sz w:val="17"/>
                <w:szCs w:val="17"/>
              </w:rPr>
              <w:t>4</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4377C426"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Al-Mulali et al.</w:t>
            </w:r>
            <w:r w:rsidRPr="00D974D5">
              <w:rPr>
                <w:rFonts w:ascii="Times New Roman" w:hAnsi="Times New Roman" w:cs="Times New Roman"/>
                <w:sz w:val="17"/>
                <w:szCs w:val="17"/>
              </w:rPr>
              <w:br/>
              <w:t>(2019)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4ACD080"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Malaysia</w:t>
            </w:r>
            <w:r w:rsidRPr="00D974D5">
              <w:rPr>
                <w:rFonts w:ascii="Times New Roman" w:hAnsi="Times New Roman" w:cs="Times New Roman"/>
                <w:sz w:val="17"/>
                <w:szCs w:val="17"/>
              </w:rPr>
              <w:br/>
              <w:t>(1980-2017)</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4C7B184"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Pr>
                <w:rFonts w:ascii="Times New Roman" w:hAnsi="Times New Roman" w:cs="Times New Roman"/>
                <w:sz w:val="17"/>
                <w:szCs w:val="17"/>
              </w:rPr>
              <w:t>CO2</w:t>
            </w:r>
            <w:r w:rsidRPr="00D974D5">
              <w:rPr>
                <w:rFonts w:ascii="Times New Roman" w:hAnsi="Times New Roman" w:cs="Times New Roman"/>
                <w:sz w:val="17"/>
                <w:szCs w:val="17"/>
              </w:rPr>
              <w:t xml:space="preserve"> emissions, Population density, GDP, Energy intensity, Stock traded (% of GDP)</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0BF1E7D4"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NARDL (Non-Linear ARDL)</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5A575F72"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 xml:space="preserve">- The most critical variables that contribute to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 in the short run are </w:t>
            </w:r>
            <w:r>
              <w:rPr>
                <w:rFonts w:ascii="Times New Roman" w:hAnsi="Times New Roman" w:cs="Times New Roman"/>
                <w:sz w:val="17"/>
                <w:szCs w:val="17"/>
              </w:rPr>
              <w:t>s</w:t>
            </w:r>
            <w:r w:rsidRPr="00D974D5">
              <w:rPr>
                <w:rFonts w:ascii="Times New Roman" w:hAnsi="Times New Roman" w:cs="Times New Roman"/>
                <w:sz w:val="17"/>
                <w:szCs w:val="17"/>
              </w:rPr>
              <w:t>tock</w:t>
            </w:r>
            <w:r>
              <w:rPr>
                <w:rFonts w:ascii="Times New Roman" w:hAnsi="Times New Roman" w:cs="Times New Roman"/>
                <w:sz w:val="17"/>
                <w:szCs w:val="17"/>
              </w:rPr>
              <w:t>s</w:t>
            </w:r>
            <w:r w:rsidRPr="00D974D5">
              <w:rPr>
                <w:rFonts w:ascii="Times New Roman" w:hAnsi="Times New Roman" w:cs="Times New Roman"/>
                <w:sz w:val="17"/>
                <w:szCs w:val="17"/>
              </w:rPr>
              <w:t xml:space="preserve"> traded and </w:t>
            </w:r>
            <w:r>
              <w:rPr>
                <w:rFonts w:ascii="Times New Roman" w:hAnsi="Times New Roman" w:cs="Times New Roman"/>
                <w:sz w:val="17"/>
                <w:szCs w:val="17"/>
              </w:rPr>
              <w:t>p</w:t>
            </w:r>
            <w:r w:rsidRPr="00D974D5">
              <w:rPr>
                <w:rFonts w:ascii="Times New Roman" w:hAnsi="Times New Roman" w:cs="Times New Roman"/>
                <w:sz w:val="17"/>
                <w:szCs w:val="17"/>
              </w:rPr>
              <w:t xml:space="preserve">opulation density; GDP and </w:t>
            </w:r>
            <w:r>
              <w:rPr>
                <w:rFonts w:ascii="Times New Roman" w:hAnsi="Times New Roman" w:cs="Times New Roman"/>
                <w:sz w:val="17"/>
                <w:szCs w:val="17"/>
              </w:rPr>
              <w:t>e</w:t>
            </w:r>
            <w:r w:rsidRPr="00D974D5">
              <w:rPr>
                <w:rFonts w:ascii="Times New Roman" w:hAnsi="Times New Roman" w:cs="Times New Roman"/>
                <w:sz w:val="17"/>
                <w:szCs w:val="17"/>
              </w:rPr>
              <w:t xml:space="preserve">nergy intensity </w:t>
            </w:r>
            <w:r>
              <w:rPr>
                <w:rFonts w:ascii="Times New Roman" w:hAnsi="Times New Roman" w:cs="Times New Roman"/>
                <w:sz w:val="17"/>
                <w:szCs w:val="17"/>
              </w:rPr>
              <w:t>increase</w:t>
            </w:r>
            <w:r w:rsidRPr="00D974D5">
              <w:rPr>
                <w:rFonts w:ascii="Times New Roman" w:hAnsi="Times New Roman" w:cs="Times New Roman"/>
                <w:sz w:val="17"/>
                <w:szCs w:val="17"/>
              </w:rPr>
              <w:t xml:space="preserve">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 </w:t>
            </w:r>
            <w:r w:rsidRPr="00D974D5">
              <w:rPr>
                <w:rFonts w:ascii="Times New Roman" w:hAnsi="Times New Roman" w:cs="Times New Roman"/>
                <w:sz w:val="17"/>
                <w:szCs w:val="17"/>
              </w:rPr>
              <w:br/>
              <w:t xml:space="preserve">- Long-term results are similar to short-term results, except that stock trading reduces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w:t>
            </w:r>
          </w:p>
        </w:tc>
      </w:tr>
      <w:tr w:rsidR="00180523" w:rsidRPr="00D974D5" w14:paraId="30282D96" w14:textId="77777777" w:rsidTr="00D1236D">
        <w:tc>
          <w:tcPr>
            <w:tcW w:w="510" w:type="dxa"/>
            <w:tcBorders>
              <w:top w:val="single" w:sz="4" w:space="0" w:color="auto"/>
              <w:left w:val="single" w:sz="4" w:space="0" w:color="auto"/>
              <w:bottom w:val="single" w:sz="4" w:space="0" w:color="auto"/>
              <w:right w:val="single" w:sz="4" w:space="0" w:color="auto"/>
            </w:tcBorders>
          </w:tcPr>
          <w:p w14:paraId="370D5AB5" w14:textId="77777777" w:rsidR="00180523" w:rsidRPr="00D974D5" w:rsidRDefault="00180523" w:rsidP="00D1236D">
            <w:pPr>
              <w:spacing w:after="0" w:line="240" w:lineRule="auto"/>
              <w:jc w:val="both"/>
              <w:rPr>
                <w:rFonts w:ascii="Times New Roman" w:hAnsi="Times New Roman" w:cs="Times New Roman"/>
                <w:b/>
                <w:bCs/>
                <w:color w:val="000000" w:themeColor="text1"/>
                <w:sz w:val="17"/>
                <w:szCs w:val="17"/>
              </w:rPr>
            </w:pPr>
            <w:r w:rsidRPr="00D974D5">
              <w:rPr>
                <w:rFonts w:ascii="Times New Roman" w:hAnsi="Times New Roman" w:cs="Times New Roman"/>
                <w:b/>
                <w:bCs/>
                <w:color w:val="000000" w:themeColor="text1"/>
                <w:sz w:val="17"/>
                <w:szCs w:val="17"/>
              </w:rPr>
              <w:t>5</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165DB21D"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Yousaf Malik et al.</w:t>
            </w:r>
            <w:r w:rsidRPr="00D974D5">
              <w:rPr>
                <w:rFonts w:ascii="Times New Roman" w:hAnsi="Times New Roman" w:cs="Times New Roman"/>
                <w:sz w:val="17"/>
                <w:szCs w:val="17"/>
              </w:rPr>
              <w:br/>
              <w:t>(2020)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386CCA4"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Pakistan</w:t>
            </w:r>
            <w:r w:rsidRPr="00D974D5">
              <w:rPr>
                <w:rFonts w:ascii="Times New Roman" w:hAnsi="Times New Roman" w:cs="Times New Roman"/>
                <w:sz w:val="17"/>
                <w:szCs w:val="17"/>
              </w:rPr>
              <w:br/>
              <w:t>(1971-2014)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5657BB6"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Pr>
                <w:rFonts w:ascii="Times New Roman" w:hAnsi="Times New Roman" w:cs="Times New Roman"/>
                <w:sz w:val="17"/>
                <w:szCs w:val="17"/>
              </w:rPr>
              <w:t>CO2</w:t>
            </w:r>
            <w:r w:rsidRPr="00D974D5">
              <w:rPr>
                <w:rFonts w:ascii="Times New Roman" w:hAnsi="Times New Roman" w:cs="Times New Roman"/>
                <w:sz w:val="17"/>
                <w:szCs w:val="17"/>
              </w:rPr>
              <w:t>, GDP, GDP square, FDI, Oil price</w:t>
            </w:r>
            <w:r w:rsidRPr="00D974D5">
              <w:rPr>
                <w:rFonts w:ascii="Times New Roman" w:hAnsi="Times New Roman" w:cs="Times New Roman"/>
                <w:sz w:val="17"/>
                <w:szCs w:val="17"/>
              </w:rPr>
              <w:br/>
              <w:t>Control variables: (Inflation, Human capital, Exports, Governance, Financial development, Urban population)</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1479736"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Linear and Non-Linear ARDL</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5280BEE5"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 xml:space="preserve">- For symmetric ARDL results show that oil prices have a positive effect on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 in the short-run but opposite effects in the long-run</w:t>
            </w:r>
            <w:r w:rsidRPr="00D974D5">
              <w:rPr>
                <w:rFonts w:ascii="Times New Roman" w:hAnsi="Times New Roman" w:cs="Times New Roman"/>
                <w:sz w:val="17"/>
                <w:szCs w:val="17"/>
              </w:rPr>
              <w:br/>
              <w:t xml:space="preserve">- In the long run, the increase in oil price helps to reduce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 while the decrease in Oil price opposite effect on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 on the NARDL model</w:t>
            </w:r>
            <w:r w:rsidRPr="00D974D5">
              <w:rPr>
                <w:rFonts w:ascii="Times New Roman" w:hAnsi="Times New Roman" w:cs="Times New Roman"/>
                <w:sz w:val="17"/>
                <w:szCs w:val="17"/>
              </w:rPr>
              <w:br/>
              <w:t xml:space="preserve">- A bi-directional causality exists between </w:t>
            </w:r>
            <w:r>
              <w:rPr>
                <w:rFonts w:ascii="Times New Roman" w:hAnsi="Times New Roman" w:cs="Times New Roman"/>
                <w:sz w:val="17"/>
                <w:szCs w:val="17"/>
              </w:rPr>
              <w:t>e</w:t>
            </w:r>
            <w:r w:rsidRPr="00D974D5">
              <w:rPr>
                <w:rFonts w:ascii="Times New Roman" w:hAnsi="Times New Roman" w:cs="Times New Roman"/>
                <w:sz w:val="17"/>
                <w:szCs w:val="17"/>
              </w:rPr>
              <w:t xml:space="preserve">conomic growth and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 and unidirectional causality from FDI and </w:t>
            </w:r>
            <w:r>
              <w:rPr>
                <w:rFonts w:ascii="Times New Roman" w:hAnsi="Times New Roman" w:cs="Times New Roman"/>
                <w:sz w:val="17"/>
                <w:szCs w:val="17"/>
              </w:rPr>
              <w:t>o</w:t>
            </w:r>
            <w:r w:rsidRPr="00D974D5">
              <w:rPr>
                <w:rFonts w:ascii="Times New Roman" w:hAnsi="Times New Roman" w:cs="Times New Roman"/>
                <w:sz w:val="17"/>
                <w:szCs w:val="17"/>
              </w:rPr>
              <w:t xml:space="preserve">il price towards carbon emission. </w:t>
            </w:r>
          </w:p>
        </w:tc>
      </w:tr>
      <w:tr w:rsidR="00180523" w:rsidRPr="00D974D5" w14:paraId="038C989A" w14:textId="77777777" w:rsidTr="00D1236D">
        <w:tc>
          <w:tcPr>
            <w:tcW w:w="510" w:type="dxa"/>
            <w:tcBorders>
              <w:top w:val="single" w:sz="4" w:space="0" w:color="auto"/>
              <w:left w:val="single" w:sz="4" w:space="0" w:color="auto"/>
              <w:bottom w:val="single" w:sz="4" w:space="0" w:color="auto"/>
              <w:right w:val="single" w:sz="4" w:space="0" w:color="auto"/>
            </w:tcBorders>
          </w:tcPr>
          <w:p w14:paraId="10699788" w14:textId="77777777" w:rsidR="00180523" w:rsidRPr="00D974D5" w:rsidRDefault="00180523" w:rsidP="00D1236D">
            <w:pPr>
              <w:spacing w:after="0" w:line="240" w:lineRule="auto"/>
              <w:jc w:val="both"/>
              <w:rPr>
                <w:rFonts w:ascii="Times New Roman" w:hAnsi="Times New Roman" w:cs="Times New Roman"/>
                <w:b/>
                <w:bCs/>
                <w:color w:val="000000" w:themeColor="text1"/>
                <w:sz w:val="17"/>
                <w:szCs w:val="17"/>
              </w:rPr>
            </w:pPr>
            <w:r w:rsidRPr="00D974D5">
              <w:rPr>
                <w:rFonts w:ascii="Times New Roman" w:hAnsi="Times New Roman" w:cs="Times New Roman"/>
                <w:b/>
                <w:bCs/>
                <w:color w:val="000000" w:themeColor="text1"/>
                <w:sz w:val="17"/>
                <w:szCs w:val="17"/>
              </w:rPr>
              <w:lastRenderedPageBreak/>
              <w:t>6</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3DE6ED2F"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Koengkan et al.</w:t>
            </w:r>
            <w:r w:rsidRPr="00D974D5">
              <w:rPr>
                <w:rFonts w:ascii="Times New Roman" w:hAnsi="Times New Roman" w:cs="Times New Roman"/>
                <w:sz w:val="17"/>
                <w:szCs w:val="17"/>
              </w:rPr>
              <w:br/>
              <w:t>(2019)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F26076D"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18 Latin American and Caribbean Countries</w:t>
            </w:r>
            <w:r w:rsidRPr="00D974D5">
              <w:rPr>
                <w:rFonts w:ascii="Times New Roman" w:hAnsi="Times New Roman" w:cs="Times New Roman"/>
                <w:sz w:val="17"/>
                <w:szCs w:val="17"/>
              </w:rPr>
              <w:br/>
              <w:t>(1990-2014)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50F7DB41"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Pr>
                <w:rFonts w:ascii="Times New Roman" w:hAnsi="Times New Roman" w:cs="Times New Roman"/>
                <w:sz w:val="17"/>
                <w:szCs w:val="17"/>
              </w:rPr>
              <w:t>CO2</w:t>
            </w:r>
            <w:r w:rsidRPr="00D974D5">
              <w:rPr>
                <w:rFonts w:ascii="Times New Roman" w:hAnsi="Times New Roman" w:cs="Times New Roman"/>
                <w:sz w:val="17"/>
                <w:szCs w:val="17"/>
              </w:rPr>
              <w:t xml:space="preserve"> emissions, GDP, Renewable energy consumption, Fossil fuel consumption, Globalisation index (Economic, Social and Political globalisation index)</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4FA333B7"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NARDL (Non-Linear ARDL)</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4303CAEC"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 xml:space="preserve">While renewable energy consumption reduces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 </w:t>
            </w:r>
            <w:r>
              <w:rPr>
                <w:rFonts w:ascii="Times New Roman" w:hAnsi="Times New Roman" w:cs="Times New Roman"/>
                <w:sz w:val="17"/>
                <w:szCs w:val="17"/>
              </w:rPr>
              <w:t>g</w:t>
            </w:r>
            <w:r w:rsidRPr="00D974D5">
              <w:rPr>
                <w:rFonts w:ascii="Times New Roman" w:hAnsi="Times New Roman" w:cs="Times New Roman"/>
                <w:sz w:val="17"/>
                <w:szCs w:val="17"/>
              </w:rPr>
              <w:t xml:space="preserve">lobalisation and sub-components of globalisation and </w:t>
            </w:r>
            <w:r>
              <w:rPr>
                <w:rFonts w:ascii="Times New Roman" w:hAnsi="Times New Roman" w:cs="Times New Roman"/>
                <w:sz w:val="17"/>
                <w:szCs w:val="17"/>
              </w:rPr>
              <w:t>f</w:t>
            </w:r>
            <w:r w:rsidRPr="00D974D5">
              <w:rPr>
                <w:rFonts w:ascii="Times New Roman" w:hAnsi="Times New Roman" w:cs="Times New Roman"/>
                <w:sz w:val="17"/>
                <w:szCs w:val="17"/>
              </w:rPr>
              <w:t xml:space="preserve">ossil fuel consumption have adverse effects on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 </w:t>
            </w:r>
          </w:p>
        </w:tc>
      </w:tr>
      <w:tr w:rsidR="00180523" w:rsidRPr="00D974D5" w14:paraId="0C915B78" w14:textId="77777777" w:rsidTr="00D1236D">
        <w:tc>
          <w:tcPr>
            <w:tcW w:w="510" w:type="dxa"/>
            <w:tcBorders>
              <w:top w:val="single" w:sz="4" w:space="0" w:color="auto"/>
              <w:left w:val="single" w:sz="4" w:space="0" w:color="auto"/>
              <w:bottom w:val="single" w:sz="4" w:space="0" w:color="auto"/>
              <w:right w:val="single" w:sz="4" w:space="0" w:color="auto"/>
            </w:tcBorders>
          </w:tcPr>
          <w:p w14:paraId="43C70FC1" w14:textId="77777777" w:rsidR="00180523" w:rsidRPr="00D974D5" w:rsidRDefault="00180523" w:rsidP="00D1236D">
            <w:pPr>
              <w:spacing w:after="0" w:line="240" w:lineRule="auto"/>
              <w:jc w:val="both"/>
              <w:rPr>
                <w:rFonts w:ascii="Times New Roman" w:hAnsi="Times New Roman" w:cs="Times New Roman"/>
                <w:b/>
                <w:bCs/>
                <w:color w:val="000000" w:themeColor="text1"/>
                <w:sz w:val="17"/>
                <w:szCs w:val="17"/>
              </w:rPr>
            </w:pPr>
            <w:r w:rsidRPr="00D974D5">
              <w:rPr>
                <w:rFonts w:ascii="Times New Roman" w:hAnsi="Times New Roman" w:cs="Times New Roman"/>
                <w:b/>
                <w:bCs/>
                <w:color w:val="000000" w:themeColor="text1"/>
                <w:sz w:val="17"/>
                <w:szCs w:val="17"/>
              </w:rPr>
              <w:t>7</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46B447B7"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Adebayo et al.</w:t>
            </w:r>
            <w:r w:rsidRPr="00D974D5">
              <w:rPr>
                <w:rFonts w:ascii="Times New Roman" w:hAnsi="Times New Roman" w:cs="Times New Roman"/>
                <w:sz w:val="17"/>
                <w:szCs w:val="17"/>
              </w:rPr>
              <w:br/>
              <w:t>(2021)</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0D3000D7"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Chile</w:t>
            </w:r>
            <w:r w:rsidRPr="00D974D5">
              <w:rPr>
                <w:rFonts w:ascii="Times New Roman" w:hAnsi="Times New Roman" w:cs="Times New Roman"/>
                <w:sz w:val="17"/>
                <w:szCs w:val="17"/>
              </w:rPr>
              <w:br/>
              <w:t>(1990-2018)</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059CE4EB"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Consumption-based carbon emissions, GDP, Technological innovation, Renewable energy</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6F06B04F"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Linear and Non-Linear ARDL</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6EA6B597"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 xml:space="preserve">- Long-run interconnection between Consumption-based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 </w:t>
            </w:r>
            <w:r>
              <w:rPr>
                <w:rFonts w:ascii="Times New Roman" w:hAnsi="Times New Roman" w:cs="Times New Roman"/>
                <w:sz w:val="17"/>
                <w:szCs w:val="17"/>
              </w:rPr>
              <w:t>t</w:t>
            </w:r>
            <w:r w:rsidRPr="00D974D5">
              <w:rPr>
                <w:rFonts w:ascii="Times New Roman" w:hAnsi="Times New Roman" w:cs="Times New Roman"/>
                <w:sz w:val="17"/>
                <w:szCs w:val="17"/>
              </w:rPr>
              <w:t xml:space="preserve">echnological innovation and renewable energy consumption. In the long run, positive and negative changes on GDP positively impact </w:t>
            </w:r>
            <w:r>
              <w:rPr>
                <w:rFonts w:ascii="Times New Roman" w:hAnsi="Times New Roman" w:cs="Times New Roman"/>
                <w:sz w:val="17"/>
                <w:szCs w:val="17"/>
              </w:rPr>
              <w:t>c</w:t>
            </w:r>
            <w:r w:rsidRPr="00D974D5">
              <w:rPr>
                <w:rFonts w:ascii="Times New Roman" w:hAnsi="Times New Roman" w:cs="Times New Roman"/>
                <w:sz w:val="17"/>
                <w:szCs w:val="17"/>
              </w:rPr>
              <w:t xml:space="preserve">onsumption-based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w:t>
            </w:r>
            <w:r w:rsidRPr="00D974D5">
              <w:rPr>
                <w:rFonts w:ascii="Times New Roman" w:hAnsi="Times New Roman" w:cs="Times New Roman"/>
                <w:sz w:val="17"/>
                <w:szCs w:val="17"/>
              </w:rPr>
              <w:br/>
              <w:t xml:space="preserve">- In the short run, a decrease in GDP positively impacts </w:t>
            </w:r>
            <w:r>
              <w:rPr>
                <w:rFonts w:ascii="Times New Roman" w:hAnsi="Times New Roman" w:cs="Times New Roman"/>
                <w:sz w:val="17"/>
                <w:szCs w:val="17"/>
              </w:rPr>
              <w:t>c</w:t>
            </w:r>
            <w:r w:rsidRPr="00D974D5">
              <w:rPr>
                <w:rFonts w:ascii="Times New Roman" w:hAnsi="Times New Roman" w:cs="Times New Roman"/>
                <w:sz w:val="17"/>
                <w:szCs w:val="17"/>
              </w:rPr>
              <w:t xml:space="preserve">onsumption-based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 In comparison, an increase in </w:t>
            </w:r>
            <w:r>
              <w:rPr>
                <w:rFonts w:ascii="Times New Roman" w:hAnsi="Times New Roman" w:cs="Times New Roman"/>
                <w:sz w:val="17"/>
                <w:szCs w:val="17"/>
              </w:rPr>
              <w:t>t</w:t>
            </w:r>
            <w:r w:rsidRPr="00D974D5">
              <w:rPr>
                <w:rFonts w:ascii="Times New Roman" w:hAnsi="Times New Roman" w:cs="Times New Roman"/>
                <w:sz w:val="17"/>
                <w:szCs w:val="17"/>
              </w:rPr>
              <w:t>echnological innovation has harmful effects on the environment.</w:t>
            </w:r>
            <w:r w:rsidRPr="00D974D5">
              <w:rPr>
                <w:rFonts w:ascii="Times New Roman" w:hAnsi="Times New Roman" w:cs="Times New Roman"/>
                <w:sz w:val="17"/>
                <w:szCs w:val="17"/>
              </w:rPr>
              <w:br/>
              <w:t xml:space="preserve">- Asymmetric causality shows that </w:t>
            </w:r>
            <w:r>
              <w:rPr>
                <w:rFonts w:ascii="Times New Roman" w:hAnsi="Times New Roman" w:cs="Times New Roman"/>
                <w:sz w:val="17"/>
                <w:szCs w:val="17"/>
              </w:rPr>
              <w:t>c</w:t>
            </w:r>
            <w:r w:rsidRPr="00D974D5">
              <w:rPr>
                <w:rFonts w:ascii="Times New Roman" w:hAnsi="Times New Roman" w:cs="Times New Roman"/>
                <w:sz w:val="17"/>
                <w:szCs w:val="17"/>
              </w:rPr>
              <w:t>onsumption</w:t>
            </w:r>
            <w:r>
              <w:rPr>
                <w:rFonts w:ascii="Times New Roman" w:hAnsi="Times New Roman" w:cs="Times New Roman"/>
                <w:sz w:val="17"/>
                <w:szCs w:val="17"/>
              </w:rPr>
              <w:t>-</w:t>
            </w:r>
            <w:r w:rsidRPr="00D974D5">
              <w:rPr>
                <w:rFonts w:ascii="Times New Roman" w:hAnsi="Times New Roman" w:cs="Times New Roman"/>
                <w:sz w:val="17"/>
                <w:szCs w:val="17"/>
              </w:rPr>
              <w:t xml:space="preserve">based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w:t>
            </w:r>
            <w:r>
              <w:rPr>
                <w:rFonts w:ascii="Times New Roman" w:hAnsi="Times New Roman" w:cs="Times New Roman"/>
                <w:sz w:val="17"/>
                <w:szCs w:val="17"/>
              </w:rPr>
              <w:t xml:space="preserve"> are</w:t>
            </w:r>
            <w:r w:rsidRPr="00D974D5">
              <w:rPr>
                <w:rFonts w:ascii="Times New Roman" w:hAnsi="Times New Roman" w:cs="Times New Roman"/>
                <w:sz w:val="17"/>
                <w:szCs w:val="17"/>
              </w:rPr>
              <w:t xml:space="preserve"> positively affected by positive renewable energy and negatively affected by a negative shock in technological innovation</w:t>
            </w:r>
          </w:p>
        </w:tc>
      </w:tr>
      <w:tr w:rsidR="00180523" w:rsidRPr="00D974D5" w14:paraId="5B51288E" w14:textId="77777777" w:rsidTr="00D1236D">
        <w:tc>
          <w:tcPr>
            <w:tcW w:w="510" w:type="dxa"/>
            <w:tcBorders>
              <w:top w:val="single" w:sz="4" w:space="0" w:color="auto"/>
              <w:left w:val="single" w:sz="4" w:space="0" w:color="auto"/>
              <w:bottom w:val="single" w:sz="4" w:space="0" w:color="auto"/>
              <w:right w:val="single" w:sz="4" w:space="0" w:color="auto"/>
            </w:tcBorders>
          </w:tcPr>
          <w:p w14:paraId="3F6EB694" w14:textId="77777777" w:rsidR="00180523" w:rsidRPr="00D974D5" w:rsidRDefault="00180523" w:rsidP="00D1236D">
            <w:pPr>
              <w:spacing w:after="0" w:line="240" w:lineRule="auto"/>
              <w:jc w:val="both"/>
              <w:rPr>
                <w:rFonts w:ascii="Times New Roman" w:hAnsi="Times New Roman" w:cs="Times New Roman"/>
                <w:b/>
                <w:bCs/>
                <w:color w:val="000000" w:themeColor="text1"/>
                <w:sz w:val="17"/>
                <w:szCs w:val="17"/>
              </w:rPr>
            </w:pPr>
            <w:r w:rsidRPr="00D974D5">
              <w:rPr>
                <w:rFonts w:ascii="Times New Roman" w:hAnsi="Times New Roman" w:cs="Times New Roman"/>
                <w:b/>
                <w:bCs/>
                <w:color w:val="000000" w:themeColor="text1"/>
                <w:sz w:val="17"/>
                <w:szCs w:val="17"/>
              </w:rPr>
              <w:t>8</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155F1725"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Odugbesan &amp; Adebayo</w:t>
            </w:r>
            <w:r w:rsidRPr="00D974D5">
              <w:rPr>
                <w:rFonts w:ascii="Times New Roman" w:hAnsi="Times New Roman" w:cs="Times New Roman"/>
                <w:sz w:val="17"/>
                <w:szCs w:val="17"/>
              </w:rPr>
              <w:br/>
              <w:t>(2020)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C07B5F0"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Nigeria</w:t>
            </w:r>
            <w:r w:rsidRPr="00D974D5">
              <w:rPr>
                <w:rFonts w:ascii="Times New Roman" w:hAnsi="Times New Roman" w:cs="Times New Roman"/>
                <w:sz w:val="17"/>
                <w:szCs w:val="17"/>
              </w:rPr>
              <w:br/>
              <w:t>(1981-2016)</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EDBADAD"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Pr>
                <w:rFonts w:ascii="Times New Roman" w:hAnsi="Times New Roman" w:cs="Times New Roman"/>
                <w:sz w:val="17"/>
                <w:szCs w:val="17"/>
              </w:rPr>
              <w:t>CO2</w:t>
            </w:r>
            <w:r w:rsidRPr="00D974D5">
              <w:rPr>
                <w:rFonts w:ascii="Times New Roman" w:hAnsi="Times New Roman" w:cs="Times New Roman"/>
                <w:sz w:val="17"/>
                <w:szCs w:val="17"/>
              </w:rPr>
              <w:t xml:space="preserve"> emissions, </w:t>
            </w:r>
            <w:proofErr w:type="gramStart"/>
            <w:r w:rsidRPr="00D974D5">
              <w:rPr>
                <w:rFonts w:ascii="Times New Roman" w:hAnsi="Times New Roman" w:cs="Times New Roman"/>
                <w:sz w:val="17"/>
                <w:szCs w:val="17"/>
              </w:rPr>
              <w:t>Financial</w:t>
            </w:r>
            <w:proofErr w:type="gramEnd"/>
            <w:r w:rsidRPr="00D974D5">
              <w:rPr>
                <w:rFonts w:ascii="Times New Roman" w:hAnsi="Times New Roman" w:cs="Times New Roman"/>
                <w:sz w:val="17"/>
                <w:szCs w:val="17"/>
              </w:rPr>
              <w:t xml:space="preserve"> development, FDI, GDP growth, Energy usage</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5CA2987E"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Linear and Non-Linear ARDL</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64C10106"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 xml:space="preserve">- Linear ARDL shows that FDI and </w:t>
            </w:r>
            <w:r>
              <w:rPr>
                <w:rFonts w:ascii="Times New Roman" w:hAnsi="Times New Roman" w:cs="Times New Roman"/>
                <w:sz w:val="17"/>
                <w:szCs w:val="17"/>
              </w:rPr>
              <w:t>e</w:t>
            </w:r>
            <w:r w:rsidRPr="00D974D5">
              <w:rPr>
                <w:rFonts w:ascii="Times New Roman" w:hAnsi="Times New Roman" w:cs="Times New Roman"/>
                <w:sz w:val="17"/>
                <w:szCs w:val="17"/>
              </w:rPr>
              <w:t xml:space="preserve">nergy consumption have a long-run relationship with </w:t>
            </w:r>
            <w:r>
              <w:rPr>
                <w:rFonts w:ascii="Times New Roman" w:hAnsi="Times New Roman" w:cs="Times New Roman"/>
                <w:sz w:val="17"/>
                <w:szCs w:val="17"/>
              </w:rPr>
              <w:t>CO2</w:t>
            </w:r>
            <w:r w:rsidRPr="00D974D5">
              <w:rPr>
                <w:rFonts w:ascii="Times New Roman" w:hAnsi="Times New Roman" w:cs="Times New Roman"/>
                <w:sz w:val="17"/>
                <w:szCs w:val="17"/>
              </w:rPr>
              <w:t xml:space="preserve"> and a short-run relationship with FDI and </w:t>
            </w:r>
            <w:r>
              <w:rPr>
                <w:rFonts w:ascii="Times New Roman" w:hAnsi="Times New Roman" w:cs="Times New Roman"/>
                <w:sz w:val="17"/>
                <w:szCs w:val="17"/>
              </w:rPr>
              <w:t>CO2</w:t>
            </w:r>
            <w:r w:rsidRPr="00D974D5">
              <w:rPr>
                <w:rFonts w:ascii="Times New Roman" w:hAnsi="Times New Roman" w:cs="Times New Roman"/>
                <w:sz w:val="17"/>
                <w:szCs w:val="17"/>
              </w:rPr>
              <w:t>.</w:t>
            </w:r>
            <w:r w:rsidRPr="00D974D5">
              <w:rPr>
                <w:rFonts w:ascii="Times New Roman" w:hAnsi="Times New Roman" w:cs="Times New Roman"/>
                <w:sz w:val="17"/>
                <w:szCs w:val="17"/>
              </w:rPr>
              <w:br/>
              <w:t xml:space="preserve">- Asymmetric model shows that positive change in </w:t>
            </w:r>
            <w:r>
              <w:rPr>
                <w:rFonts w:ascii="Times New Roman" w:hAnsi="Times New Roman" w:cs="Times New Roman"/>
                <w:sz w:val="17"/>
                <w:szCs w:val="17"/>
              </w:rPr>
              <w:t>f</w:t>
            </w:r>
            <w:r w:rsidRPr="00D974D5">
              <w:rPr>
                <w:rFonts w:ascii="Times New Roman" w:hAnsi="Times New Roman" w:cs="Times New Roman"/>
                <w:sz w:val="17"/>
                <w:szCs w:val="17"/>
              </w:rPr>
              <w:t xml:space="preserve">inancial development, </w:t>
            </w:r>
            <w:r>
              <w:rPr>
                <w:rFonts w:ascii="Times New Roman" w:hAnsi="Times New Roman" w:cs="Times New Roman"/>
                <w:sz w:val="17"/>
                <w:szCs w:val="17"/>
              </w:rPr>
              <w:t xml:space="preserve">and </w:t>
            </w:r>
            <w:r w:rsidRPr="00D974D5">
              <w:rPr>
                <w:rFonts w:ascii="Times New Roman" w:hAnsi="Times New Roman" w:cs="Times New Roman"/>
                <w:sz w:val="17"/>
                <w:szCs w:val="17"/>
              </w:rPr>
              <w:t xml:space="preserve">positive and negative shocks on FDI reduce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w:t>
            </w:r>
          </w:p>
        </w:tc>
      </w:tr>
      <w:tr w:rsidR="00180523" w:rsidRPr="00D974D5" w14:paraId="75B12E41" w14:textId="77777777" w:rsidTr="00D1236D">
        <w:tc>
          <w:tcPr>
            <w:tcW w:w="510" w:type="dxa"/>
            <w:tcBorders>
              <w:top w:val="single" w:sz="4" w:space="0" w:color="auto"/>
              <w:left w:val="single" w:sz="4" w:space="0" w:color="auto"/>
              <w:bottom w:val="single" w:sz="4" w:space="0" w:color="auto"/>
              <w:right w:val="single" w:sz="4" w:space="0" w:color="auto"/>
            </w:tcBorders>
          </w:tcPr>
          <w:p w14:paraId="538DC692" w14:textId="77777777" w:rsidR="00180523" w:rsidRPr="00D974D5" w:rsidRDefault="00180523" w:rsidP="00D1236D">
            <w:pPr>
              <w:spacing w:after="0" w:line="240" w:lineRule="auto"/>
              <w:rPr>
                <w:rFonts w:ascii="Times New Roman" w:hAnsi="Times New Roman" w:cs="Times New Roman"/>
                <w:b/>
                <w:bCs/>
                <w:color w:val="000000" w:themeColor="text1"/>
                <w:sz w:val="17"/>
                <w:szCs w:val="17"/>
              </w:rPr>
            </w:pPr>
            <w:r w:rsidRPr="00D974D5">
              <w:rPr>
                <w:rFonts w:ascii="Times New Roman" w:hAnsi="Times New Roman" w:cs="Times New Roman"/>
                <w:b/>
                <w:bCs/>
                <w:color w:val="000000" w:themeColor="text1"/>
                <w:sz w:val="17"/>
                <w:szCs w:val="17"/>
              </w:rPr>
              <w:t>9</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0107B9F7"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Ahmad et al.</w:t>
            </w:r>
            <w:r w:rsidRPr="00D974D5">
              <w:rPr>
                <w:rFonts w:ascii="Times New Roman" w:hAnsi="Times New Roman" w:cs="Times New Roman"/>
                <w:sz w:val="17"/>
                <w:szCs w:val="17"/>
              </w:rPr>
              <w:br/>
              <w:t>(2019)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075F3ED"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China</w:t>
            </w:r>
            <w:r w:rsidRPr="00D974D5">
              <w:rPr>
                <w:rFonts w:ascii="Times New Roman" w:hAnsi="Times New Roman" w:cs="Times New Roman"/>
                <w:sz w:val="17"/>
                <w:szCs w:val="17"/>
              </w:rPr>
              <w:br/>
              <w:t>(1980-2014)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681B919B"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Financial development</w:t>
            </w:r>
            <w:r>
              <w:rPr>
                <w:rFonts w:ascii="Times New Roman" w:hAnsi="Times New Roman" w:cs="Times New Roman"/>
                <w:sz w:val="17"/>
                <w:szCs w:val="17"/>
              </w:rPr>
              <w:t xml:space="preserve"> </w:t>
            </w:r>
            <w:r w:rsidRPr="00D974D5">
              <w:rPr>
                <w:rFonts w:ascii="Times New Roman" w:hAnsi="Times New Roman" w:cs="Times New Roman"/>
                <w:sz w:val="17"/>
                <w:szCs w:val="17"/>
              </w:rPr>
              <w:t>(Domestic credit to the private sector</w:t>
            </w:r>
            <w:r>
              <w:rPr>
                <w:rFonts w:ascii="Times New Roman" w:hAnsi="Times New Roman" w:cs="Times New Roman"/>
                <w:sz w:val="17"/>
                <w:szCs w:val="17"/>
              </w:rPr>
              <w:t xml:space="preserve"> as </w:t>
            </w:r>
            <w:r w:rsidRPr="00D974D5">
              <w:rPr>
                <w:rFonts w:ascii="Times New Roman" w:hAnsi="Times New Roman" w:cs="Times New Roman"/>
                <w:sz w:val="17"/>
                <w:szCs w:val="17"/>
              </w:rPr>
              <w:t>%</w:t>
            </w:r>
            <w:r>
              <w:rPr>
                <w:rFonts w:ascii="Times New Roman" w:hAnsi="Times New Roman" w:cs="Times New Roman"/>
                <w:sz w:val="17"/>
                <w:szCs w:val="17"/>
              </w:rPr>
              <w:t xml:space="preserve"> </w:t>
            </w:r>
            <w:r w:rsidRPr="00D974D5">
              <w:rPr>
                <w:rFonts w:ascii="Times New Roman" w:hAnsi="Times New Roman" w:cs="Times New Roman"/>
                <w:sz w:val="17"/>
                <w:szCs w:val="17"/>
              </w:rPr>
              <w:t xml:space="preserve">of GDP), GDO,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04ADC9BB"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NARDL (Non-Linear ARDL)</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1A20C1A2"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-Long term relation</w:t>
            </w:r>
            <w:r>
              <w:rPr>
                <w:rFonts w:ascii="Times New Roman" w:hAnsi="Times New Roman" w:cs="Times New Roman"/>
                <w:sz w:val="17"/>
                <w:szCs w:val="17"/>
              </w:rPr>
              <w:t>ship</w:t>
            </w:r>
            <w:r w:rsidRPr="00D974D5">
              <w:rPr>
                <w:rFonts w:ascii="Times New Roman" w:hAnsi="Times New Roman" w:cs="Times New Roman"/>
                <w:sz w:val="17"/>
                <w:szCs w:val="17"/>
              </w:rPr>
              <w:t xml:space="preserve"> between economic growth, </w:t>
            </w:r>
            <w:r>
              <w:rPr>
                <w:rFonts w:ascii="Times New Roman" w:hAnsi="Times New Roman" w:cs="Times New Roman"/>
                <w:sz w:val="17"/>
                <w:szCs w:val="17"/>
              </w:rPr>
              <w:t>e</w:t>
            </w:r>
            <w:r w:rsidRPr="00D974D5">
              <w:rPr>
                <w:rFonts w:ascii="Times New Roman" w:hAnsi="Times New Roman" w:cs="Times New Roman"/>
                <w:sz w:val="17"/>
                <w:szCs w:val="17"/>
              </w:rPr>
              <w:t xml:space="preserve">nergy use, </w:t>
            </w:r>
            <w:r>
              <w:rPr>
                <w:rFonts w:ascii="Times New Roman" w:hAnsi="Times New Roman" w:cs="Times New Roman"/>
                <w:sz w:val="17"/>
                <w:szCs w:val="17"/>
              </w:rPr>
              <w:t>f</w:t>
            </w:r>
            <w:r w:rsidRPr="00D974D5">
              <w:rPr>
                <w:rFonts w:ascii="Times New Roman" w:hAnsi="Times New Roman" w:cs="Times New Roman"/>
                <w:sz w:val="17"/>
                <w:szCs w:val="17"/>
              </w:rPr>
              <w:t xml:space="preserve">inancial development and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w:t>
            </w:r>
            <w:r w:rsidRPr="00D974D5">
              <w:rPr>
                <w:rFonts w:ascii="Times New Roman" w:hAnsi="Times New Roman" w:cs="Times New Roman"/>
                <w:sz w:val="17"/>
                <w:szCs w:val="17"/>
              </w:rPr>
              <w:br/>
              <w:t xml:space="preserve">- Economic growth, </w:t>
            </w:r>
            <w:r>
              <w:rPr>
                <w:rFonts w:ascii="Times New Roman" w:hAnsi="Times New Roman" w:cs="Times New Roman"/>
                <w:sz w:val="17"/>
                <w:szCs w:val="17"/>
              </w:rPr>
              <w:t>f</w:t>
            </w:r>
            <w:r w:rsidRPr="00D974D5">
              <w:rPr>
                <w:rFonts w:ascii="Times New Roman" w:hAnsi="Times New Roman" w:cs="Times New Roman"/>
                <w:sz w:val="17"/>
                <w:szCs w:val="17"/>
              </w:rPr>
              <w:t xml:space="preserve">inancial development and </w:t>
            </w:r>
            <w:r>
              <w:rPr>
                <w:rFonts w:ascii="Times New Roman" w:hAnsi="Times New Roman" w:cs="Times New Roman"/>
                <w:sz w:val="17"/>
                <w:szCs w:val="17"/>
              </w:rPr>
              <w:t>e</w:t>
            </w:r>
            <w:r w:rsidRPr="00D974D5">
              <w:rPr>
                <w:rFonts w:ascii="Times New Roman" w:hAnsi="Times New Roman" w:cs="Times New Roman"/>
                <w:sz w:val="17"/>
                <w:szCs w:val="17"/>
              </w:rPr>
              <w:t xml:space="preserve">nergy use </w:t>
            </w:r>
            <w:r>
              <w:rPr>
                <w:rFonts w:ascii="Times New Roman" w:hAnsi="Times New Roman" w:cs="Times New Roman"/>
                <w:sz w:val="17"/>
                <w:szCs w:val="17"/>
              </w:rPr>
              <w:t xml:space="preserve">are </w:t>
            </w:r>
            <w:r w:rsidRPr="00D974D5">
              <w:rPr>
                <w:rFonts w:ascii="Times New Roman" w:hAnsi="Times New Roman" w:cs="Times New Roman"/>
                <w:sz w:val="17"/>
                <w:szCs w:val="17"/>
              </w:rPr>
              <w:t xml:space="preserve">positively </w:t>
            </w:r>
            <w:r>
              <w:rPr>
                <w:rFonts w:ascii="Times New Roman" w:hAnsi="Times New Roman" w:cs="Times New Roman"/>
                <w:sz w:val="17"/>
                <w:szCs w:val="17"/>
              </w:rPr>
              <w:t xml:space="preserve">associated </w:t>
            </w:r>
            <w:r w:rsidRPr="00D974D5">
              <w:rPr>
                <w:rFonts w:ascii="Times New Roman" w:hAnsi="Times New Roman" w:cs="Times New Roman"/>
                <w:sz w:val="17"/>
                <w:szCs w:val="17"/>
              </w:rPr>
              <w:t xml:space="preserve">with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w:t>
            </w:r>
          </w:p>
        </w:tc>
      </w:tr>
      <w:tr w:rsidR="00180523" w:rsidRPr="00D974D5" w14:paraId="4557FE63" w14:textId="77777777" w:rsidTr="00D1236D">
        <w:tc>
          <w:tcPr>
            <w:tcW w:w="510" w:type="dxa"/>
            <w:tcBorders>
              <w:top w:val="single" w:sz="4" w:space="0" w:color="auto"/>
              <w:left w:val="single" w:sz="4" w:space="0" w:color="auto"/>
              <w:bottom w:val="single" w:sz="4" w:space="0" w:color="auto"/>
              <w:right w:val="single" w:sz="4" w:space="0" w:color="auto"/>
            </w:tcBorders>
          </w:tcPr>
          <w:p w14:paraId="29485B9E" w14:textId="77777777" w:rsidR="00180523" w:rsidRPr="00D974D5" w:rsidRDefault="00180523" w:rsidP="00D1236D">
            <w:pPr>
              <w:spacing w:after="0" w:line="240" w:lineRule="auto"/>
              <w:jc w:val="both"/>
              <w:rPr>
                <w:rFonts w:ascii="Times New Roman" w:hAnsi="Times New Roman" w:cs="Times New Roman"/>
                <w:b/>
                <w:bCs/>
                <w:color w:val="000000" w:themeColor="text1"/>
                <w:sz w:val="17"/>
                <w:szCs w:val="17"/>
              </w:rPr>
            </w:pPr>
            <w:r w:rsidRPr="00D974D5">
              <w:rPr>
                <w:rFonts w:ascii="Times New Roman" w:hAnsi="Times New Roman" w:cs="Times New Roman"/>
                <w:b/>
                <w:bCs/>
                <w:color w:val="000000" w:themeColor="text1"/>
                <w:sz w:val="17"/>
                <w:szCs w:val="17"/>
              </w:rPr>
              <w:t>10</w:t>
            </w:r>
          </w:p>
          <w:p w14:paraId="57EF745E" w14:textId="77777777" w:rsidR="00180523" w:rsidRPr="00D974D5" w:rsidRDefault="00180523" w:rsidP="00D1236D">
            <w:pPr>
              <w:spacing w:after="0" w:line="240" w:lineRule="auto"/>
              <w:jc w:val="both"/>
              <w:rPr>
                <w:rFonts w:ascii="Times New Roman" w:hAnsi="Times New Roman" w:cs="Times New Roman"/>
                <w:b/>
                <w:bCs/>
                <w:color w:val="000000" w:themeColor="text1"/>
                <w:sz w:val="17"/>
                <w:szCs w:val="17"/>
              </w:rPr>
            </w:pP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18502E4A" w14:textId="77777777" w:rsidR="00180523" w:rsidRPr="00D974D5" w:rsidRDefault="00180523" w:rsidP="00D1236D">
            <w:pPr>
              <w:pStyle w:val="BalonMetni"/>
              <w:rPr>
                <w:rFonts w:ascii="Times New Roman" w:hAnsi="Times New Roman" w:cs="Times New Roman"/>
                <w:color w:val="000000" w:themeColor="text1"/>
                <w:sz w:val="17"/>
                <w:szCs w:val="17"/>
              </w:rPr>
            </w:pPr>
            <w:r w:rsidRPr="00D974D5">
              <w:rPr>
                <w:rFonts w:ascii="Times New Roman" w:hAnsi="Times New Roman" w:cs="Times New Roman"/>
                <w:sz w:val="17"/>
                <w:szCs w:val="17"/>
              </w:rPr>
              <w:t>Bosah et al.</w:t>
            </w:r>
            <w:r w:rsidRPr="00D974D5">
              <w:rPr>
                <w:rFonts w:ascii="Times New Roman" w:hAnsi="Times New Roman" w:cs="Times New Roman"/>
                <w:sz w:val="17"/>
                <w:szCs w:val="17"/>
              </w:rPr>
              <w:br/>
              <w:t>(2020)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570C9530" w14:textId="77777777" w:rsidR="00180523" w:rsidRPr="00D974D5" w:rsidRDefault="00180523" w:rsidP="00D1236D">
            <w:pPr>
              <w:pStyle w:val="BalonMetni"/>
              <w:rPr>
                <w:rFonts w:ascii="Times New Roman" w:hAnsi="Times New Roman" w:cs="Times New Roman"/>
                <w:color w:val="000000" w:themeColor="text1"/>
                <w:sz w:val="17"/>
                <w:szCs w:val="17"/>
              </w:rPr>
            </w:pPr>
            <w:r w:rsidRPr="00D974D5">
              <w:rPr>
                <w:rFonts w:ascii="Times New Roman" w:hAnsi="Times New Roman" w:cs="Times New Roman"/>
                <w:sz w:val="17"/>
                <w:szCs w:val="17"/>
              </w:rPr>
              <w:t>15 countries</w:t>
            </w:r>
            <w:r w:rsidRPr="00D974D5">
              <w:rPr>
                <w:rFonts w:ascii="Times New Roman" w:hAnsi="Times New Roman" w:cs="Times New Roman"/>
                <w:sz w:val="17"/>
                <w:szCs w:val="17"/>
              </w:rPr>
              <w:br/>
              <w:t>(1971-2014)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8C43725" w14:textId="77777777" w:rsidR="00180523" w:rsidRPr="00D974D5" w:rsidRDefault="00180523" w:rsidP="00D1236D">
            <w:pPr>
              <w:pStyle w:val="BalonMetni"/>
              <w:rPr>
                <w:rFonts w:ascii="Times New Roman" w:hAnsi="Times New Roman" w:cs="Times New Roman"/>
                <w:color w:val="000000" w:themeColor="text1"/>
                <w:sz w:val="17"/>
                <w:szCs w:val="17"/>
              </w:rPr>
            </w:pPr>
            <w:r>
              <w:rPr>
                <w:rFonts w:ascii="Times New Roman" w:hAnsi="Times New Roman" w:cs="Times New Roman"/>
                <w:sz w:val="17"/>
                <w:szCs w:val="17"/>
              </w:rPr>
              <w:t>CO2</w:t>
            </w:r>
            <w:r w:rsidRPr="00D974D5">
              <w:rPr>
                <w:rFonts w:ascii="Times New Roman" w:hAnsi="Times New Roman" w:cs="Times New Roman"/>
                <w:sz w:val="17"/>
                <w:szCs w:val="17"/>
              </w:rPr>
              <w:t xml:space="preserve"> emissions, GDP per capita, Electric power consumption</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3A843EB7" w14:textId="77777777" w:rsidR="00180523" w:rsidRPr="00D974D5" w:rsidRDefault="00180523" w:rsidP="00D1236D">
            <w:pPr>
              <w:pStyle w:val="BalonMetni"/>
              <w:rPr>
                <w:rFonts w:ascii="Times New Roman" w:hAnsi="Times New Roman" w:cs="Times New Roman"/>
                <w:color w:val="000000" w:themeColor="text1"/>
                <w:sz w:val="17"/>
                <w:szCs w:val="17"/>
              </w:rPr>
            </w:pPr>
            <w:r w:rsidRPr="00D974D5">
              <w:rPr>
                <w:rFonts w:ascii="Times New Roman" w:hAnsi="Times New Roman" w:cs="Times New Roman"/>
                <w:sz w:val="17"/>
                <w:szCs w:val="17"/>
              </w:rPr>
              <w:t>NARDL (Non-Linear ARDL), Non-parametric Granger causality</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7E66B5C3" w14:textId="77777777" w:rsidR="00180523" w:rsidRPr="00D974D5" w:rsidRDefault="00180523" w:rsidP="00D1236D">
            <w:pPr>
              <w:pStyle w:val="BalonMetni"/>
              <w:rPr>
                <w:rFonts w:ascii="Times New Roman" w:hAnsi="Times New Roman" w:cs="Times New Roman"/>
                <w:color w:val="000000" w:themeColor="text1"/>
                <w:sz w:val="17"/>
                <w:szCs w:val="17"/>
              </w:rPr>
            </w:pPr>
            <w:r w:rsidRPr="00D974D5">
              <w:rPr>
                <w:rFonts w:ascii="Times New Roman" w:hAnsi="Times New Roman" w:cs="Times New Roman"/>
                <w:sz w:val="17"/>
                <w:szCs w:val="17"/>
              </w:rPr>
              <w:t>-</w:t>
            </w:r>
            <w:r>
              <w:rPr>
                <w:rFonts w:ascii="Times New Roman" w:hAnsi="Times New Roman" w:cs="Times New Roman"/>
                <w:sz w:val="17"/>
                <w:szCs w:val="17"/>
              </w:rPr>
              <w:t>L</w:t>
            </w:r>
            <w:r w:rsidRPr="00D974D5">
              <w:rPr>
                <w:rFonts w:ascii="Times New Roman" w:hAnsi="Times New Roman" w:cs="Times New Roman"/>
                <w:sz w:val="17"/>
                <w:szCs w:val="17"/>
              </w:rPr>
              <w:t>ong and short-run relationship</w:t>
            </w:r>
            <w:r>
              <w:rPr>
                <w:rFonts w:ascii="Times New Roman" w:hAnsi="Times New Roman" w:cs="Times New Roman"/>
                <w:sz w:val="17"/>
                <w:szCs w:val="17"/>
              </w:rPr>
              <w:t>s</w:t>
            </w:r>
            <w:r w:rsidRPr="00D974D5">
              <w:rPr>
                <w:rFonts w:ascii="Times New Roman" w:hAnsi="Times New Roman" w:cs="Times New Roman"/>
                <w:sz w:val="17"/>
                <w:szCs w:val="17"/>
              </w:rPr>
              <w:t xml:space="preserve"> var</w:t>
            </w:r>
            <w:r>
              <w:rPr>
                <w:rFonts w:ascii="Times New Roman" w:hAnsi="Times New Roman" w:cs="Times New Roman"/>
                <w:sz w:val="17"/>
                <w:szCs w:val="17"/>
              </w:rPr>
              <w:t>y</w:t>
            </w:r>
            <w:r w:rsidRPr="00D974D5">
              <w:rPr>
                <w:rFonts w:ascii="Times New Roman" w:hAnsi="Times New Roman" w:cs="Times New Roman"/>
                <w:sz w:val="17"/>
                <w:szCs w:val="17"/>
              </w:rPr>
              <w:t xml:space="preserve"> </w:t>
            </w:r>
            <w:r>
              <w:rPr>
                <w:rFonts w:ascii="Times New Roman" w:hAnsi="Times New Roman" w:cs="Times New Roman"/>
                <w:sz w:val="17"/>
                <w:szCs w:val="17"/>
              </w:rPr>
              <w:t>by country</w:t>
            </w:r>
            <w:r w:rsidRPr="00D974D5">
              <w:rPr>
                <w:rFonts w:ascii="Times New Roman" w:hAnsi="Times New Roman" w:cs="Times New Roman"/>
                <w:sz w:val="17"/>
                <w:szCs w:val="17"/>
              </w:rPr>
              <w:t xml:space="preserve">. </w:t>
            </w:r>
          </w:p>
        </w:tc>
      </w:tr>
      <w:tr w:rsidR="00180523" w:rsidRPr="00D974D5" w14:paraId="78C512F2" w14:textId="77777777" w:rsidTr="00D1236D">
        <w:tc>
          <w:tcPr>
            <w:tcW w:w="510" w:type="dxa"/>
            <w:tcBorders>
              <w:top w:val="single" w:sz="4" w:space="0" w:color="auto"/>
              <w:left w:val="single" w:sz="4" w:space="0" w:color="auto"/>
              <w:bottom w:val="single" w:sz="4" w:space="0" w:color="auto"/>
              <w:right w:val="single" w:sz="4" w:space="0" w:color="auto"/>
            </w:tcBorders>
          </w:tcPr>
          <w:p w14:paraId="5BC7023E" w14:textId="77777777" w:rsidR="00180523" w:rsidRPr="00D974D5" w:rsidRDefault="00180523" w:rsidP="00D1236D">
            <w:pPr>
              <w:spacing w:after="0" w:line="240" w:lineRule="auto"/>
              <w:jc w:val="both"/>
              <w:rPr>
                <w:rFonts w:ascii="Times New Roman" w:hAnsi="Times New Roman" w:cs="Times New Roman"/>
                <w:b/>
                <w:bCs/>
                <w:color w:val="000000" w:themeColor="text1"/>
                <w:sz w:val="17"/>
                <w:szCs w:val="17"/>
              </w:rPr>
            </w:pPr>
            <w:r w:rsidRPr="00D974D5">
              <w:rPr>
                <w:rFonts w:ascii="Times New Roman" w:hAnsi="Times New Roman" w:cs="Times New Roman"/>
                <w:b/>
                <w:bCs/>
                <w:color w:val="000000" w:themeColor="text1"/>
                <w:sz w:val="17"/>
                <w:szCs w:val="17"/>
              </w:rPr>
              <w:t>11</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7CADDC09" w14:textId="77777777" w:rsidR="00180523" w:rsidRPr="00D974D5" w:rsidRDefault="00180523" w:rsidP="00D1236D">
            <w:pPr>
              <w:pStyle w:val="BalonMetni"/>
              <w:rPr>
                <w:rFonts w:ascii="Times New Roman" w:hAnsi="Times New Roman" w:cs="Times New Roman"/>
                <w:color w:val="000000" w:themeColor="text1"/>
                <w:sz w:val="17"/>
                <w:szCs w:val="17"/>
              </w:rPr>
            </w:pPr>
            <w:r w:rsidRPr="00D974D5">
              <w:rPr>
                <w:rFonts w:ascii="Times New Roman" w:hAnsi="Times New Roman" w:cs="Times New Roman"/>
                <w:sz w:val="17"/>
                <w:szCs w:val="17"/>
              </w:rPr>
              <w:t>Karasoy</w:t>
            </w:r>
            <w:r w:rsidRPr="00D974D5">
              <w:rPr>
                <w:rFonts w:ascii="Times New Roman" w:hAnsi="Times New Roman" w:cs="Times New Roman"/>
                <w:sz w:val="17"/>
                <w:szCs w:val="17"/>
              </w:rPr>
              <w:br/>
              <w:t>(2019)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4DF4B78" w14:textId="77777777" w:rsidR="00180523" w:rsidRPr="00D974D5" w:rsidRDefault="00180523" w:rsidP="00D1236D">
            <w:pPr>
              <w:pStyle w:val="BalonMetni"/>
              <w:rPr>
                <w:rFonts w:ascii="Times New Roman" w:hAnsi="Times New Roman" w:cs="Times New Roman"/>
                <w:color w:val="000000" w:themeColor="text1"/>
                <w:sz w:val="17"/>
                <w:szCs w:val="17"/>
              </w:rPr>
            </w:pPr>
            <w:r w:rsidRPr="00D974D5">
              <w:rPr>
                <w:rFonts w:ascii="Times New Roman" w:hAnsi="Times New Roman" w:cs="Times New Roman"/>
                <w:sz w:val="17"/>
                <w:szCs w:val="17"/>
              </w:rPr>
              <w:t>Turkey</w:t>
            </w:r>
            <w:r w:rsidRPr="00D974D5">
              <w:rPr>
                <w:rFonts w:ascii="Times New Roman" w:hAnsi="Times New Roman" w:cs="Times New Roman"/>
                <w:sz w:val="17"/>
                <w:szCs w:val="17"/>
              </w:rPr>
              <w:br/>
              <w:t>(1965-2015)</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55EFA5B" w14:textId="77777777" w:rsidR="00180523" w:rsidRPr="00D974D5" w:rsidRDefault="00180523" w:rsidP="00D1236D">
            <w:pPr>
              <w:pStyle w:val="BalonMetni"/>
              <w:rPr>
                <w:rFonts w:ascii="Times New Roman" w:hAnsi="Times New Roman" w:cs="Times New Roman"/>
                <w:color w:val="000000" w:themeColor="text1"/>
                <w:sz w:val="17"/>
                <w:szCs w:val="17"/>
              </w:rPr>
            </w:pPr>
            <w:r>
              <w:rPr>
                <w:rFonts w:ascii="Times New Roman" w:hAnsi="Times New Roman" w:cs="Times New Roman"/>
                <w:sz w:val="17"/>
                <w:szCs w:val="17"/>
              </w:rPr>
              <w:t>CO2</w:t>
            </w:r>
            <w:r w:rsidRPr="00D974D5">
              <w:rPr>
                <w:rFonts w:ascii="Times New Roman" w:hAnsi="Times New Roman" w:cs="Times New Roman"/>
                <w:sz w:val="17"/>
                <w:szCs w:val="17"/>
              </w:rPr>
              <w:t xml:space="preserve"> emissions, Income, Renewable and non-renewable energy consumption, Trade, Financial development</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57B76500" w14:textId="77777777" w:rsidR="00180523" w:rsidRPr="00D974D5" w:rsidRDefault="00180523" w:rsidP="00D1236D">
            <w:pPr>
              <w:pStyle w:val="BalonMetni"/>
              <w:rPr>
                <w:rFonts w:ascii="Times New Roman" w:hAnsi="Times New Roman" w:cs="Times New Roman"/>
                <w:color w:val="000000" w:themeColor="text1"/>
                <w:sz w:val="17"/>
                <w:szCs w:val="17"/>
              </w:rPr>
            </w:pPr>
            <w:r w:rsidRPr="00D974D5">
              <w:rPr>
                <w:rFonts w:ascii="Times New Roman" w:hAnsi="Times New Roman" w:cs="Times New Roman"/>
                <w:sz w:val="17"/>
                <w:szCs w:val="17"/>
              </w:rPr>
              <w:t>NARDL (Non-Linear ARDL)</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31AA993A" w14:textId="77777777" w:rsidR="00180523" w:rsidRPr="00D974D5" w:rsidRDefault="00180523" w:rsidP="00D1236D">
            <w:pPr>
              <w:pStyle w:val="BalonMetni"/>
              <w:rPr>
                <w:rFonts w:ascii="Times New Roman" w:hAnsi="Times New Roman" w:cs="Times New Roman"/>
                <w:color w:val="000000" w:themeColor="text1"/>
                <w:sz w:val="17"/>
                <w:szCs w:val="17"/>
              </w:rPr>
            </w:pPr>
            <w:r w:rsidRPr="00D974D5">
              <w:rPr>
                <w:rFonts w:ascii="Times New Roman" w:hAnsi="Times New Roman" w:cs="Times New Roman"/>
                <w:sz w:val="17"/>
                <w:szCs w:val="17"/>
              </w:rPr>
              <w:t xml:space="preserve">- Renewable energy consumption has an asymmetric impact on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w:t>
            </w:r>
            <w:r w:rsidRPr="00D974D5">
              <w:rPr>
                <w:rFonts w:ascii="Times New Roman" w:hAnsi="Times New Roman" w:cs="Times New Roman"/>
                <w:sz w:val="17"/>
                <w:szCs w:val="17"/>
              </w:rPr>
              <w:br/>
              <w:t xml:space="preserve">-Positive shocks on non-renewable and renewable energy consumption has an increasing effect on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 while </w:t>
            </w:r>
            <w:r>
              <w:rPr>
                <w:rFonts w:ascii="Times New Roman" w:hAnsi="Times New Roman" w:cs="Times New Roman"/>
                <w:sz w:val="17"/>
                <w:szCs w:val="17"/>
              </w:rPr>
              <w:t>n</w:t>
            </w:r>
            <w:r w:rsidRPr="00D974D5">
              <w:rPr>
                <w:rFonts w:ascii="Times New Roman" w:hAnsi="Times New Roman" w:cs="Times New Roman"/>
                <w:sz w:val="17"/>
                <w:szCs w:val="17"/>
              </w:rPr>
              <w:t xml:space="preserve">egative shocks on renewable energy consumption have increased and negative shocks on non-renewable energy has </w:t>
            </w:r>
            <w:r>
              <w:rPr>
                <w:rFonts w:ascii="Times New Roman" w:hAnsi="Times New Roman" w:cs="Times New Roman"/>
                <w:sz w:val="17"/>
                <w:szCs w:val="17"/>
              </w:rPr>
              <w:t>reduced</w:t>
            </w:r>
            <w:r w:rsidRPr="00D974D5">
              <w:rPr>
                <w:rFonts w:ascii="Times New Roman" w:hAnsi="Times New Roman" w:cs="Times New Roman"/>
                <w:sz w:val="17"/>
                <w:szCs w:val="17"/>
              </w:rPr>
              <w:t xml:space="preserve">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w:t>
            </w:r>
          </w:p>
        </w:tc>
      </w:tr>
      <w:tr w:rsidR="00180523" w:rsidRPr="00D974D5" w14:paraId="6B4319BA" w14:textId="77777777" w:rsidTr="00D1236D">
        <w:tc>
          <w:tcPr>
            <w:tcW w:w="510" w:type="dxa"/>
            <w:tcBorders>
              <w:top w:val="single" w:sz="4" w:space="0" w:color="auto"/>
              <w:left w:val="single" w:sz="4" w:space="0" w:color="auto"/>
              <w:bottom w:val="single" w:sz="4" w:space="0" w:color="auto"/>
              <w:right w:val="single" w:sz="4" w:space="0" w:color="auto"/>
            </w:tcBorders>
          </w:tcPr>
          <w:p w14:paraId="3B74B5B1" w14:textId="77777777" w:rsidR="00180523" w:rsidRPr="00D974D5" w:rsidRDefault="00180523" w:rsidP="00D1236D">
            <w:pPr>
              <w:spacing w:after="0" w:line="240" w:lineRule="auto"/>
              <w:jc w:val="both"/>
              <w:rPr>
                <w:rFonts w:ascii="Times New Roman" w:hAnsi="Times New Roman" w:cs="Times New Roman"/>
                <w:b/>
                <w:bCs/>
                <w:color w:val="000000" w:themeColor="text1"/>
                <w:sz w:val="17"/>
                <w:szCs w:val="17"/>
              </w:rPr>
            </w:pPr>
            <w:r w:rsidRPr="00D974D5">
              <w:rPr>
                <w:rFonts w:ascii="Times New Roman" w:hAnsi="Times New Roman" w:cs="Times New Roman"/>
                <w:b/>
                <w:bCs/>
                <w:color w:val="000000" w:themeColor="text1"/>
                <w:sz w:val="17"/>
                <w:szCs w:val="17"/>
              </w:rPr>
              <w:t>12</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076B10CF" w14:textId="77777777" w:rsidR="00180523" w:rsidRPr="00D974D5" w:rsidRDefault="00180523" w:rsidP="00D1236D">
            <w:pPr>
              <w:pStyle w:val="BalonMetni"/>
              <w:rPr>
                <w:rFonts w:ascii="Times New Roman" w:hAnsi="Times New Roman" w:cs="Times New Roman"/>
                <w:color w:val="000000" w:themeColor="text1"/>
                <w:sz w:val="17"/>
                <w:szCs w:val="17"/>
              </w:rPr>
            </w:pPr>
            <w:r w:rsidRPr="00D974D5">
              <w:rPr>
                <w:rFonts w:ascii="Times New Roman" w:hAnsi="Times New Roman" w:cs="Times New Roman"/>
                <w:sz w:val="17"/>
                <w:szCs w:val="17"/>
              </w:rPr>
              <w:t>Omoke et al.</w:t>
            </w:r>
            <w:r w:rsidRPr="00D974D5">
              <w:rPr>
                <w:rFonts w:ascii="Times New Roman" w:hAnsi="Times New Roman" w:cs="Times New Roman"/>
                <w:sz w:val="17"/>
                <w:szCs w:val="17"/>
              </w:rPr>
              <w:br/>
              <w:t>(2020)</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1708FF2" w14:textId="77777777" w:rsidR="00180523" w:rsidRPr="00D974D5" w:rsidRDefault="00180523" w:rsidP="00D1236D">
            <w:pPr>
              <w:pStyle w:val="BalonMetni"/>
              <w:rPr>
                <w:rFonts w:ascii="Times New Roman" w:hAnsi="Times New Roman" w:cs="Times New Roman"/>
                <w:color w:val="000000" w:themeColor="text1"/>
                <w:sz w:val="17"/>
                <w:szCs w:val="17"/>
              </w:rPr>
            </w:pPr>
            <w:r w:rsidRPr="00D974D5">
              <w:rPr>
                <w:rFonts w:ascii="Times New Roman" w:hAnsi="Times New Roman" w:cs="Times New Roman"/>
                <w:sz w:val="17"/>
                <w:szCs w:val="17"/>
              </w:rPr>
              <w:t>Nigeria</w:t>
            </w:r>
            <w:r w:rsidRPr="00D974D5">
              <w:rPr>
                <w:rFonts w:ascii="Times New Roman" w:hAnsi="Times New Roman" w:cs="Times New Roman"/>
                <w:sz w:val="17"/>
                <w:szCs w:val="17"/>
              </w:rPr>
              <w:br/>
              <w:t>(1971-2014)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464EF9FA" w14:textId="77777777" w:rsidR="00180523" w:rsidRPr="00D974D5" w:rsidRDefault="00180523" w:rsidP="00D1236D">
            <w:pPr>
              <w:pStyle w:val="BalonMetni"/>
              <w:rPr>
                <w:rFonts w:ascii="Times New Roman" w:hAnsi="Times New Roman" w:cs="Times New Roman"/>
                <w:color w:val="000000" w:themeColor="text1"/>
                <w:sz w:val="17"/>
                <w:szCs w:val="17"/>
              </w:rPr>
            </w:pPr>
            <w:r>
              <w:rPr>
                <w:rFonts w:ascii="Times New Roman" w:hAnsi="Times New Roman" w:cs="Times New Roman"/>
                <w:sz w:val="17"/>
                <w:szCs w:val="17"/>
              </w:rPr>
              <w:t>CO2</w:t>
            </w:r>
            <w:r w:rsidRPr="00D974D5">
              <w:rPr>
                <w:rFonts w:ascii="Times New Roman" w:hAnsi="Times New Roman" w:cs="Times New Roman"/>
                <w:sz w:val="17"/>
                <w:szCs w:val="17"/>
              </w:rPr>
              <w:t xml:space="preserve"> emissions, GDP, Energy use, Exchange rate, Financial development, Urbanisation</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5ED8B519" w14:textId="77777777" w:rsidR="00180523" w:rsidRPr="00D974D5" w:rsidRDefault="00180523" w:rsidP="00D1236D">
            <w:pPr>
              <w:pStyle w:val="BalonMetni"/>
              <w:rPr>
                <w:rFonts w:ascii="Times New Roman" w:hAnsi="Times New Roman" w:cs="Times New Roman"/>
                <w:color w:val="000000" w:themeColor="text1"/>
                <w:sz w:val="17"/>
                <w:szCs w:val="17"/>
              </w:rPr>
            </w:pPr>
            <w:r w:rsidRPr="00D974D5">
              <w:rPr>
                <w:rFonts w:ascii="Times New Roman" w:hAnsi="Times New Roman" w:cs="Times New Roman"/>
                <w:sz w:val="17"/>
                <w:szCs w:val="17"/>
              </w:rPr>
              <w:t>Linear and Non-Linear ARDL</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3AA872A6" w14:textId="77777777" w:rsidR="00180523" w:rsidRPr="00D974D5" w:rsidRDefault="00180523" w:rsidP="00D1236D">
            <w:pPr>
              <w:pStyle w:val="BalonMetni"/>
              <w:rPr>
                <w:rFonts w:ascii="Times New Roman" w:hAnsi="Times New Roman" w:cs="Times New Roman"/>
                <w:color w:val="000000" w:themeColor="text1"/>
                <w:sz w:val="17"/>
                <w:szCs w:val="17"/>
              </w:rPr>
            </w:pPr>
            <w:r w:rsidRPr="00D974D5">
              <w:rPr>
                <w:rFonts w:ascii="Times New Roman" w:hAnsi="Times New Roman" w:cs="Times New Roman"/>
                <w:sz w:val="17"/>
                <w:szCs w:val="17"/>
              </w:rPr>
              <w:t xml:space="preserve">- Financial development has positive effects on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 in the Linear ARDL model</w:t>
            </w:r>
            <w:r w:rsidRPr="00D974D5">
              <w:rPr>
                <w:rFonts w:ascii="Times New Roman" w:hAnsi="Times New Roman" w:cs="Times New Roman"/>
                <w:sz w:val="17"/>
                <w:szCs w:val="17"/>
              </w:rPr>
              <w:br/>
              <w:t xml:space="preserve">- NARDL model shows a positive impact of positive shocks in </w:t>
            </w:r>
            <w:r>
              <w:rPr>
                <w:rFonts w:ascii="Times New Roman" w:hAnsi="Times New Roman" w:cs="Times New Roman"/>
                <w:sz w:val="17"/>
                <w:szCs w:val="17"/>
              </w:rPr>
              <w:t>f</w:t>
            </w:r>
            <w:r w:rsidRPr="00D974D5">
              <w:rPr>
                <w:rFonts w:ascii="Times New Roman" w:hAnsi="Times New Roman" w:cs="Times New Roman"/>
                <w:sz w:val="17"/>
                <w:szCs w:val="17"/>
              </w:rPr>
              <w:t xml:space="preserve">inancial development on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 while the negative </w:t>
            </w:r>
            <w:r>
              <w:rPr>
                <w:rFonts w:ascii="Times New Roman" w:hAnsi="Times New Roman" w:cs="Times New Roman"/>
                <w:sz w:val="17"/>
                <w:szCs w:val="17"/>
              </w:rPr>
              <w:t>shock</w:t>
            </w:r>
            <w:r w:rsidRPr="00D974D5">
              <w:rPr>
                <w:rFonts w:ascii="Times New Roman" w:hAnsi="Times New Roman" w:cs="Times New Roman"/>
                <w:sz w:val="17"/>
                <w:szCs w:val="17"/>
              </w:rPr>
              <w:t xml:space="preserve"> has opposite effects on </w:t>
            </w:r>
            <w:r>
              <w:rPr>
                <w:rFonts w:ascii="Times New Roman" w:hAnsi="Times New Roman" w:cs="Times New Roman"/>
                <w:sz w:val="17"/>
                <w:szCs w:val="17"/>
              </w:rPr>
              <w:t>CO2</w:t>
            </w:r>
            <w:r w:rsidRPr="00D974D5">
              <w:rPr>
                <w:rFonts w:ascii="Times New Roman" w:hAnsi="Times New Roman" w:cs="Times New Roman"/>
                <w:sz w:val="17"/>
                <w:szCs w:val="17"/>
              </w:rPr>
              <w:t xml:space="preserve"> emissions.</w:t>
            </w:r>
          </w:p>
        </w:tc>
      </w:tr>
      <w:tr w:rsidR="00180523" w:rsidRPr="00D974D5" w14:paraId="6B958E70" w14:textId="77777777" w:rsidTr="00D1236D">
        <w:tc>
          <w:tcPr>
            <w:tcW w:w="510" w:type="dxa"/>
            <w:tcBorders>
              <w:top w:val="single" w:sz="4" w:space="0" w:color="auto"/>
              <w:left w:val="single" w:sz="4" w:space="0" w:color="auto"/>
              <w:bottom w:val="single" w:sz="4" w:space="0" w:color="auto"/>
              <w:right w:val="single" w:sz="4" w:space="0" w:color="auto"/>
            </w:tcBorders>
          </w:tcPr>
          <w:p w14:paraId="083EE318" w14:textId="77777777" w:rsidR="00180523" w:rsidRPr="00D974D5" w:rsidRDefault="00180523" w:rsidP="00D1236D">
            <w:pPr>
              <w:spacing w:after="0" w:line="240" w:lineRule="auto"/>
              <w:jc w:val="both"/>
              <w:rPr>
                <w:rFonts w:ascii="Times New Roman" w:hAnsi="Times New Roman" w:cs="Times New Roman"/>
                <w:b/>
                <w:bCs/>
                <w:color w:val="000000" w:themeColor="text1"/>
                <w:sz w:val="17"/>
                <w:szCs w:val="17"/>
              </w:rPr>
            </w:pPr>
            <w:r w:rsidRPr="00D974D5">
              <w:rPr>
                <w:rFonts w:ascii="Times New Roman" w:hAnsi="Times New Roman" w:cs="Times New Roman"/>
                <w:b/>
                <w:bCs/>
                <w:color w:val="000000" w:themeColor="text1"/>
                <w:sz w:val="17"/>
                <w:szCs w:val="17"/>
              </w:rPr>
              <w:lastRenderedPageBreak/>
              <w:t>13</w:t>
            </w:r>
          </w:p>
        </w:tc>
        <w:tc>
          <w:tcPr>
            <w:tcW w:w="1285" w:type="dxa"/>
            <w:tcBorders>
              <w:top w:val="single" w:sz="4" w:space="0" w:color="auto"/>
              <w:left w:val="single" w:sz="4" w:space="0" w:color="auto"/>
              <w:bottom w:val="single" w:sz="4" w:space="0" w:color="auto"/>
              <w:right w:val="single" w:sz="4" w:space="0" w:color="auto"/>
            </w:tcBorders>
            <w:shd w:val="clear" w:color="auto" w:fill="auto"/>
          </w:tcPr>
          <w:p w14:paraId="6F9AC032" w14:textId="77777777" w:rsidR="00180523" w:rsidRPr="00D974D5" w:rsidRDefault="00180523" w:rsidP="00D1236D">
            <w:pPr>
              <w:pStyle w:val="BalonMetni"/>
              <w:rPr>
                <w:rFonts w:ascii="Times New Roman" w:hAnsi="Times New Roman" w:cs="Times New Roman"/>
                <w:color w:val="000000" w:themeColor="text1"/>
                <w:sz w:val="17"/>
                <w:szCs w:val="17"/>
              </w:rPr>
            </w:pPr>
            <w:r w:rsidRPr="00D974D5">
              <w:rPr>
                <w:rFonts w:ascii="Times New Roman" w:hAnsi="Times New Roman" w:cs="Times New Roman"/>
                <w:sz w:val="17"/>
                <w:szCs w:val="17"/>
              </w:rPr>
              <w:t>Toumi &amp; Toumi</w:t>
            </w:r>
            <w:r w:rsidRPr="00D974D5">
              <w:rPr>
                <w:rFonts w:ascii="Times New Roman" w:hAnsi="Times New Roman" w:cs="Times New Roman"/>
                <w:sz w:val="17"/>
                <w:szCs w:val="17"/>
              </w:rPr>
              <w:br/>
              <w:t>(2019)</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ECC2C03" w14:textId="77777777" w:rsidR="00180523" w:rsidRPr="00D974D5" w:rsidRDefault="00180523" w:rsidP="00D1236D">
            <w:pPr>
              <w:spacing w:after="0" w:line="240" w:lineRule="auto"/>
              <w:rPr>
                <w:rFonts w:ascii="Times New Roman" w:hAnsi="Times New Roman" w:cs="Times New Roman"/>
                <w:color w:val="000000" w:themeColor="text1"/>
                <w:sz w:val="17"/>
                <w:szCs w:val="17"/>
              </w:rPr>
            </w:pPr>
            <w:r w:rsidRPr="00D974D5">
              <w:rPr>
                <w:rFonts w:ascii="Times New Roman" w:hAnsi="Times New Roman" w:cs="Times New Roman"/>
                <w:sz w:val="17"/>
                <w:szCs w:val="17"/>
              </w:rPr>
              <w:t>Saudi Arabia</w:t>
            </w:r>
            <w:r w:rsidRPr="00D974D5">
              <w:rPr>
                <w:rFonts w:ascii="Times New Roman" w:hAnsi="Times New Roman" w:cs="Times New Roman"/>
                <w:sz w:val="17"/>
                <w:szCs w:val="17"/>
              </w:rPr>
              <w:br/>
              <w:t>(1990-2014)</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19C12DA8" w14:textId="77777777" w:rsidR="00180523" w:rsidRPr="00D974D5" w:rsidRDefault="00180523" w:rsidP="00D1236D">
            <w:pPr>
              <w:pStyle w:val="BalonMetni"/>
              <w:rPr>
                <w:rFonts w:ascii="Times New Roman" w:hAnsi="Times New Roman" w:cs="Times New Roman"/>
                <w:color w:val="000000" w:themeColor="text1"/>
                <w:sz w:val="17"/>
                <w:szCs w:val="17"/>
              </w:rPr>
            </w:pPr>
            <w:r>
              <w:rPr>
                <w:rFonts w:ascii="Times New Roman" w:hAnsi="Times New Roman" w:cs="Times New Roman"/>
                <w:sz w:val="17"/>
                <w:szCs w:val="17"/>
              </w:rPr>
              <w:t>CO2</w:t>
            </w:r>
            <w:r w:rsidRPr="00D974D5">
              <w:rPr>
                <w:rFonts w:ascii="Times New Roman" w:hAnsi="Times New Roman" w:cs="Times New Roman"/>
                <w:sz w:val="17"/>
                <w:szCs w:val="17"/>
              </w:rPr>
              <w:t xml:space="preserve"> emissions, Renewable energy, Real GDP</w:t>
            </w:r>
          </w:p>
        </w:tc>
        <w:tc>
          <w:tcPr>
            <w:tcW w:w="1620" w:type="dxa"/>
            <w:tcBorders>
              <w:top w:val="single" w:sz="4" w:space="0" w:color="auto"/>
              <w:left w:val="single" w:sz="4" w:space="0" w:color="auto"/>
              <w:bottom w:val="single" w:sz="4" w:space="0" w:color="auto"/>
              <w:right w:val="single" w:sz="4" w:space="0" w:color="auto"/>
            </w:tcBorders>
            <w:shd w:val="clear" w:color="auto" w:fill="auto"/>
          </w:tcPr>
          <w:p w14:paraId="23015336" w14:textId="77777777" w:rsidR="00180523" w:rsidRPr="00D974D5" w:rsidRDefault="00180523" w:rsidP="00D1236D">
            <w:pPr>
              <w:pStyle w:val="BalonMetni"/>
              <w:ind w:hanging="3"/>
              <w:rPr>
                <w:rFonts w:ascii="Times New Roman" w:hAnsi="Times New Roman" w:cs="Times New Roman"/>
                <w:color w:val="000000" w:themeColor="text1"/>
                <w:sz w:val="17"/>
                <w:szCs w:val="17"/>
              </w:rPr>
            </w:pPr>
            <w:r w:rsidRPr="00D974D5">
              <w:rPr>
                <w:rFonts w:ascii="Times New Roman" w:hAnsi="Times New Roman" w:cs="Times New Roman"/>
                <w:sz w:val="17"/>
                <w:szCs w:val="17"/>
              </w:rPr>
              <w:t>NARDL (Non-Linear ARDL)</w:t>
            </w:r>
          </w:p>
        </w:tc>
        <w:tc>
          <w:tcPr>
            <w:tcW w:w="2921" w:type="dxa"/>
            <w:tcBorders>
              <w:top w:val="single" w:sz="4" w:space="0" w:color="auto"/>
              <w:left w:val="single" w:sz="4" w:space="0" w:color="auto"/>
              <w:bottom w:val="single" w:sz="4" w:space="0" w:color="auto"/>
              <w:right w:val="single" w:sz="4" w:space="0" w:color="auto"/>
            </w:tcBorders>
            <w:shd w:val="clear" w:color="auto" w:fill="auto"/>
          </w:tcPr>
          <w:p w14:paraId="04E1F58B" w14:textId="77777777" w:rsidR="00180523" w:rsidRPr="00D974D5" w:rsidRDefault="00180523" w:rsidP="00D1236D">
            <w:pPr>
              <w:pStyle w:val="BalonMetni"/>
              <w:rPr>
                <w:rFonts w:ascii="Times New Roman" w:hAnsi="Times New Roman" w:cs="Times New Roman"/>
                <w:color w:val="000000" w:themeColor="text1"/>
                <w:sz w:val="17"/>
                <w:szCs w:val="17"/>
              </w:rPr>
            </w:pPr>
            <w:r w:rsidRPr="00D974D5">
              <w:rPr>
                <w:rFonts w:ascii="Times New Roman" w:hAnsi="Times New Roman" w:cs="Times New Roman"/>
                <w:sz w:val="17"/>
                <w:szCs w:val="17"/>
              </w:rPr>
              <w:t xml:space="preserve">- Positive and negative shocks on </w:t>
            </w:r>
            <w:r>
              <w:rPr>
                <w:rFonts w:ascii="Times New Roman" w:hAnsi="Times New Roman" w:cs="Times New Roman"/>
                <w:sz w:val="17"/>
                <w:szCs w:val="17"/>
              </w:rPr>
              <w:t>r</w:t>
            </w:r>
            <w:r w:rsidRPr="00D974D5">
              <w:rPr>
                <w:rFonts w:ascii="Times New Roman" w:hAnsi="Times New Roman" w:cs="Times New Roman"/>
                <w:sz w:val="17"/>
                <w:szCs w:val="17"/>
              </w:rPr>
              <w:t xml:space="preserve">enewable energy consumption </w:t>
            </w:r>
            <w:r>
              <w:rPr>
                <w:rFonts w:ascii="Times New Roman" w:hAnsi="Times New Roman" w:cs="Times New Roman"/>
                <w:sz w:val="17"/>
                <w:szCs w:val="17"/>
              </w:rPr>
              <w:t xml:space="preserve">have an </w:t>
            </w:r>
            <w:r w:rsidRPr="00D974D5">
              <w:rPr>
                <w:rFonts w:ascii="Times New Roman" w:hAnsi="Times New Roman" w:cs="Times New Roman"/>
                <w:sz w:val="17"/>
                <w:szCs w:val="17"/>
              </w:rPr>
              <w:t xml:space="preserve">adverse impact on </w:t>
            </w:r>
            <w:r>
              <w:rPr>
                <w:rFonts w:ascii="Times New Roman" w:hAnsi="Times New Roman" w:cs="Times New Roman"/>
                <w:sz w:val="17"/>
                <w:szCs w:val="17"/>
              </w:rPr>
              <w:t>CO2</w:t>
            </w:r>
            <w:r w:rsidRPr="00D974D5">
              <w:rPr>
                <w:rFonts w:ascii="Times New Roman" w:hAnsi="Times New Roman" w:cs="Times New Roman"/>
                <w:sz w:val="17"/>
                <w:szCs w:val="17"/>
              </w:rPr>
              <w:t xml:space="preserve"> </w:t>
            </w:r>
            <w:r>
              <w:rPr>
                <w:rFonts w:ascii="Times New Roman" w:hAnsi="Times New Roman" w:cs="Times New Roman"/>
                <w:sz w:val="17"/>
                <w:szCs w:val="17"/>
              </w:rPr>
              <w:t>e</w:t>
            </w:r>
            <w:r w:rsidRPr="00D974D5">
              <w:rPr>
                <w:rFonts w:ascii="Times New Roman" w:hAnsi="Times New Roman" w:cs="Times New Roman"/>
                <w:sz w:val="17"/>
                <w:szCs w:val="17"/>
              </w:rPr>
              <w:t>missions</w:t>
            </w:r>
          </w:p>
        </w:tc>
      </w:tr>
    </w:tbl>
    <w:p w14:paraId="638660B0" w14:textId="77777777" w:rsidR="00180523" w:rsidRDefault="00180523" w:rsidP="00180523">
      <w:pPr>
        <w:spacing w:after="0" w:line="240" w:lineRule="auto"/>
        <w:rPr>
          <w:rFonts w:ascii="Times New Roman" w:hAnsi="Times New Roman" w:cs="Times New Roman"/>
        </w:rPr>
      </w:pPr>
    </w:p>
    <w:p w14:paraId="31858CD8" w14:textId="77777777" w:rsidR="00000000" w:rsidRDefault="00000000"/>
    <w:sectPr w:rsidR="001E342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2782F" w14:textId="77777777" w:rsidR="007F56A0" w:rsidRDefault="007F56A0" w:rsidP="00CB435D">
      <w:pPr>
        <w:spacing w:after="0" w:line="240" w:lineRule="auto"/>
      </w:pPr>
      <w:r>
        <w:separator/>
      </w:r>
    </w:p>
  </w:endnote>
  <w:endnote w:type="continuationSeparator" w:id="0">
    <w:p w14:paraId="30E21C51" w14:textId="77777777" w:rsidR="007F56A0" w:rsidRDefault="007F56A0" w:rsidP="00CB4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IDFont+F4">
    <w:altName w:val="Nanum Brush Script"/>
    <w:panose1 w:val="00000000000000000000"/>
    <w:charset w:val="00"/>
    <w:family w:val="roman"/>
    <w:notTrueType/>
    <w:pitch w:val="default"/>
  </w:font>
  <w:font w:name="CIDFont+F2">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dvP4DF60E">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6986974"/>
      <w:docPartObj>
        <w:docPartGallery w:val="Page Numbers (Bottom of Page)"/>
        <w:docPartUnique/>
      </w:docPartObj>
    </w:sdtPr>
    <w:sdtEndPr>
      <w:rPr>
        <w:noProof/>
      </w:rPr>
    </w:sdtEndPr>
    <w:sdtContent>
      <w:p w14:paraId="32DC7E92" w14:textId="59170334" w:rsidR="00CB435D" w:rsidRDefault="00CB435D">
        <w:pPr>
          <w:pStyle w:val="AltBilgi"/>
          <w:jc w:val="right"/>
        </w:pPr>
        <w:r>
          <w:fldChar w:fldCharType="begin"/>
        </w:r>
        <w:r>
          <w:instrText xml:space="preserve"> PAGE   \* MERGEFORMAT </w:instrText>
        </w:r>
        <w:r>
          <w:fldChar w:fldCharType="separate"/>
        </w:r>
        <w:r>
          <w:rPr>
            <w:noProof/>
          </w:rPr>
          <w:t>2</w:t>
        </w:r>
        <w:r>
          <w:rPr>
            <w:noProof/>
          </w:rPr>
          <w:fldChar w:fldCharType="end"/>
        </w:r>
      </w:p>
    </w:sdtContent>
  </w:sdt>
  <w:p w14:paraId="71227AB1" w14:textId="77777777" w:rsidR="00CB435D" w:rsidRDefault="00CB435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FCB18" w14:textId="77777777" w:rsidR="007F56A0" w:rsidRDefault="007F56A0" w:rsidP="00CB435D">
      <w:pPr>
        <w:spacing w:after="0" w:line="240" w:lineRule="auto"/>
      </w:pPr>
      <w:r>
        <w:separator/>
      </w:r>
    </w:p>
  </w:footnote>
  <w:footnote w:type="continuationSeparator" w:id="0">
    <w:p w14:paraId="54A62A83" w14:textId="77777777" w:rsidR="007F56A0" w:rsidRDefault="007F56A0" w:rsidP="00CB43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E32E6"/>
    <w:multiLevelType w:val="hybridMultilevel"/>
    <w:tmpl w:val="D65E7D5C"/>
    <w:lvl w:ilvl="0" w:tplc="CBA2A0C2">
      <w:start w:val="1"/>
      <w:numFmt w:val="bullet"/>
      <w:lvlText w:val=""/>
      <w:lvlJc w:val="left"/>
      <w:pPr>
        <w:ind w:left="3240" w:hanging="360"/>
      </w:pPr>
      <w:rPr>
        <w:rFonts w:ascii="Wingdings" w:eastAsiaTheme="minorHAnsi" w:hAnsi="Wingdings"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1BA71901"/>
    <w:multiLevelType w:val="hybridMultilevel"/>
    <w:tmpl w:val="817E550C"/>
    <w:lvl w:ilvl="0" w:tplc="48040E5E">
      <w:start w:val="2"/>
      <w:numFmt w:val="bullet"/>
      <w:lvlText w:val=""/>
      <w:lvlJc w:val="left"/>
      <w:pPr>
        <w:ind w:left="3240" w:hanging="360"/>
      </w:pPr>
      <w:rPr>
        <w:rFonts w:ascii="Wingdings" w:eastAsiaTheme="minorHAnsi" w:hAnsi="Wingdings"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 w15:restartNumberingAfterBreak="0">
    <w:nsid w:val="544A592C"/>
    <w:multiLevelType w:val="hybridMultilevel"/>
    <w:tmpl w:val="EBFCB2A6"/>
    <w:lvl w:ilvl="0" w:tplc="5714315C">
      <w:start w:val="74"/>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10257490">
    <w:abstractNumId w:val="0"/>
  </w:num>
  <w:num w:numId="2" w16cid:durableId="274598672">
    <w:abstractNumId w:val="1"/>
  </w:num>
  <w:num w:numId="3" w16cid:durableId="53278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EwNzc0Nze1MDQzNjJU0lEKTi0uzszPAykwrAUADCkxriwAAAA="/>
  </w:docVars>
  <w:rsids>
    <w:rsidRoot w:val="00180523"/>
    <w:rsid w:val="00085A93"/>
    <w:rsid w:val="000A10E0"/>
    <w:rsid w:val="00180523"/>
    <w:rsid w:val="00450DFA"/>
    <w:rsid w:val="004E3EB8"/>
    <w:rsid w:val="00765F38"/>
    <w:rsid w:val="007E354E"/>
    <w:rsid w:val="007F56A0"/>
    <w:rsid w:val="008B3C0D"/>
    <w:rsid w:val="00920814"/>
    <w:rsid w:val="00C07D8A"/>
    <w:rsid w:val="00C3727D"/>
    <w:rsid w:val="00CB43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2BCAB"/>
  <w15:chartTrackingRefBased/>
  <w15:docId w15:val="{A54DE469-58DF-43E3-B06B-E31EC73AD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523"/>
    <w:rPr>
      <w:rFonts w:asciiTheme="minorHAnsi" w:hAnsiTheme="minorHAnsi" w:cstheme="minorBid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180523"/>
    <w:rPr>
      <w:color w:val="0563C1" w:themeColor="hyperlink"/>
      <w:u w:val="single"/>
    </w:rPr>
  </w:style>
  <w:style w:type="character" w:styleId="zmlenmeyenBahsetme">
    <w:name w:val="Unresolved Mention"/>
    <w:basedOn w:val="VarsaylanParagrafYazTipi"/>
    <w:uiPriority w:val="99"/>
    <w:semiHidden/>
    <w:unhideWhenUsed/>
    <w:rsid w:val="00180523"/>
    <w:rPr>
      <w:color w:val="605E5C"/>
      <w:shd w:val="clear" w:color="auto" w:fill="E1DFDD"/>
    </w:rPr>
  </w:style>
  <w:style w:type="paragraph" w:styleId="SonNotMetni">
    <w:name w:val="endnote text"/>
    <w:basedOn w:val="Normal"/>
    <w:link w:val="SonNotMetniChar"/>
    <w:uiPriority w:val="99"/>
    <w:semiHidden/>
    <w:unhideWhenUsed/>
    <w:rsid w:val="00180523"/>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180523"/>
    <w:rPr>
      <w:rFonts w:asciiTheme="minorHAnsi" w:hAnsiTheme="minorHAnsi" w:cstheme="minorBidi"/>
      <w:sz w:val="20"/>
      <w:szCs w:val="20"/>
    </w:rPr>
  </w:style>
  <w:style w:type="character" w:styleId="SonNotBavurusu">
    <w:name w:val="endnote reference"/>
    <w:basedOn w:val="VarsaylanParagrafYazTipi"/>
    <w:uiPriority w:val="99"/>
    <w:semiHidden/>
    <w:unhideWhenUsed/>
    <w:rsid w:val="00180523"/>
    <w:rPr>
      <w:vertAlign w:val="superscript"/>
    </w:rPr>
  </w:style>
  <w:style w:type="character" w:customStyle="1" w:styleId="fontstyle01">
    <w:name w:val="fontstyle01"/>
    <w:basedOn w:val="VarsaylanParagrafYazTipi"/>
    <w:rsid w:val="00180523"/>
    <w:rPr>
      <w:rFonts w:ascii="CIDFont+F4" w:hAnsi="CIDFont+F4" w:hint="default"/>
      <w:b w:val="0"/>
      <w:bCs w:val="0"/>
      <w:i/>
      <w:iCs/>
      <w:color w:val="000000"/>
      <w:sz w:val="22"/>
      <w:szCs w:val="22"/>
    </w:rPr>
  </w:style>
  <w:style w:type="character" w:customStyle="1" w:styleId="fontstyle21">
    <w:name w:val="fontstyle21"/>
    <w:basedOn w:val="VarsaylanParagrafYazTipi"/>
    <w:rsid w:val="00180523"/>
    <w:rPr>
      <w:rFonts w:ascii="CIDFont+F2" w:hAnsi="CIDFont+F2" w:hint="default"/>
      <w:b w:val="0"/>
      <w:bCs w:val="0"/>
      <w:i w:val="0"/>
      <w:iCs w:val="0"/>
      <w:color w:val="000000"/>
      <w:sz w:val="22"/>
      <w:szCs w:val="22"/>
    </w:rPr>
  </w:style>
  <w:style w:type="paragraph" w:styleId="DipnotMetni">
    <w:name w:val="footnote text"/>
    <w:basedOn w:val="Normal"/>
    <w:link w:val="DipnotMetniChar"/>
    <w:uiPriority w:val="99"/>
    <w:semiHidden/>
    <w:unhideWhenUsed/>
    <w:rsid w:val="00180523"/>
    <w:pPr>
      <w:spacing w:after="0" w:line="240" w:lineRule="auto"/>
    </w:pPr>
    <w:rPr>
      <w:rFonts w:ascii="Times New Roman" w:hAnsi="Times New Roman" w:cs="Times New Roman"/>
      <w:sz w:val="20"/>
      <w:szCs w:val="20"/>
    </w:rPr>
  </w:style>
  <w:style w:type="character" w:customStyle="1" w:styleId="DipnotMetniChar">
    <w:name w:val="Dipnot Metni Char"/>
    <w:basedOn w:val="VarsaylanParagrafYazTipi"/>
    <w:link w:val="DipnotMetni"/>
    <w:uiPriority w:val="99"/>
    <w:semiHidden/>
    <w:rsid w:val="00180523"/>
    <w:rPr>
      <w:sz w:val="20"/>
      <w:szCs w:val="20"/>
    </w:rPr>
  </w:style>
  <w:style w:type="character" w:styleId="DipnotBavurusu">
    <w:name w:val="footnote reference"/>
    <w:basedOn w:val="VarsaylanParagrafYazTipi"/>
    <w:uiPriority w:val="99"/>
    <w:semiHidden/>
    <w:unhideWhenUsed/>
    <w:rsid w:val="00180523"/>
    <w:rPr>
      <w:vertAlign w:val="superscript"/>
    </w:rPr>
  </w:style>
  <w:style w:type="paragraph" w:customStyle="1" w:styleId="msonormal0">
    <w:name w:val="msonormal"/>
    <w:basedOn w:val="Normal"/>
    <w:rsid w:val="00180523"/>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180523"/>
    <w:pPr>
      <w:tabs>
        <w:tab w:val="center" w:pos="4680"/>
        <w:tab w:val="right" w:pos="9360"/>
      </w:tabs>
      <w:spacing w:after="0" w:line="240" w:lineRule="auto"/>
    </w:pPr>
    <w:rPr>
      <w:rFonts w:ascii="Times New Roman" w:hAnsi="Times New Roman" w:cs="Times New Roman"/>
      <w:szCs w:val="18"/>
    </w:rPr>
  </w:style>
  <w:style w:type="character" w:customStyle="1" w:styleId="stBilgiChar">
    <w:name w:val="Üst Bilgi Char"/>
    <w:basedOn w:val="VarsaylanParagrafYazTipi"/>
    <w:link w:val="stBilgi"/>
    <w:uiPriority w:val="99"/>
    <w:rsid w:val="00180523"/>
    <w:rPr>
      <w:szCs w:val="18"/>
    </w:rPr>
  </w:style>
  <w:style w:type="paragraph" w:styleId="AltBilgi">
    <w:name w:val="footer"/>
    <w:basedOn w:val="Normal"/>
    <w:link w:val="AltBilgiChar"/>
    <w:uiPriority w:val="99"/>
    <w:unhideWhenUsed/>
    <w:rsid w:val="00180523"/>
    <w:pPr>
      <w:tabs>
        <w:tab w:val="center" w:pos="4680"/>
        <w:tab w:val="right" w:pos="9360"/>
      </w:tabs>
      <w:spacing w:after="0" w:line="240" w:lineRule="auto"/>
    </w:pPr>
    <w:rPr>
      <w:rFonts w:ascii="Times New Roman" w:hAnsi="Times New Roman" w:cs="Times New Roman"/>
      <w:szCs w:val="18"/>
    </w:rPr>
  </w:style>
  <w:style w:type="character" w:customStyle="1" w:styleId="AltBilgiChar">
    <w:name w:val="Alt Bilgi Char"/>
    <w:basedOn w:val="VarsaylanParagrafYazTipi"/>
    <w:link w:val="AltBilgi"/>
    <w:uiPriority w:val="99"/>
    <w:rsid w:val="00180523"/>
    <w:rPr>
      <w:szCs w:val="18"/>
    </w:rPr>
  </w:style>
  <w:style w:type="paragraph" w:styleId="ListeParagraf">
    <w:name w:val="List Paragraph"/>
    <w:basedOn w:val="Normal"/>
    <w:uiPriority w:val="34"/>
    <w:qFormat/>
    <w:rsid w:val="00180523"/>
    <w:pPr>
      <w:spacing w:line="256" w:lineRule="auto"/>
      <w:ind w:left="720"/>
      <w:contextualSpacing/>
    </w:pPr>
    <w:rPr>
      <w:rFonts w:ascii="Times New Roman" w:hAnsi="Times New Roman" w:cs="Times New Roman"/>
      <w:szCs w:val="18"/>
    </w:rPr>
  </w:style>
  <w:style w:type="character" w:styleId="YerTutucuMetni">
    <w:name w:val="Placeholder Text"/>
    <w:basedOn w:val="VarsaylanParagrafYazTipi"/>
    <w:uiPriority w:val="99"/>
    <w:semiHidden/>
    <w:rsid w:val="00180523"/>
    <w:rPr>
      <w:color w:val="808080"/>
    </w:rPr>
  </w:style>
  <w:style w:type="paragraph" w:customStyle="1" w:styleId="EndNoteBibliographyTitle">
    <w:name w:val="EndNote Bibliography Title"/>
    <w:basedOn w:val="Normal"/>
    <w:link w:val="EndNoteBibliographyTitleChar"/>
    <w:rsid w:val="00180523"/>
    <w:pPr>
      <w:spacing w:after="0"/>
      <w:jc w:val="center"/>
    </w:pPr>
    <w:rPr>
      <w:rFonts w:ascii="Calibri" w:hAnsi="Calibri" w:cs="Calibri"/>
      <w:noProof/>
    </w:rPr>
  </w:style>
  <w:style w:type="character" w:customStyle="1" w:styleId="EndNoteBibliographyTitleChar">
    <w:name w:val="EndNote Bibliography Title Char"/>
    <w:basedOn w:val="VarsaylanParagrafYazTipi"/>
    <w:link w:val="EndNoteBibliographyTitle"/>
    <w:rsid w:val="00180523"/>
    <w:rPr>
      <w:rFonts w:ascii="Calibri" w:hAnsi="Calibri" w:cs="Calibri"/>
      <w:noProof/>
    </w:rPr>
  </w:style>
  <w:style w:type="paragraph" w:customStyle="1" w:styleId="EndNoteBibliography">
    <w:name w:val="EndNote Bibliography"/>
    <w:basedOn w:val="Normal"/>
    <w:link w:val="EndNoteBibliographyChar"/>
    <w:rsid w:val="00180523"/>
    <w:pPr>
      <w:spacing w:line="240" w:lineRule="auto"/>
    </w:pPr>
    <w:rPr>
      <w:rFonts w:ascii="Calibri" w:hAnsi="Calibri" w:cs="Calibri"/>
      <w:noProof/>
    </w:rPr>
  </w:style>
  <w:style w:type="character" w:customStyle="1" w:styleId="EndNoteBibliographyChar">
    <w:name w:val="EndNote Bibliography Char"/>
    <w:basedOn w:val="VarsaylanParagrafYazTipi"/>
    <w:link w:val="EndNoteBibliography"/>
    <w:rsid w:val="00180523"/>
    <w:rPr>
      <w:rFonts w:ascii="Calibri" w:hAnsi="Calibri" w:cs="Calibri"/>
      <w:noProof/>
    </w:rPr>
  </w:style>
  <w:style w:type="character" w:customStyle="1" w:styleId="BalonMetniChar">
    <w:name w:val="Balon Metni Char"/>
    <w:basedOn w:val="VarsaylanParagrafYazTipi"/>
    <w:link w:val="BalonMetni"/>
    <w:uiPriority w:val="99"/>
    <w:semiHidden/>
    <w:rsid w:val="00180523"/>
    <w:rPr>
      <w:rFonts w:ascii="Segoe UI" w:hAnsi="Segoe UI" w:cs="Segoe UI"/>
      <w:sz w:val="18"/>
      <w:szCs w:val="18"/>
      <w:lang w:val="tr-TR"/>
    </w:rPr>
  </w:style>
  <w:style w:type="paragraph" w:styleId="BalonMetni">
    <w:name w:val="Balloon Text"/>
    <w:basedOn w:val="Normal"/>
    <w:link w:val="BalonMetniChar"/>
    <w:uiPriority w:val="99"/>
    <w:semiHidden/>
    <w:unhideWhenUsed/>
    <w:rsid w:val="00180523"/>
    <w:pPr>
      <w:spacing w:after="0" w:line="240" w:lineRule="auto"/>
    </w:pPr>
    <w:rPr>
      <w:rFonts w:ascii="Segoe UI" w:hAnsi="Segoe UI" w:cs="Segoe UI"/>
      <w:sz w:val="18"/>
      <w:szCs w:val="18"/>
      <w:lang w:val="tr-TR"/>
    </w:rPr>
  </w:style>
  <w:style w:type="character" w:customStyle="1" w:styleId="BalloonTextChar1">
    <w:name w:val="Balloon Text Char1"/>
    <w:basedOn w:val="VarsaylanParagrafYazTipi"/>
    <w:uiPriority w:val="99"/>
    <w:semiHidden/>
    <w:rsid w:val="00180523"/>
    <w:rPr>
      <w:rFonts w:ascii="Segoe UI" w:hAnsi="Segoe UI" w:cs="Segoe UI"/>
      <w:sz w:val="18"/>
      <w:szCs w:val="18"/>
    </w:rPr>
  </w:style>
  <w:style w:type="paragraph" w:customStyle="1" w:styleId="TableParagraph">
    <w:name w:val="Table Paragraph"/>
    <w:basedOn w:val="Normal"/>
    <w:uiPriority w:val="1"/>
    <w:qFormat/>
    <w:rsid w:val="00180523"/>
    <w:pPr>
      <w:widowControl w:val="0"/>
      <w:autoSpaceDE w:val="0"/>
      <w:autoSpaceDN w:val="0"/>
      <w:spacing w:after="0" w:line="240" w:lineRule="auto"/>
      <w:jc w:val="center"/>
    </w:pPr>
    <w:rPr>
      <w:rFonts w:ascii="Times New Roman" w:eastAsia="Times New Roman" w:hAnsi="Times New Roman" w:cs="Times New Roman"/>
    </w:rPr>
  </w:style>
  <w:style w:type="table" w:styleId="TabloKlavuzu">
    <w:name w:val="Table Grid"/>
    <w:basedOn w:val="NormalTablo"/>
    <w:uiPriority w:val="39"/>
    <w:rsid w:val="00180523"/>
    <w:pPr>
      <w:spacing w:after="0" w:line="240" w:lineRule="auto"/>
    </w:pPr>
    <w:rPr>
      <w:rFonts w:asciiTheme="minorHAnsi" w:hAnsiTheme="minorHAnsi" w:cstheme="minorBid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180523"/>
    <w:pPr>
      <w:spacing w:after="0" w:line="240" w:lineRule="auto"/>
    </w:pPr>
    <w:rPr>
      <w:rFonts w:asciiTheme="minorHAnsi" w:hAnsiTheme="minorHAnsi" w:cstheme="minorBidi"/>
    </w:rPr>
  </w:style>
  <w:style w:type="character" w:styleId="AklamaBavurusu">
    <w:name w:val="annotation reference"/>
    <w:basedOn w:val="VarsaylanParagrafYazTipi"/>
    <w:uiPriority w:val="99"/>
    <w:semiHidden/>
    <w:unhideWhenUsed/>
    <w:rsid w:val="00180523"/>
    <w:rPr>
      <w:sz w:val="16"/>
      <w:szCs w:val="16"/>
    </w:rPr>
  </w:style>
  <w:style w:type="paragraph" w:styleId="AklamaMetni">
    <w:name w:val="annotation text"/>
    <w:basedOn w:val="Normal"/>
    <w:link w:val="AklamaMetniChar"/>
    <w:uiPriority w:val="99"/>
    <w:semiHidden/>
    <w:unhideWhenUsed/>
    <w:rsid w:val="00180523"/>
    <w:pPr>
      <w:spacing w:line="240" w:lineRule="auto"/>
    </w:pPr>
    <w:rPr>
      <w:sz w:val="20"/>
      <w:szCs w:val="20"/>
    </w:rPr>
  </w:style>
  <w:style w:type="character" w:customStyle="1" w:styleId="AklamaMetniChar">
    <w:name w:val="Açıklama Metni Char"/>
    <w:basedOn w:val="VarsaylanParagrafYazTipi"/>
    <w:link w:val="AklamaMetni"/>
    <w:uiPriority w:val="99"/>
    <w:semiHidden/>
    <w:rsid w:val="00180523"/>
    <w:rPr>
      <w:rFonts w:asciiTheme="minorHAnsi" w:hAnsiTheme="minorHAnsi" w:cstheme="minorBidi"/>
      <w:sz w:val="20"/>
      <w:szCs w:val="20"/>
    </w:rPr>
  </w:style>
  <w:style w:type="paragraph" w:styleId="AklamaKonusu">
    <w:name w:val="annotation subject"/>
    <w:basedOn w:val="AklamaMetni"/>
    <w:next w:val="AklamaMetni"/>
    <w:link w:val="AklamaKonusuChar"/>
    <w:uiPriority w:val="99"/>
    <w:semiHidden/>
    <w:unhideWhenUsed/>
    <w:rsid w:val="00180523"/>
    <w:rPr>
      <w:b/>
      <w:bCs/>
    </w:rPr>
  </w:style>
  <w:style w:type="character" w:customStyle="1" w:styleId="AklamaKonusuChar">
    <w:name w:val="Açıklama Konusu Char"/>
    <w:basedOn w:val="AklamaMetniChar"/>
    <w:link w:val="AklamaKonusu"/>
    <w:uiPriority w:val="99"/>
    <w:semiHidden/>
    <w:rsid w:val="00180523"/>
    <w:rPr>
      <w:rFonts w:asciiTheme="minorHAnsi" w:hAnsiTheme="minorHAnsi" w:cstheme="minorBidi"/>
      <w:b/>
      <w:bCs/>
      <w:sz w:val="20"/>
      <w:szCs w:val="20"/>
    </w:rPr>
  </w:style>
  <w:style w:type="paragraph" w:styleId="Dzeltme">
    <w:name w:val="Revision"/>
    <w:hidden/>
    <w:uiPriority w:val="99"/>
    <w:semiHidden/>
    <w:rsid w:val="00180523"/>
    <w:pPr>
      <w:spacing w:after="0" w:line="240" w:lineRule="auto"/>
    </w:pPr>
    <w:rPr>
      <w:rFonts w:asciiTheme="minorHAnsi" w:hAnsiTheme="minorHAnsi" w:cstheme="minorBidi"/>
    </w:rPr>
  </w:style>
  <w:style w:type="character" w:customStyle="1" w:styleId="UnresolvedMention1">
    <w:name w:val="Unresolved Mention1"/>
    <w:basedOn w:val="VarsaylanParagrafYazTipi"/>
    <w:uiPriority w:val="99"/>
    <w:semiHidden/>
    <w:unhideWhenUsed/>
    <w:rsid w:val="00180523"/>
    <w:rPr>
      <w:color w:val="605E5C"/>
      <w:shd w:val="clear" w:color="auto" w:fill="E1DFDD"/>
    </w:rPr>
  </w:style>
  <w:style w:type="character" w:styleId="Vurgu">
    <w:name w:val="Emphasis"/>
    <w:basedOn w:val="VarsaylanParagrafYazTipi"/>
    <w:uiPriority w:val="20"/>
    <w:qFormat/>
    <w:rsid w:val="00180523"/>
    <w:rPr>
      <w:i/>
      <w:iCs/>
    </w:rPr>
  </w:style>
  <w:style w:type="character" w:styleId="SatrNumaras">
    <w:name w:val="line number"/>
    <w:basedOn w:val="VarsaylanParagrafYazTipi"/>
    <w:uiPriority w:val="99"/>
    <w:semiHidden/>
    <w:unhideWhenUsed/>
    <w:rsid w:val="00180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4718</Words>
  <Characters>26898</Characters>
  <Application>Microsoft Office Word</Application>
  <DocSecurity>0</DocSecurity>
  <Lines>224</Lines>
  <Paragraphs>63</Paragraphs>
  <ScaleCrop>false</ScaleCrop>
  <Company/>
  <LinksUpToDate>false</LinksUpToDate>
  <CharactersWithSpaces>31553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Taner Akan</dc:creator>
  <cp:keywords/>
  <dc:description/>
  <cp:lastModifiedBy>Ali Haydar Işık</cp:lastModifiedBy>
  <cp:revision>7</cp:revision>
  <dcterms:created xsi:type="dcterms:W3CDTF">2022-03-09T11:38:00Z</dcterms:created>
  <dcterms:modified xsi:type="dcterms:W3CDTF">2024-02-25T06:34:00Z</dcterms:modified>
</cp:coreProperties>
</file>