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6925" w:rsidRPr="00496925" w:rsidRDefault="00496925" w:rsidP="00496925">
      <w:pPr>
        <w:spacing w:after="0" w:line="240" w:lineRule="auto"/>
        <w:jc w:val="center"/>
        <w:rPr>
          <w:rFonts w:cstheme="minorHAnsi"/>
          <w:b/>
          <w:lang w:val="en-GB"/>
        </w:rPr>
      </w:pPr>
      <w:r w:rsidRPr="00496925">
        <w:rPr>
          <w:rFonts w:cstheme="minorHAnsi"/>
          <w:b/>
          <w:lang w:val="en-US"/>
        </w:rPr>
        <w:t xml:space="preserve">Supplemental Material 1 - </w:t>
      </w:r>
      <w:r w:rsidRPr="00496925">
        <w:rPr>
          <w:rFonts w:cstheme="minorHAnsi"/>
          <w:b/>
          <w:lang w:val="en-GB"/>
        </w:rPr>
        <w:t>Typologies of literature review</w:t>
      </w:r>
    </w:p>
    <w:p w:rsidR="00C37349" w:rsidRPr="00496925" w:rsidRDefault="00C37349" w:rsidP="00496925">
      <w:pPr>
        <w:jc w:val="center"/>
        <w:rPr>
          <w:rFonts w:cstheme="minorHAnsi"/>
          <w:b/>
          <w:lang w:val="en-GB"/>
        </w:rPr>
      </w:pPr>
    </w:p>
    <w:tbl>
      <w:tblPr>
        <w:tblStyle w:val="Grigliatabel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6399"/>
        <w:gridCol w:w="1821"/>
      </w:tblGrid>
      <w:tr w:rsidR="00496925" w:rsidRPr="002167C5" w:rsidTr="00496925">
        <w:trPr>
          <w:jc w:val="center"/>
        </w:trPr>
        <w:tc>
          <w:tcPr>
            <w:tcW w:w="1418" w:type="dxa"/>
            <w:tcBorders>
              <w:top w:val="single" w:sz="4" w:space="0" w:color="auto"/>
              <w:bottom w:val="single" w:sz="4" w:space="0" w:color="auto"/>
            </w:tcBorders>
            <w:tcMar>
              <w:top w:w="28" w:type="dxa"/>
              <w:left w:w="28" w:type="dxa"/>
              <w:bottom w:w="28" w:type="dxa"/>
              <w:right w:w="28" w:type="dxa"/>
            </w:tcMar>
            <w:vAlign w:val="center"/>
          </w:tcPr>
          <w:p w:rsidR="00496925" w:rsidRPr="002167C5" w:rsidRDefault="00496925" w:rsidP="000E2984">
            <w:pPr>
              <w:jc w:val="center"/>
              <w:rPr>
                <w:i/>
                <w:sz w:val="20"/>
                <w:szCs w:val="20"/>
                <w:lang w:val="en-GB"/>
              </w:rPr>
            </w:pPr>
            <w:r w:rsidRPr="002167C5">
              <w:rPr>
                <w:i/>
                <w:sz w:val="20"/>
                <w:szCs w:val="20"/>
                <w:lang w:val="en-GB"/>
              </w:rPr>
              <w:t>Typology of literature review</w:t>
            </w:r>
          </w:p>
        </w:tc>
        <w:tc>
          <w:tcPr>
            <w:tcW w:w="6399" w:type="dxa"/>
            <w:tcBorders>
              <w:top w:val="single" w:sz="4" w:space="0" w:color="auto"/>
              <w:bottom w:val="single" w:sz="4" w:space="0" w:color="auto"/>
            </w:tcBorders>
            <w:vAlign w:val="center"/>
          </w:tcPr>
          <w:p w:rsidR="00496925" w:rsidRPr="002167C5" w:rsidRDefault="00496925" w:rsidP="000E2984">
            <w:pPr>
              <w:jc w:val="center"/>
              <w:rPr>
                <w:i/>
                <w:sz w:val="20"/>
                <w:szCs w:val="20"/>
                <w:lang w:val="en-GB"/>
              </w:rPr>
            </w:pPr>
            <w:r w:rsidRPr="002167C5">
              <w:rPr>
                <w:i/>
                <w:sz w:val="20"/>
                <w:szCs w:val="20"/>
                <w:lang w:val="en-GB"/>
              </w:rPr>
              <w:t>Definition</w:t>
            </w:r>
          </w:p>
        </w:tc>
        <w:tc>
          <w:tcPr>
            <w:tcW w:w="1821" w:type="dxa"/>
            <w:tcBorders>
              <w:top w:val="single" w:sz="4" w:space="0" w:color="auto"/>
              <w:bottom w:val="single" w:sz="4" w:space="0" w:color="auto"/>
            </w:tcBorders>
            <w:vAlign w:val="center"/>
          </w:tcPr>
          <w:p w:rsidR="00496925" w:rsidRPr="002167C5" w:rsidRDefault="00496925" w:rsidP="000E2984">
            <w:pPr>
              <w:jc w:val="center"/>
              <w:rPr>
                <w:i/>
                <w:sz w:val="20"/>
                <w:szCs w:val="20"/>
                <w:lang w:val="en-GB"/>
              </w:rPr>
            </w:pPr>
            <w:r w:rsidRPr="002167C5">
              <w:rPr>
                <w:i/>
                <w:sz w:val="20"/>
                <w:szCs w:val="20"/>
                <w:lang w:val="en-GB"/>
              </w:rPr>
              <w:t>Source</w:t>
            </w:r>
          </w:p>
        </w:tc>
      </w:tr>
      <w:tr w:rsidR="00496925" w:rsidRPr="002167C5" w:rsidTr="00496925">
        <w:trPr>
          <w:jc w:val="center"/>
        </w:trPr>
        <w:tc>
          <w:tcPr>
            <w:tcW w:w="1418" w:type="dxa"/>
            <w:tcBorders>
              <w:top w:val="single" w:sz="4" w:space="0" w:color="auto"/>
              <w:bottom w:val="single" w:sz="4" w:space="0" w:color="auto"/>
            </w:tcBorders>
          </w:tcPr>
          <w:p w:rsidR="00496925" w:rsidRPr="002167C5" w:rsidRDefault="00496925" w:rsidP="000E2984">
            <w:pPr>
              <w:jc w:val="both"/>
              <w:rPr>
                <w:sz w:val="20"/>
                <w:szCs w:val="20"/>
                <w:lang w:val="en-GB"/>
              </w:rPr>
            </w:pPr>
            <w:r w:rsidRPr="002167C5">
              <w:rPr>
                <w:sz w:val="20"/>
                <w:szCs w:val="20"/>
                <w:lang w:val="en-GB"/>
              </w:rPr>
              <w:t>Systematic review</w:t>
            </w:r>
          </w:p>
        </w:tc>
        <w:tc>
          <w:tcPr>
            <w:tcW w:w="6399" w:type="dxa"/>
            <w:tcBorders>
              <w:top w:val="single" w:sz="4" w:space="0" w:color="auto"/>
              <w:bottom w:val="single" w:sz="4" w:space="0" w:color="auto"/>
            </w:tcBorders>
          </w:tcPr>
          <w:p w:rsidR="00496925" w:rsidRPr="002167C5" w:rsidRDefault="00496925" w:rsidP="000E2984">
            <w:pPr>
              <w:jc w:val="both"/>
              <w:rPr>
                <w:sz w:val="20"/>
                <w:szCs w:val="20"/>
                <w:lang w:val="en-GB"/>
              </w:rPr>
            </w:pPr>
            <w:r w:rsidRPr="002167C5">
              <w:rPr>
                <w:sz w:val="20"/>
                <w:szCs w:val="20"/>
                <w:lang w:val="en-GB"/>
              </w:rPr>
              <w:t>It uses explicit, systematic methods that are selected with a view to minimizing bias, thus providing more reliable findings from which conclusions can be drawn and decisions made.</w:t>
            </w:r>
          </w:p>
        </w:tc>
        <w:tc>
          <w:tcPr>
            <w:tcW w:w="1821" w:type="dxa"/>
            <w:tcBorders>
              <w:top w:val="single" w:sz="4" w:space="0" w:color="auto"/>
              <w:bottom w:val="single" w:sz="4" w:space="0" w:color="auto"/>
            </w:tcBorders>
          </w:tcPr>
          <w:p w:rsidR="00496925" w:rsidRPr="002167C5" w:rsidRDefault="00496925" w:rsidP="000E2984">
            <w:pPr>
              <w:rPr>
                <w:sz w:val="20"/>
                <w:szCs w:val="20"/>
                <w:lang w:val="en-GB"/>
              </w:rPr>
            </w:pPr>
            <w:r w:rsidRPr="002167C5">
              <w:rPr>
                <w:sz w:val="20"/>
                <w:szCs w:val="20"/>
                <w:lang w:val="en-GB"/>
              </w:rPr>
              <w:t>Higgins and Green, 2011</w:t>
            </w:r>
          </w:p>
        </w:tc>
      </w:tr>
      <w:tr w:rsidR="00496925" w:rsidRPr="002167C5" w:rsidTr="00496925">
        <w:trPr>
          <w:jc w:val="center"/>
        </w:trPr>
        <w:tc>
          <w:tcPr>
            <w:tcW w:w="1418" w:type="dxa"/>
            <w:tcBorders>
              <w:top w:val="single" w:sz="4" w:space="0" w:color="auto"/>
              <w:bottom w:val="single" w:sz="4" w:space="0" w:color="auto"/>
            </w:tcBorders>
          </w:tcPr>
          <w:p w:rsidR="00496925" w:rsidRPr="002167C5" w:rsidRDefault="00496925" w:rsidP="000E2984">
            <w:pPr>
              <w:jc w:val="both"/>
              <w:rPr>
                <w:sz w:val="20"/>
                <w:szCs w:val="20"/>
                <w:lang w:val="en-GB"/>
              </w:rPr>
            </w:pPr>
            <w:r w:rsidRPr="002167C5">
              <w:rPr>
                <w:sz w:val="20"/>
                <w:szCs w:val="20"/>
                <w:lang w:val="en-GB"/>
              </w:rPr>
              <w:t>Rapid review</w:t>
            </w:r>
          </w:p>
        </w:tc>
        <w:tc>
          <w:tcPr>
            <w:tcW w:w="6399" w:type="dxa"/>
            <w:tcBorders>
              <w:top w:val="single" w:sz="4" w:space="0" w:color="auto"/>
              <w:bottom w:val="single" w:sz="4" w:space="0" w:color="auto"/>
            </w:tcBorders>
          </w:tcPr>
          <w:p w:rsidR="00496925" w:rsidRPr="002167C5" w:rsidRDefault="00496925" w:rsidP="000E2984">
            <w:pPr>
              <w:jc w:val="both"/>
              <w:rPr>
                <w:sz w:val="20"/>
                <w:szCs w:val="20"/>
                <w:lang w:val="en-GB"/>
              </w:rPr>
            </w:pPr>
            <w:r w:rsidRPr="002167C5">
              <w:rPr>
                <w:sz w:val="20"/>
                <w:szCs w:val="20"/>
                <w:lang w:val="en-GB"/>
              </w:rPr>
              <w:t xml:space="preserve">"Rapid reviews are a form of evidence synthesis that may provide more timely information for decision making compared with standard systematic reviews." The methods of conducting rapid reviews varies widely, and are typically done in </w:t>
            </w:r>
            <w:r>
              <w:rPr>
                <w:sz w:val="20"/>
                <w:szCs w:val="20"/>
                <w:lang w:val="en-GB"/>
              </w:rPr>
              <w:t>few</w:t>
            </w:r>
            <w:r w:rsidRPr="002167C5">
              <w:rPr>
                <w:sz w:val="20"/>
                <w:szCs w:val="20"/>
                <w:lang w:val="en-GB"/>
              </w:rPr>
              <w:t xml:space="preserve"> weeks.</w:t>
            </w:r>
          </w:p>
        </w:tc>
        <w:tc>
          <w:tcPr>
            <w:tcW w:w="1821" w:type="dxa"/>
            <w:tcBorders>
              <w:top w:val="single" w:sz="4" w:space="0" w:color="auto"/>
              <w:bottom w:val="single" w:sz="4" w:space="0" w:color="auto"/>
            </w:tcBorders>
          </w:tcPr>
          <w:p w:rsidR="00496925" w:rsidRPr="002167C5" w:rsidRDefault="00496925" w:rsidP="000E2984">
            <w:pPr>
              <w:rPr>
                <w:sz w:val="20"/>
                <w:szCs w:val="20"/>
                <w:lang w:val="en-GB"/>
              </w:rPr>
            </w:pPr>
            <w:r w:rsidRPr="002167C5">
              <w:rPr>
                <w:sz w:val="20"/>
                <w:szCs w:val="20"/>
                <w:lang w:val="en-GB"/>
              </w:rPr>
              <w:t>Hartling et al. 2015</w:t>
            </w:r>
          </w:p>
        </w:tc>
      </w:tr>
      <w:tr w:rsidR="00496925" w:rsidRPr="002167C5" w:rsidTr="00496925">
        <w:trPr>
          <w:jc w:val="center"/>
        </w:trPr>
        <w:tc>
          <w:tcPr>
            <w:tcW w:w="1418" w:type="dxa"/>
            <w:tcBorders>
              <w:top w:val="single" w:sz="4" w:space="0" w:color="auto"/>
              <w:bottom w:val="single" w:sz="4" w:space="0" w:color="auto"/>
            </w:tcBorders>
          </w:tcPr>
          <w:p w:rsidR="00496925" w:rsidRPr="002167C5" w:rsidRDefault="00496925" w:rsidP="000E2984">
            <w:pPr>
              <w:jc w:val="both"/>
              <w:rPr>
                <w:sz w:val="20"/>
                <w:szCs w:val="20"/>
                <w:lang w:val="en-GB"/>
              </w:rPr>
            </w:pPr>
            <w:r w:rsidRPr="002167C5">
              <w:rPr>
                <w:sz w:val="20"/>
                <w:szCs w:val="20"/>
                <w:lang w:val="en-GB"/>
              </w:rPr>
              <w:t>Critical review</w:t>
            </w:r>
          </w:p>
        </w:tc>
        <w:tc>
          <w:tcPr>
            <w:tcW w:w="6399" w:type="dxa"/>
            <w:tcBorders>
              <w:top w:val="single" w:sz="4" w:space="0" w:color="auto"/>
              <w:bottom w:val="single" w:sz="4" w:space="0" w:color="auto"/>
            </w:tcBorders>
          </w:tcPr>
          <w:p w:rsidR="00496925" w:rsidRPr="002167C5" w:rsidRDefault="00496925" w:rsidP="000E2984">
            <w:pPr>
              <w:jc w:val="both"/>
              <w:rPr>
                <w:sz w:val="20"/>
                <w:szCs w:val="20"/>
                <w:lang w:val="en-GB"/>
              </w:rPr>
            </w:pPr>
            <w:r w:rsidRPr="002167C5">
              <w:rPr>
                <w:sz w:val="20"/>
                <w:szCs w:val="20"/>
                <w:lang w:val="en-GB"/>
              </w:rPr>
              <w:t>A critical review is usually aimed at analytically understanding the literature to the point that it is possible to extrapolate hypotheses on the topic of review. Going beyond the level of detailed description of the existing literature, it allows the identification of the most significant contribution to the field. This review type is usually narrative or conceptual.</w:t>
            </w:r>
          </w:p>
        </w:tc>
        <w:tc>
          <w:tcPr>
            <w:tcW w:w="1821" w:type="dxa"/>
            <w:tcBorders>
              <w:top w:val="single" w:sz="4" w:space="0" w:color="auto"/>
              <w:bottom w:val="single" w:sz="4" w:space="0" w:color="auto"/>
            </w:tcBorders>
          </w:tcPr>
          <w:p w:rsidR="00496925" w:rsidRPr="002167C5" w:rsidRDefault="00496925" w:rsidP="000E2984">
            <w:pPr>
              <w:rPr>
                <w:sz w:val="20"/>
                <w:szCs w:val="20"/>
                <w:lang w:val="en-GB"/>
              </w:rPr>
            </w:pPr>
            <w:r w:rsidRPr="002167C5">
              <w:rPr>
                <w:sz w:val="20"/>
                <w:szCs w:val="20"/>
                <w:lang w:val="en-GB"/>
              </w:rPr>
              <w:t>Grant and Booth, 2009</w:t>
            </w:r>
          </w:p>
        </w:tc>
      </w:tr>
      <w:tr w:rsidR="00496925" w:rsidRPr="002167C5" w:rsidTr="00496925">
        <w:trPr>
          <w:jc w:val="center"/>
        </w:trPr>
        <w:tc>
          <w:tcPr>
            <w:tcW w:w="1418" w:type="dxa"/>
            <w:tcBorders>
              <w:top w:val="single" w:sz="4" w:space="0" w:color="auto"/>
              <w:bottom w:val="single" w:sz="4" w:space="0" w:color="auto"/>
            </w:tcBorders>
          </w:tcPr>
          <w:p w:rsidR="00496925" w:rsidRPr="002167C5" w:rsidRDefault="00496925" w:rsidP="000E2984">
            <w:pPr>
              <w:jc w:val="both"/>
              <w:rPr>
                <w:sz w:val="20"/>
                <w:szCs w:val="20"/>
                <w:lang w:val="en-GB"/>
              </w:rPr>
            </w:pPr>
            <w:r w:rsidRPr="002167C5">
              <w:rPr>
                <w:sz w:val="20"/>
                <w:szCs w:val="20"/>
                <w:lang w:val="en-GB"/>
              </w:rPr>
              <w:t>Scoping review</w:t>
            </w:r>
          </w:p>
        </w:tc>
        <w:tc>
          <w:tcPr>
            <w:tcW w:w="6399" w:type="dxa"/>
            <w:tcBorders>
              <w:top w:val="single" w:sz="4" w:space="0" w:color="auto"/>
              <w:bottom w:val="single" w:sz="4" w:space="0" w:color="auto"/>
            </w:tcBorders>
          </w:tcPr>
          <w:p w:rsidR="00496925" w:rsidRPr="002167C5" w:rsidRDefault="00496925" w:rsidP="000E2984">
            <w:pPr>
              <w:jc w:val="both"/>
              <w:rPr>
                <w:sz w:val="20"/>
                <w:szCs w:val="20"/>
                <w:lang w:val="en-US"/>
              </w:rPr>
            </w:pPr>
            <w:r w:rsidRPr="002167C5">
              <w:rPr>
                <w:sz w:val="20"/>
                <w:szCs w:val="20"/>
                <w:lang w:val="en-US"/>
              </w:rPr>
              <w:t>Scoping reviews are useful to examine emerging evidence when it is still unclear what other, more specific, questions can be posed and valuably addressed by a more precise systematic review. The aim of scoping reviews is identifying the types of available evidence in a given field, clarifying key concepts and definitions in the literature, examining how research is conducted on a certain topic or field, identifying key characteristics or factors related to a concept, and analyzing knowledge gaps.</w:t>
            </w:r>
          </w:p>
        </w:tc>
        <w:tc>
          <w:tcPr>
            <w:tcW w:w="1821" w:type="dxa"/>
            <w:tcBorders>
              <w:top w:val="single" w:sz="4" w:space="0" w:color="auto"/>
              <w:bottom w:val="single" w:sz="4" w:space="0" w:color="auto"/>
            </w:tcBorders>
          </w:tcPr>
          <w:p w:rsidR="00496925" w:rsidRPr="002167C5" w:rsidRDefault="00496925" w:rsidP="000E2984">
            <w:pPr>
              <w:rPr>
                <w:sz w:val="20"/>
                <w:szCs w:val="20"/>
                <w:lang w:val="en-US"/>
              </w:rPr>
            </w:pPr>
            <w:r w:rsidRPr="002167C5">
              <w:rPr>
                <w:sz w:val="20"/>
                <w:szCs w:val="20"/>
                <w:lang w:val="en-GB"/>
              </w:rPr>
              <w:t>Munn et al., 2018</w:t>
            </w:r>
          </w:p>
        </w:tc>
      </w:tr>
      <w:tr w:rsidR="00496925" w:rsidRPr="002167C5" w:rsidTr="00496925">
        <w:trPr>
          <w:jc w:val="center"/>
        </w:trPr>
        <w:tc>
          <w:tcPr>
            <w:tcW w:w="1418" w:type="dxa"/>
            <w:tcBorders>
              <w:top w:val="single" w:sz="4" w:space="0" w:color="auto"/>
              <w:bottom w:val="single" w:sz="4" w:space="0" w:color="auto"/>
            </w:tcBorders>
          </w:tcPr>
          <w:p w:rsidR="00496925" w:rsidRPr="002167C5" w:rsidRDefault="00496925" w:rsidP="000E2984">
            <w:pPr>
              <w:rPr>
                <w:sz w:val="20"/>
                <w:szCs w:val="20"/>
                <w:lang w:val="en-GB"/>
              </w:rPr>
            </w:pPr>
            <w:r w:rsidRPr="002167C5">
              <w:rPr>
                <w:sz w:val="20"/>
                <w:szCs w:val="20"/>
                <w:lang w:val="en-GB"/>
              </w:rPr>
              <w:t>Mapping review</w:t>
            </w:r>
          </w:p>
        </w:tc>
        <w:tc>
          <w:tcPr>
            <w:tcW w:w="6399" w:type="dxa"/>
            <w:tcBorders>
              <w:top w:val="single" w:sz="4" w:space="0" w:color="auto"/>
              <w:bottom w:val="single" w:sz="4" w:space="0" w:color="auto"/>
            </w:tcBorders>
          </w:tcPr>
          <w:p w:rsidR="00496925" w:rsidRPr="002167C5" w:rsidRDefault="00496925" w:rsidP="000E2984">
            <w:pPr>
              <w:jc w:val="both"/>
              <w:rPr>
                <w:sz w:val="20"/>
                <w:szCs w:val="20"/>
                <w:lang w:val="en-GB"/>
              </w:rPr>
            </w:pPr>
            <w:r w:rsidRPr="002167C5">
              <w:rPr>
                <w:sz w:val="20"/>
                <w:szCs w:val="20"/>
                <w:lang w:val="en-GB"/>
              </w:rPr>
              <w:t>Mapping reviews focus on a visual synthesis of the data and are question based rather than topic based like the scoping review. They are best designed for when there is an abundance and a diversity of research and to identify gaps in a topic area.</w:t>
            </w:r>
          </w:p>
        </w:tc>
        <w:tc>
          <w:tcPr>
            <w:tcW w:w="1821" w:type="dxa"/>
            <w:tcBorders>
              <w:top w:val="single" w:sz="4" w:space="0" w:color="auto"/>
              <w:bottom w:val="single" w:sz="4" w:space="0" w:color="auto"/>
            </w:tcBorders>
          </w:tcPr>
          <w:p w:rsidR="00496925" w:rsidRPr="002167C5" w:rsidRDefault="00496925" w:rsidP="000E2984">
            <w:pPr>
              <w:rPr>
                <w:sz w:val="20"/>
                <w:szCs w:val="20"/>
                <w:lang w:val="en-GB"/>
              </w:rPr>
            </w:pPr>
            <w:r w:rsidRPr="002167C5">
              <w:rPr>
                <w:sz w:val="20"/>
                <w:szCs w:val="20"/>
                <w:lang w:val="en-GB"/>
              </w:rPr>
              <w:t xml:space="preserve">Booth et al., 2016 </w:t>
            </w:r>
          </w:p>
        </w:tc>
      </w:tr>
      <w:tr w:rsidR="00496925" w:rsidRPr="002167C5" w:rsidTr="00496925">
        <w:trPr>
          <w:jc w:val="center"/>
        </w:trPr>
        <w:tc>
          <w:tcPr>
            <w:tcW w:w="1418" w:type="dxa"/>
            <w:tcBorders>
              <w:top w:val="single" w:sz="4" w:space="0" w:color="auto"/>
              <w:bottom w:val="single" w:sz="4" w:space="0" w:color="auto"/>
            </w:tcBorders>
          </w:tcPr>
          <w:p w:rsidR="00496925" w:rsidRPr="002167C5" w:rsidRDefault="00496925" w:rsidP="000E2984">
            <w:pPr>
              <w:jc w:val="both"/>
              <w:rPr>
                <w:sz w:val="20"/>
                <w:szCs w:val="20"/>
                <w:lang w:val="en-GB"/>
              </w:rPr>
            </w:pPr>
            <w:r w:rsidRPr="002167C5">
              <w:rPr>
                <w:sz w:val="20"/>
                <w:szCs w:val="20"/>
                <w:lang w:val="en-GB"/>
              </w:rPr>
              <w:t>Hermeneutic review</w:t>
            </w:r>
          </w:p>
        </w:tc>
        <w:tc>
          <w:tcPr>
            <w:tcW w:w="6399" w:type="dxa"/>
            <w:tcBorders>
              <w:top w:val="single" w:sz="4" w:space="0" w:color="auto"/>
              <w:bottom w:val="single" w:sz="4" w:space="0" w:color="auto"/>
            </w:tcBorders>
          </w:tcPr>
          <w:p w:rsidR="00496925" w:rsidRPr="002167C5" w:rsidRDefault="00496925" w:rsidP="000E2984">
            <w:pPr>
              <w:jc w:val="both"/>
              <w:rPr>
                <w:sz w:val="20"/>
                <w:szCs w:val="20"/>
                <w:lang w:val="en-US"/>
              </w:rPr>
            </w:pPr>
            <w:r w:rsidRPr="002167C5">
              <w:rPr>
                <w:sz w:val="20"/>
                <w:szCs w:val="20"/>
                <w:lang w:val="en-GB"/>
              </w:rPr>
              <w:t>The</w:t>
            </w:r>
            <w:r w:rsidRPr="002167C5">
              <w:rPr>
                <w:sz w:val="20"/>
                <w:szCs w:val="20"/>
                <w:lang w:val="en-US"/>
              </w:rPr>
              <w:t xml:space="preserve"> hermeneutic review supports the interpretation of literature and the development of understanding through an ongoing and cyclical dialogue between readers and text: it is basically based on the analysis and interpretation of the text, and represents a departure from a more formal, protocol based approach.</w:t>
            </w:r>
          </w:p>
        </w:tc>
        <w:tc>
          <w:tcPr>
            <w:tcW w:w="1821" w:type="dxa"/>
            <w:tcBorders>
              <w:top w:val="single" w:sz="4" w:space="0" w:color="auto"/>
              <w:bottom w:val="single" w:sz="4" w:space="0" w:color="auto"/>
            </w:tcBorders>
          </w:tcPr>
          <w:p w:rsidR="00496925" w:rsidRPr="002167C5" w:rsidRDefault="00496925" w:rsidP="000E2984">
            <w:pPr>
              <w:rPr>
                <w:sz w:val="20"/>
                <w:szCs w:val="20"/>
                <w:lang w:val="en-US"/>
              </w:rPr>
            </w:pPr>
            <w:r w:rsidRPr="002167C5">
              <w:rPr>
                <w:sz w:val="20"/>
                <w:szCs w:val="20"/>
                <w:lang w:val="en-US"/>
              </w:rPr>
              <w:t>Boell and Cecez-Kecmanovic, 2014</w:t>
            </w:r>
          </w:p>
        </w:tc>
      </w:tr>
      <w:tr w:rsidR="00496925" w:rsidRPr="002167C5" w:rsidTr="00496925">
        <w:trPr>
          <w:jc w:val="center"/>
        </w:trPr>
        <w:tc>
          <w:tcPr>
            <w:tcW w:w="1418" w:type="dxa"/>
            <w:tcBorders>
              <w:top w:val="single" w:sz="4" w:space="0" w:color="auto"/>
              <w:bottom w:val="single" w:sz="4" w:space="0" w:color="auto"/>
            </w:tcBorders>
          </w:tcPr>
          <w:p w:rsidR="00496925" w:rsidRPr="002167C5" w:rsidRDefault="00496925" w:rsidP="000E2984">
            <w:pPr>
              <w:jc w:val="both"/>
              <w:rPr>
                <w:sz w:val="20"/>
                <w:szCs w:val="20"/>
                <w:lang w:val="en-GB"/>
              </w:rPr>
            </w:pPr>
            <w:r w:rsidRPr="002167C5">
              <w:rPr>
                <w:sz w:val="20"/>
                <w:szCs w:val="20"/>
                <w:lang w:val="en-GB"/>
              </w:rPr>
              <w:t>Mixed-methods review</w:t>
            </w:r>
          </w:p>
        </w:tc>
        <w:tc>
          <w:tcPr>
            <w:tcW w:w="6399" w:type="dxa"/>
            <w:tcBorders>
              <w:top w:val="single" w:sz="4" w:space="0" w:color="auto"/>
              <w:bottom w:val="single" w:sz="4" w:space="0" w:color="auto"/>
            </w:tcBorders>
          </w:tcPr>
          <w:p w:rsidR="00496925" w:rsidRPr="002167C5" w:rsidRDefault="00496925" w:rsidP="000E2984">
            <w:pPr>
              <w:jc w:val="both"/>
              <w:rPr>
                <w:sz w:val="20"/>
                <w:szCs w:val="20"/>
                <w:lang w:val="en-GB"/>
              </w:rPr>
            </w:pPr>
            <w:r w:rsidRPr="002167C5">
              <w:rPr>
                <w:sz w:val="20"/>
                <w:szCs w:val="20"/>
                <w:lang w:val="en-GB"/>
              </w:rPr>
              <w:t>Mixed Methods Reviews widen the conceptualization of evidence, are methodologically inclusive and bring syntheses of evidence by combining the findings of qualitative and quantitative studies within a single systematic review to address the same overlapping or complementary review questions.</w:t>
            </w:r>
          </w:p>
        </w:tc>
        <w:tc>
          <w:tcPr>
            <w:tcW w:w="1821" w:type="dxa"/>
            <w:tcBorders>
              <w:top w:val="single" w:sz="4" w:space="0" w:color="auto"/>
              <w:bottom w:val="single" w:sz="4" w:space="0" w:color="auto"/>
            </w:tcBorders>
          </w:tcPr>
          <w:p w:rsidR="00496925" w:rsidRPr="002167C5" w:rsidRDefault="00496925" w:rsidP="000E2984">
            <w:pPr>
              <w:rPr>
                <w:sz w:val="20"/>
                <w:szCs w:val="20"/>
                <w:lang w:val="en-GB"/>
              </w:rPr>
            </w:pPr>
            <w:r w:rsidRPr="002167C5">
              <w:rPr>
                <w:sz w:val="20"/>
                <w:szCs w:val="20"/>
                <w:lang w:val="en-GB"/>
              </w:rPr>
              <w:t xml:space="preserve">Sandelowski et al., 2006 </w:t>
            </w:r>
          </w:p>
        </w:tc>
      </w:tr>
    </w:tbl>
    <w:p w:rsidR="00496925" w:rsidRPr="00496925" w:rsidRDefault="00496925">
      <w:pPr>
        <w:rPr>
          <w:rFonts w:cstheme="minorHAnsi"/>
          <w:lang w:val="en-US"/>
        </w:rPr>
      </w:pPr>
    </w:p>
    <w:p w:rsidR="00496925" w:rsidRPr="002167C5" w:rsidRDefault="00496925" w:rsidP="00496925">
      <w:pPr>
        <w:spacing w:before="120" w:after="120" w:line="240" w:lineRule="auto"/>
        <w:ind w:left="284" w:hanging="284"/>
        <w:jc w:val="both"/>
        <w:rPr>
          <w:lang w:val="en-GB"/>
        </w:rPr>
      </w:pPr>
      <w:r w:rsidRPr="002167C5">
        <w:rPr>
          <w:lang w:val="en-GB"/>
        </w:rPr>
        <w:t>Booth</w:t>
      </w:r>
      <w:r>
        <w:rPr>
          <w:lang w:val="en-GB"/>
        </w:rPr>
        <w:t>,</w:t>
      </w:r>
      <w:r w:rsidRPr="002167C5">
        <w:rPr>
          <w:lang w:val="en-GB"/>
        </w:rPr>
        <w:t xml:space="preserve"> A., Sutton</w:t>
      </w:r>
      <w:r>
        <w:rPr>
          <w:lang w:val="en-GB"/>
        </w:rPr>
        <w:t>,</w:t>
      </w:r>
      <w:r w:rsidRPr="002167C5">
        <w:rPr>
          <w:lang w:val="en-GB"/>
        </w:rPr>
        <w:t xml:space="preserve"> A., Papaioannou</w:t>
      </w:r>
      <w:r>
        <w:rPr>
          <w:lang w:val="en-GB"/>
        </w:rPr>
        <w:t>,</w:t>
      </w:r>
      <w:r w:rsidRPr="002167C5">
        <w:rPr>
          <w:lang w:val="en-GB"/>
        </w:rPr>
        <w:t xml:space="preserve"> D. (2016) Systematic Approaches to a Successful Literature Review. 2nd  Edition, 336 pages, Sage.</w:t>
      </w:r>
    </w:p>
    <w:p w:rsidR="00496925" w:rsidRDefault="00496925" w:rsidP="00496925">
      <w:pPr>
        <w:spacing w:before="120" w:after="120" w:line="240" w:lineRule="auto"/>
        <w:ind w:left="284" w:hanging="284"/>
        <w:jc w:val="both"/>
        <w:rPr>
          <w:lang w:val="en-GB"/>
        </w:rPr>
      </w:pPr>
      <w:r w:rsidRPr="002167C5">
        <w:rPr>
          <w:lang w:val="en-GB"/>
        </w:rPr>
        <w:t>Boell S.K., Cecez-Kecmanovic D. (2014) A hermeneutic approach for conducting literature reviews and literature searches, Communications of the Association for Information Systems, (34) 257-286.</w:t>
      </w:r>
    </w:p>
    <w:p w:rsidR="00496925" w:rsidRPr="002167C5" w:rsidRDefault="00496925" w:rsidP="00496925">
      <w:pPr>
        <w:spacing w:before="120" w:after="120" w:line="240" w:lineRule="auto"/>
        <w:ind w:left="284" w:hanging="284"/>
        <w:jc w:val="both"/>
        <w:rPr>
          <w:lang w:val="en-GB"/>
        </w:rPr>
      </w:pPr>
      <w:r w:rsidRPr="002167C5">
        <w:rPr>
          <w:lang w:val="en-GB"/>
        </w:rPr>
        <w:t>Grant, M.</w:t>
      </w:r>
      <w:r>
        <w:rPr>
          <w:lang w:val="en-GB"/>
        </w:rPr>
        <w:t>,</w:t>
      </w:r>
      <w:r w:rsidRPr="002167C5">
        <w:rPr>
          <w:lang w:val="en-GB"/>
        </w:rPr>
        <w:t xml:space="preserve"> Booth, A. (2009). A typology of reviews: an analysis of 14 review types and associated methodologies. Health Information and Libraries Journal, 26(2), 91-108. DOI: 10.1111/j.1471-1842.2009.00848.x</w:t>
      </w:r>
    </w:p>
    <w:p w:rsidR="00496925" w:rsidRPr="002167C5" w:rsidRDefault="00496925" w:rsidP="00496925">
      <w:pPr>
        <w:spacing w:before="120" w:after="120" w:line="240" w:lineRule="auto"/>
        <w:ind w:left="284" w:hanging="284"/>
        <w:jc w:val="both"/>
        <w:rPr>
          <w:lang w:val="en-GB"/>
        </w:rPr>
      </w:pPr>
      <w:r w:rsidRPr="002167C5">
        <w:rPr>
          <w:lang w:val="en-GB"/>
        </w:rPr>
        <w:t>Hartling L., Guise J.M., Kato E., Anderson J., Belinson S., Berliner E., Dryden D.M., Featherstone R., Mitchell M.D., Motu'apuaka M., Noorani H., Paynter R., Robinson K.A., Schoelles K., Umscheid C.A., Whitlock E. (2015). A taxonomy of rapid reviews links report types and methods to specific decision-making contexts. J Clin Epidemiol. 2015; 68(12).</w:t>
      </w:r>
    </w:p>
    <w:p w:rsidR="00496925" w:rsidRDefault="00496925" w:rsidP="00496925">
      <w:pPr>
        <w:spacing w:before="120" w:after="120" w:line="240" w:lineRule="auto"/>
        <w:ind w:left="284" w:hanging="284"/>
        <w:jc w:val="both"/>
        <w:rPr>
          <w:lang w:val="en-GB"/>
        </w:rPr>
      </w:pPr>
      <w:r w:rsidRPr="002167C5">
        <w:rPr>
          <w:lang w:val="en-GB"/>
        </w:rPr>
        <w:t>Higgins J, Green S, eds. Cochrane handbook for systematic reviews of interventions. ed: The Cochrane Collaboration 2011</w:t>
      </w:r>
      <w:r>
        <w:rPr>
          <w:lang w:val="en-GB"/>
        </w:rPr>
        <w:t>.</w:t>
      </w:r>
    </w:p>
    <w:p w:rsidR="00496925" w:rsidRPr="002167C5" w:rsidRDefault="00496925" w:rsidP="00496925">
      <w:pPr>
        <w:spacing w:before="120" w:after="120" w:line="240" w:lineRule="auto"/>
        <w:ind w:left="284" w:hanging="284"/>
        <w:jc w:val="both"/>
        <w:rPr>
          <w:lang w:val="en-GB"/>
        </w:rPr>
      </w:pPr>
      <w:r w:rsidRPr="002167C5">
        <w:rPr>
          <w:lang w:val="en-GB"/>
        </w:rPr>
        <w:lastRenderedPageBreak/>
        <w:t>Munn Z., Peters M.D.J., Stern C., Tufanaru C., McArthur A., Aromataris E. (2018). Systematic review or scoping review? Guidance for authors when choosing between a systematic or scoping review approach. BMC Medical Research Methodology 18, 143 https://doi.org/10.1186/s12874-018-0611-x</w:t>
      </w:r>
    </w:p>
    <w:p w:rsidR="00496925" w:rsidRPr="00407BB7" w:rsidRDefault="00496925" w:rsidP="00496925">
      <w:pPr>
        <w:spacing w:before="120" w:after="120" w:line="240" w:lineRule="auto"/>
        <w:ind w:left="284" w:hanging="284"/>
        <w:jc w:val="both"/>
        <w:rPr>
          <w:lang w:val="en-GB"/>
        </w:rPr>
      </w:pPr>
      <w:r w:rsidRPr="002167C5">
        <w:rPr>
          <w:lang w:val="en-GB"/>
        </w:rPr>
        <w:t>Sandelowski</w:t>
      </w:r>
      <w:r>
        <w:rPr>
          <w:lang w:val="en-GB"/>
        </w:rPr>
        <w:t>,</w:t>
      </w:r>
      <w:r w:rsidRPr="002167C5">
        <w:rPr>
          <w:lang w:val="en-GB"/>
        </w:rPr>
        <w:t xml:space="preserve"> M</w:t>
      </w:r>
      <w:r>
        <w:rPr>
          <w:lang w:val="en-GB"/>
        </w:rPr>
        <w:t>.</w:t>
      </w:r>
      <w:r w:rsidRPr="002167C5">
        <w:rPr>
          <w:lang w:val="en-GB"/>
        </w:rPr>
        <w:t>, Voils</w:t>
      </w:r>
      <w:r>
        <w:rPr>
          <w:lang w:val="en-GB"/>
        </w:rPr>
        <w:t>,</w:t>
      </w:r>
      <w:r w:rsidRPr="002167C5">
        <w:rPr>
          <w:lang w:val="en-GB"/>
        </w:rPr>
        <w:t xml:space="preserve"> C</w:t>
      </w:r>
      <w:r>
        <w:rPr>
          <w:lang w:val="en-GB"/>
        </w:rPr>
        <w:t>.</w:t>
      </w:r>
      <w:r w:rsidRPr="002167C5">
        <w:rPr>
          <w:lang w:val="en-GB"/>
        </w:rPr>
        <w:t>I</w:t>
      </w:r>
      <w:r>
        <w:rPr>
          <w:lang w:val="en-GB"/>
        </w:rPr>
        <w:t>.</w:t>
      </w:r>
      <w:r w:rsidRPr="002167C5">
        <w:rPr>
          <w:lang w:val="en-GB"/>
        </w:rPr>
        <w:t>, Barroso</w:t>
      </w:r>
      <w:r>
        <w:rPr>
          <w:lang w:val="en-GB"/>
        </w:rPr>
        <w:t>,</w:t>
      </w:r>
      <w:r w:rsidRPr="002167C5">
        <w:rPr>
          <w:lang w:val="en-GB"/>
        </w:rPr>
        <w:t xml:space="preserve"> J. (2006) Defining and designing mixed research synthesis studies. Res Sch, 13(1):29</w:t>
      </w:r>
    </w:p>
    <w:p w:rsidR="00496925" w:rsidRPr="002167C5" w:rsidRDefault="00496925" w:rsidP="00496925">
      <w:pPr>
        <w:spacing w:before="120" w:after="120" w:line="240" w:lineRule="auto"/>
        <w:ind w:left="284" w:hanging="284"/>
        <w:jc w:val="both"/>
        <w:rPr>
          <w:lang w:val="en-GB"/>
        </w:rPr>
      </w:pPr>
      <w:bookmarkStart w:id="0" w:name="_GoBack"/>
      <w:bookmarkEnd w:id="0"/>
    </w:p>
    <w:p w:rsidR="00496925" w:rsidRPr="00496925" w:rsidRDefault="00496925">
      <w:pPr>
        <w:rPr>
          <w:rFonts w:cstheme="minorHAnsi"/>
          <w:lang w:val="en-GB"/>
        </w:rPr>
      </w:pPr>
    </w:p>
    <w:sectPr w:rsidR="00496925" w:rsidRPr="0049692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it-IT" w:vendorID="64" w:dllVersion="131078" w:nlCheck="1" w:checkStyle="0"/>
  <w:activeWritingStyle w:appName="MSWord" w:lang="en-US" w:vendorID="64" w:dllVersion="131078" w:nlCheck="1" w:checkStyle="1"/>
  <w:activeWritingStyle w:appName="MSWord" w:lang="en-GB" w:vendorID="64" w:dllVersion="131078" w:nlCheck="1" w:checkStyle="1"/>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925"/>
    <w:rsid w:val="00496925"/>
    <w:rsid w:val="00C373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73EFA0-04CD-4715-AA87-9EBC384BA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496925"/>
    <w:rPr>
      <w:sz w:val="16"/>
      <w:szCs w:val="16"/>
    </w:rPr>
  </w:style>
  <w:style w:type="paragraph" w:styleId="Testocommento">
    <w:name w:val="annotation text"/>
    <w:basedOn w:val="Normale"/>
    <w:link w:val="TestocommentoCarattere"/>
    <w:uiPriority w:val="99"/>
    <w:semiHidden/>
    <w:unhideWhenUsed/>
    <w:rsid w:val="0049692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496925"/>
    <w:rPr>
      <w:sz w:val="20"/>
      <w:szCs w:val="20"/>
    </w:rPr>
  </w:style>
  <w:style w:type="paragraph" w:styleId="Testofumetto">
    <w:name w:val="Balloon Text"/>
    <w:basedOn w:val="Normale"/>
    <w:link w:val="TestofumettoCarattere"/>
    <w:uiPriority w:val="99"/>
    <w:semiHidden/>
    <w:unhideWhenUsed/>
    <w:rsid w:val="00496925"/>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96925"/>
    <w:rPr>
      <w:rFonts w:ascii="Segoe UI" w:hAnsi="Segoe UI" w:cs="Segoe UI"/>
      <w:sz w:val="18"/>
      <w:szCs w:val="18"/>
    </w:rPr>
  </w:style>
  <w:style w:type="table" w:styleId="Grigliatabella">
    <w:name w:val="Table Grid"/>
    <w:basedOn w:val="Tabellanormale"/>
    <w:uiPriority w:val="39"/>
    <w:rsid w:val="004969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592</Words>
  <Characters>3376</Characters>
  <Application>Microsoft Office Word</Application>
  <DocSecurity>0</DocSecurity>
  <Lines>28</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HPWork7</dc:creator>
  <cp:keywords/>
  <dc:description/>
  <cp:lastModifiedBy>HPWork7</cp:lastModifiedBy>
  <cp:revision>1</cp:revision>
  <dcterms:created xsi:type="dcterms:W3CDTF">2023-04-27T08:58:00Z</dcterms:created>
  <dcterms:modified xsi:type="dcterms:W3CDTF">2023-04-27T09:10:00Z</dcterms:modified>
</cp:coreProperties>
</file>