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1B348" w14:textId="77777777" w:rsidR="005145FC" w:rsidRDefault="005145FC" w:rsidP="005145FC">
      <w:pPr>
        <w:pStyle w:val="Heading1"/>
      </w:pPr>
      <w:r>
        <w:t xml:space="preserve">Appendix </w:t>
      </w:r>
    </w:p>
    <w:p w14:paraId="0AD7BD82" w14:textId="77777777" w:rsidR="005145FC" w:rsidRDefault="005145FC" w:rsidP="005145FC"/>
    <w:p w14:paraId="118DCA5E" w14:textId="77777777" w:rsidR="005145FC" w:rsidRDefault="005145FC" w:rsidP="005145FC">
      <w:pPr>
        <w:rPr>
          <w:b/>
        </w:rPr>
      </w:pPr>
      <w:r>
        <w:rPr>
          <w:b/>
        </w:rPr>
        <w:t xml:space="preserve">Table S1. Boolean Search Strategy </w:t>
      </w:r>
    </w:p>
    <w:tbl>
      <w:tblPr>
        <w:tblStyle w:val="3"/>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7620"/>
      </w:tblGrid>
      <w:tr w:rsidR="005145FC" w14:paraId="6CC34E05" w14:textId="77777777" w:rsidTr="00F9350D">
        <w:trPr>
          <w:jc w:val="center"/>
        </w:trPr>
        <w:tc>
          <w:tcPr>
            <w:tcW w:w="1740" w:type="dxa"/>
            <w:tcMar>
              <w:top w:w="100" w:type="dxa"/>
              <w:left w:w="100" w:type="dxa"/>
              <w:bottom w:w="100" w:type="dxa"/>
              <w:right w:w="100" w:type="dxa"/>
            </w:tcMar>
            <w:vAlign w:val="center"/>
          </w:tcPr>
          <w:p w14:paraId="07993D16" w14:textId="77777777" w:rsidR="005145FC" w:rsidRDefault="005145FC" w:rsidP="00F9350D">
            <w:pPr>
              <w:spacing w:line="240" w:lineRule="auto"/>
              <w:jc w:val="center"/>
              <w:rPr>
                <w:b/>
                <w:sz w:val="18"/>
                <w:szCs w:val="18"/>
              </w:rPr>
            </w:pPr>
            <w:r>
              <w:rPr>
                <w:b/>
                <w:sz w:val="18"/>
                <w:szCs w:val="18"/>
              </w:rPr>
              <w:t xml:space="preserve">Search Description </w:t>
            </w:r>
          </w:p>
        </w:tc>
        <w:tc>
          <w:tcPr>
            <w:tcW w:w="7620" w:type="dxa"/>
            <w:tcMar>
              <w:top w:w="100" w:type="dxa"/>
              <w:left w:w="100" w:type="dxa"/>
              <w:bottom w:w="100" w:type="dxa"/>
              <w:right w:w="100" w:type="dxa"/>
            </w:tcMar>
            <w:vAlign w:val="center"/>
          </w:tcPr>
          <w:p w14:paraId="1CC92CAB" w14:textId="77777777" w:rsidR="005145FC" w:rsidRDefault="005145FC" w:rsidP="00F9350D">
            <w:pPr>
              <w:spacing w:line="240" w:lineRule="auto"/>
              <w:jc w:val="center"/>
              <w:rPr>
                <w:b/>
                <w:sz w:val="18"/>
                <w:szCs w:val="18"/>
              </w:rPr>
            </w:pPr>
            <w:r>
              <w:rPr>
                <w:b/>
                <w:sz w:val="18"/>
                <w:szCs w:val="18"/>
              </w:rPr>
              <w:t xml:space="preserve">Boolean Search String </w:t>
            </w:r>
          </w:p>
        </w:tc>
      </w:tr>
      <w:tr w:rsidR="005145FC" w14:paraId="7922FF7A" w14:textId="77777777" w:rsidTr="00F9350D">
        <w:trPr>
          <w:jc w:val="center"/>
        </w:trPr>
        <w:tc>
          <w:tcPr>
            <w:tcW w:w="1740" w:type="dxa"/>
            <w:tcMar>
              <w:top w:w="100" w:type="dxa"/>
              <w:left w:w="100" w:type="dxa"/>
              <w:bottom w:w="100" w:type="dxa"/>
              <w:right w:w="100" w:type="dxa"/>
            </w:tcMar>
            <w:vAlign w:val="center"/>
          </w:tcPr>
          <w:p w14:paraId="1B9514F9" w14:textId="77777777" w:rsidR="005145FC" w:rsidRDefault="005145FC" w:rsidP="00F9350D">
            <w:pPr>
              <w:spacing w:line="240" w:lineRule="auto"/>
              <w:jc w:val="center"/>
              <w:rPr>
                <w:i/>
                <w:sz w:val="18"/>
                <w:szCs w:val="18"/>
              </w:rPr>
            </w:pPr>
            <w:r>
              <w:rPr>
                <w:i/>
                <w:sz w:val="18"/>
                <w:szCs w:val="18"/>
              </w:rPr>
              <w:t>General Search for Decision-Making in Post-Wildfire Flooding</w:t>
            </w:r>
          </w:p>
        </w:tc>
        <w:tc>
          <w:tcPr>
            <w:tcW w:w="7620" w:type="dxa"/>
            <w:tcMar>
              <w:top w:w="100" w:type="dxa"/>
              <w:left w:w="100" w:type="dxa"/>
              <w:bottom w:w="100" w:type="dxa"/>
              <w:right w:w="100" w:type="dxa"/>
            </w:tcMar>
          </w:tcPr>
          <w:p w14:paraId="41525160" w14:textId="77777777" w:rsidR="005145FC" w:rsidRDefault="005145FC" w:rsidP="00F9350D">
            <w:pPr>
              <w:spacing w:line="240" w:lineRule="auto"/>
              <w:rPr>
                <w:sz w:val="18"/>
                <w:szCs w:val="18"/>
              </w:rPr>
            </w:pPr>
            <w:r>
              <w:rPr>
                <w:sz w:val="18"/>
                <w:szCs w:val="18"/>
              </w:rPr>
              <w:t>("decision-making framework" OR "decision support system" OR "risk-based decision-making" OR “risk-based decision making” OR "multi-criteria decision analysis" OR "MCDA" OR "analytical hierarchy process" OR "AHP" OR "Bayesian decision model" OR "fuzzy logic" OR "machine learning decision model" OR “cross-governance” OR “post wildfire governance” OR “post-wildfire governance” OR (“wildfire governance” AND “flooding”))</w:t>
            </w:r>
          </w:p>
          <w:p w14:paraId="0E089D34" w14:textId="77777777" w:rsidR="005145FC" w:rsidRDefault="005145FC" w:rsidP="00F9350D">
            <w:pPr>
              <w:spacing w:line="240" w:lineRule="auto"/>
              <w:rPr>
                <w:sz w:val="18"/>
                <w:szCs w:val="18"/>
              </w:rPr>
            </w:pPr>
            <w:r>
              <w:rPr>
                <w:sz w:val="18"/>
                <w:szCs w:val="18"/>
              </w:rPr>
              <w:t>AND</w:t>
            </w:r>
          </w:p>
          <w:p w14:paraId="7B8398BF" w14:textId="77777777" w:rsidR="005145FC" w:rsidRDefault="005145FC" w:rsidP="00F9350D">
            <w:pPr>
              <w:spacing w:line="240" w:lineRule="auto"/>
              <w:rPr>
                <w:sz w:val="18"/>
                <w:szCs w:val="18"/>
              </w:rPr>
            </w:pPr>
            <w:r>
              <w:rPr>
                <w:sz w:val="18"/>
                <w:szCs w:val="18"/>
              </w:rPr>
              <w:t>("post-wildfire flooding" OR "post-fire" OR “fire hydrology” OR "wildfire-induced flood risk" OR "burn scar flooding" OR "watershed response to wildfire" OR "fire-affected hydrological systems" OR "post-fire debris flow" OR “post wildfire flooding” OR “post fire” OR “post fire debris flow” OR “wildfire induced flood risk” OR “fire affected hydrological systems” OR (“multi-hazard” AND (“fire” OR “wildfire”)))</w:t>
            </w:r>
          </w:p>
          <w:p w14:paraId="0287D4D2" w14:textId="77777777" w:rsidR="005145FC" w:rsidRDefault="005145FC" w:rsidP="00F9350D">
            <w:pPr>
              <w:spacing w:line="240" w:lineRule="auto"/>
              <w:rPr>
                <w:sz w:val="18"/>
                <w:szCs w:val="18"/>
              </w:rPr>
            </w:pPr>
            <w:r>
              <w:rPr>
                <w:sz w:val="18"/>
                <w:szCs w:val="18"/>
              </w:rPr>
              <w:t>AND</w:t>
            </w:r>
          </w:p>
          <w:p w14:paraId="2FFC3250" w14:textId="77777777" w:rsidR="005145FC" w:rsidRDefault="005145FC" w:rsidP="00F9350D">
            <w:pPr>
              <w:spacing w:line="240" w:lineRule="auto"/>
              <w:rPr>
                <w:sz w:val="18"/>
                <w:szCs w:val="18"/>
              </w:rPr>
            </w:pPr>
            <w:r>
              <w:rPr>
                <w:sz w:val="18"/>
                <w:szCs w:val="18"/>
              </w:rPr>
              <w:t>("infrastructure resilience" OR "critical infrastructure protection" OR “disaster recovery” OR “disaster adaptation” OR "risk reduction" OR "emergency flood response" OR “flood response” OR "climate adaptation" OR "mitigation" OR "risk assessment" OR “risk management”)</w:t>
            </w:r>
          </w:p>
        </w:tc>
      </w:tr>
      <w:tr w:rsidR="005145FC" w14:paraId="24078EF0" w14:textId="77777777" w:rsidTr="00F9350D">
        <w:trPr>
          <w:jc w:val="center"/>
        </w:trPr>
        <w:tc>
          <w:tcPr>
            <w:tcW w:w="1740" w:type="dxa"/>
            <w:tcMar>
              <w:top w:w="100" w:type="dxa"/>
              <w:left w:w="100" w:type="dxa"/>
              <w:bottom w:w="100" w:type="dxa"/>
              <w:right w:w="100" w:type="dxa"/>
            </w:tcMar>
            <w:vAlign w:val="center"/>
          </w:tcPr>
          <w:p w14:paraId="4EAFE90D" w14:textId="77777777" w:rsidR="005145FC" w:rsidRDefault="005145FC" w:rsidP="00F9350D">
            <w:pPr>
              <w:spacing w:line="240" w:lineRule="auto"/>
              <w:jc w:val="center"/>
              <w:rPr>
                <w:i/>
                <w:sz w:val="18"/>
                <w:szCs w:val="18"/>
              </w:rPr>
            </w:pPr>
            <w:r>
              <w:rPr>
                <w:i/>
                <w:sz w:val="18"/>
                <w:szCs w:val="18"/>
              </w:rPr>
              <w:t>Search for Infrastructure Resilience and Risk Management</w:t>
            </w:r>
          </w:p>
        </w:tc>
        <w:tc>
          <w:tcPr>
            <w:tcW w:w="7620" w:type="dxa"/>
            <w:tcMar>
              <w:top w:w="100" w:type="dxa"/>
              <w:left w:w="100" w:type="dxa"/>
              <w:bottom w:w="100" w:type="dxa"/>
              <w:right w:w="100" w:type="dxa"/>
            </w:tcMar>
          </w:tcPr>
          <w:p w14:paraId="4D8C699E" w14:textId="77777777" w:rsidR="005145FC" w:rsidRDefault="005145FC" w:rsidP="00F9350D">
            <w:pPr>
              <w:spacing w:line="240" w:lineRule="auto"/>
              <w:rPr>
                <w:sz w:val="18"/>
                <w:szCs w:val="18"/>
              </w:rPr>
            </w:pPr>
            <w:r>
              <w:rPr>
                <w:sz w:val="18"/>
                <w:szCs w:val="18"/>
              </w:rPr>
              <w:t>("resilience" OR "disaster resilience" OR "flood resilience" OR "infrastructure adaptation" OR "critical infrastructure" OR "infrastructure resilience" OR "urban flood resilience" OR "rural flood resilience" OR "flood risk" OR "floodplain management" OR "post wildfire resilience" OR "post-wildfire resilience" OR ("wildfire resilience" AND "flooding"))</w:t>
            </w:r>
          </w:p>
          <w:p w14:paraId="1EBCC0B2" w14:textId="77777777" w:rsidR="005145FC" w:rsidRDefault="005145FC" w:rsidP="00F9350D">
            <w:pPr>
              <w:spacing w:line="240" w:lineRule="auto"/>
              <w:rPr>
                <w:sz w:val="18"/>
                <w:szCs w:val="18"/>
              </w:rPr>
            </w:pPr>
            <w:r>
              <w:rPr>
                <w:sz w:val="18"/>
                <w:szCs w:val="18"/>
              </w:rPr>
              <w:t>AND</w:t>
            </w:r>
          </w:p>
          <w:p w14:paraId="4A392E87" w14:textId="77777777" w:rsidR="005145FC" w:rsidRDefault="005145FC" w:rsidP="00F9350D">
            <w:pPr>
              <w:spacing w:line="240" w:lineRule="auto"/>
              <w:rPr>
                <w:sz w:val="18"/>
                <w:szCs w:val="18"/>
              </w:rPr>
            </w:pPr>
            <w:r>
              <w:rPr>
                <w:sz w:val="18"/>
                <w:szCs w:val="18"/>
              </w:rPr>
              <w:t>("post-wildfire flood" OR "post-fire runoff" OR "burned area" OR ("burned area" AND "emergency response") OR "burned area emergency response" OR "watershed recovery after wildfire" OR "post-fire flood risk assessment" OR "hydrological modeling of burned landscape" OR "post wildfire flood" OR "post fire runoff" OR "post fire flood risk assessment" OR "post wildfire flood risk assessment" OR "post-wildfire flood risk assessment")</w:t>
            </w:r>
          </w:p>
          <w:p w14:paraId="0EBABDEC" w14:textId="77777777" w:rsidR="005145FC" w:rsidRDefault="005145FC" w:rsidP="00F9350D">
            <w:pPr>
              <w:spacing w:line="240" w:lineRule="auto"/>
              <w:rPr>
                <w:sz w:val="18"/>
                <w:szCs w:val="18"/>
              </w:rPr>
            </w:pPr>
            <w:r>
              <w:rPr>
                <w:sz w:val="18"/>
                <w:szCs w:val="18"/>
              </w:rPr>
              <w:t>AND</w:t>
            </w:r>
          </w:p>
          <w:p w14:paraId="2D14C826" w14:textId="77777777" w:rsidR="005145FC" w:rsidRDefault="005145FC" w:rsidP="00F9350D">
            <w:pPr>
              <w:spacing w:line="240" w:lineRule="auto"/>
              <w:rPr>
                <w:sz w:val="18"/>
                <w:szCs w:val="18"/>
              </w:rPr>
            </w:pPr>
            <w:r>
              <w:rPr>
                <w:sz w:val="18"/>
                <w:szCs w:val="18"/>
              </w:rPr>
              <w:t>("risk-based decision-making" OR "risk management" OR "decision support tools" OR "decision support tool" OR "multi-objective optimization" OR "flood hazard modeling" OR "emergency response" OR "model" OR "models" OR "modeling" OR "planning" OR "strategy" OR "strategies" OR "frameworks" OR "framework")</w:t>
            </w:r>
          </w:p>
          <w:p w14:paraId="114F233D" w14:textId="77777777" w:rsidR="005145FC" w:rsidRDefault="005145FC" w:rsidP="00F9350D">
            <w:pPr>
              <w:spacing w:line="240" w:lineRule="auto"/>
              <w:rPr>
                <w:sz w:val="18"/>
                <w:szCs w:val="18"/>
              </w:rPr>
            </w:pPr>
          </w:p>
        </w:tc>
      </w:tr>
      <w:tr w:rsidR="005145FC" w14:paraId="2C439821" w14:textId="77777777" w:rsidTr="00F9350D">
        <w:trPr>
          <w:jc w:val="center"/>
        </w:trPr>
        <w:tc>
          <w:tcPr>
            <w:tcW w:w="1740" w:type="dxa"/>
            <w:tcMar>
              <w:top w:w="100" w:type="dxa"/>
              <w:left w:w="100" w:type="dxa"/>
              <w:bottom w:w="100" w:type="dxa"/>
              <w:right w:w="100" w:type="dxa"/>
            </w:tcMar>
            <w:vAlign w:val="center"/>
          </w:tcPr>
          <w:p w14:paraId="5103545E" w14:textId="77777777" w:rsidR="005145FC" w:rsidRDefault="005145FC" w:rsidP="00F9350D">
            <w:pPr>
              <w:spacing w:line="240" w:lineRule="auto"/>
              <w:jc w:val="center"/>
              <w:rPr>
                <w:i/>
                <w:sz w:val="18"/>
                <w:szCs w:val="18"/>
              </w:rPr>
            </w:pPr>
            <w:r>
              <w:rPr>
                <w:i/>
                <w:sz w:val="18"/>
                <w:szCs w:val="18"/>
              </w:rPr>
              <w:t>Search for Hydrological Modeling and Response Strategies</w:t>
            </w:r>
          </w:p>
        </w:tc>
        <w:tc>
          <w:tcPr>
            <w:tcW w:w="7620" w:type="dxa"/>
            <w:tcMar>
              <w:top w:w="100" w:type="dxa"/>
              <w:left w:w="100" w:type="dxa"/>
              <w:bottom w:w="100" w:type="dxa"/>
              <w:right w:w="100" w:type="dxa"/>
            </w:tcMar>
          </w:tcPr>
          <w:p w14:paraId="07C8896C" w14:textId="77777777" w:rsidR="005145FC" w:rsidRDefault="005145FC" w:rsidP="00F9350D">
            <w:pPr>
              <w:spacing w:line="240" w:lineRule="auto"/>
              <w:rPr>
                <w:sz w:val="18"/>
                <w:szCs w:val="18"/>
              </w:rPr>
            </w:pPr>
            <w:r>
              <w:rPr>
                <w:sz w:val="18"/>
                <w:szCs w:val="18"/>
              </w:rPr>
              <w:t>(“hydrological modeling” OR “flood risk modeling” OR “erosion modeling” OR "post wildfire hydrology" OR “post-wildfire hydrology” OR "hydrological modeling of burned watersheds" OR "wildfire erosion control" OR "watershed response to fire" OR "debris flow modeling" OR "hydrologic hazards of wildfires" OR “hydrological hazards of fires”)</w:t>
            </w:r>
          </w:p>
          <w:p w14:paraId="334C9D99" w14:textId="77777777" w:rsidR="005145FC" w:rsidRDefault="005145FC" w:rsidP="00F9350D">
            <w:pPr>
              <w:spacing w:line="240" w:lineRule="auto"/>
              <w:rPr>
                <w:sz w:val="18"/>
                <w:szCs w:val="18"/>
              </w:rPr>
            </w:pPr>
            <w:r>
              <w:rPr>
                <w:sz w:val="18"/>
                <w:szCs w:val="18"/>
              </w:rPr>
              <w:t>AND</w:t>
            </w:r>
          </w:p>
          <w:p w14:paraId="1D46B440" w14:textId="77777777" w:rsidR="005145FC" w:rsidRDefault="005145FC" w:rsidP="00F9350D">
            <w:pPr>
              <w:spacing w:line="240" w:lineRule="auto"/>
              <w:rPr>
                <w:sz w:val="18"/>
                <w:szCs w:val="18"/>
              </w:rPr>
            </w:pPr>
            <w:r>
              <w:rPr>
                <w:sz w:val="18"/>
                <w:szCs w:val="18"/>
              </w:rPr>
              <w:t>("decision-making process" OR "flood risk assessment" OR "multi-hazard risk analysis" OR "disaster response planning" OR “disaster recovery planning” OR “disaster response strategy” OR “wildfire response planning” OR “wildfire recovery planning” OR "adaptive management in flood mitigation" OR “flood mitigation” OR “adaptive management”)</w:t>
            </w:r>
          </w:p>
          <w:p w14:paraId="3C7DC189" w14:textId="77777777" w:rsidR="005145FC" w:rsidRDefault="005145FC" w:rsidP="00F9350D">
            <w:pPr>
              <w:spacing w:line="240" w:lineRule="auto"/>
              <w:rPr>
                <w:sz w:val="18"/>
                <w:szCs w:val="18"/>
              </w:rPr>
            </w:pPr>
            <w:r>
              <w:rPr>
                <w:sz w:val="18"/>
                <w:szCs w:val="18"/>
              </w:rPr>
              <w:t>AND</w:t>
            </w:r>
          </w:p>
          <w:p w14:paraId="3F7666C8" w14:textId="77777777" w:rsidR="005145FC" w:rsidRDefault="005145FC" w:rsidP="00F9350D">
            <w:pPr>
              <w:spacing w:line="240" w:lineRule="auto"/>
              <w:rPr>
                <w:sz w:val="18"/>
                <w:szCs w:val="18"/>
              </w:rPr>
            </w:pPr>
            <w:r>
              <w:rPr>
                <w:sz w:val="18"/>
                <w:szCs w:val="18"/>
              </w:rPr>
              <w:t>("climate resilience" OR "disaster preparedness" OR "infrastructure risk adaptation" OR “infrastructure resilience” OR "structural mitigation” OR “non-structural mitigation" OR "stormwater management post fire" OR “stormwater management post-fire” OR “stormwater management post wildfire” OR (“stormwater management” AND “wildfire”))</w:t>
            </w:r>
          </w:p>
          <w:p w14:paraId="3C51E178" w14:textId="77777777" w:rsidR="005145FC" w:rsidRDefault="005145FC" w:rsidP="00F9350D">
            <w:pPr>
              <w:spacing w:line="240" w:lineRule="auto"/>
              <w:rPr>
                <w:sz w:val="18"/>
                <w:szCs w:val="18"/>
              </w:rPr>
            </w:pPr>
          </w:p>
        </w:tc>
      </w:tr>
      <w:tr w:rsidR="005145FC" w14:paraId="5D42BCDE" w14:textId="77777777" w:rsidTr="00F9350D">
        <w:trPr>
          <w:jc w:val="center"/>
        </w:trPr>
        <w:tc>
          <w:tcPr>
            <w:tcW w:w="1740" w:type="dxa"/>
            <w:tcMar>
              <w:top w:w="100" w:type="dxa"/>
              <w:left w:w="100" w:type="dxa"/>
              <w:bottom w:w="100" w:type="dxa"/>
              <w:right w:w="100" w:type="dxa"/>
            </w:tcMar>
            <w:vAlign w:val="center"/>
          </w:tcPr>
          <w:p w14:paraId="382FF42B" w14:textId="77777777" w:rsidR="005145FC" w:rsidRDefault="005145FC" w:rsidP="00F9350D">
            <w:pPr>
              <w:spacing w:line="240" w:lineRule="auto"/>
              <w:jc w:val="center"/>
              <w:rPr>
                <w:i/>
                <w:sz w:val="18"/>
                <w:szCs w:val="18"/>
              </w:rPr>
            </w:pPr>
            <w:r>
              <w:rPr>
                <w:i/>
                <w:sz w:val="18"/>
                <w:szCs w:val="18"/>
              </w:rPr>
              <w:lastRenderedPageBreak/>
              <w:t>Search for Multi-Criteria Decision Analysis (MCDA) in Post-Wildfire Flood Response</w:t>
            </w:r>
          </w:p>
          <w:p w14:paraId="22B6E8B8" w14:textId="77777777" w:rsidR="005145FC" w:rsidRDefault="005145FC" w:rsidP="00F9350D">
            <w:pPr>
              <w:spacing w:line="240" w:lineRule="auto"/>
              <w:jc w:val="center"/>
              <w:rPr>
                <w:i/>
                <w:sz w:val="18"/>
                <w:szCs w:val="18"/>
              </w:rPr>
            </w:pPr>
          </w:p>
        </w:tc>
        <w:tc>
          <w:tcPr>
            <w:tcW w:w="7620" w:type="dxa"/>
            <w:tcMar>
              <w:top w:w="100" w:type="dxa"/>
              <w:left w:w="100" w:type="dxa"/>
              <w:bottom w:w="100" w:type="dxa"/>
              <w:right w:w="100" w:type="dxa"/>
            </w:tcMar>
          </w:tcPr>
          <w:p w14:paraId="5E0A9F2D" w14:textId="77777777" w:rsidR="005145FC" w:rsidRDefault="005145FC" w:rsidP="00F9350D">
            <w:pPr>
              <w:spacing w:line="240" w:lineRule="auto"/>
              <w:rPr>
                <w:sz w:val="18"/>
                <w:szCs w:val="18"/>
              </w:rPr>
            </w:pPr>
            <w:r>
              <w:rPr>
                <w:sz w:val="18"/>
                <w:szCs w:val="18"/>
              </w:rPr>
              <w:t>("multi-criteria decision analysis" OR "MCDA" OR "multi-objective decision-making" OR “Analytic Hierarchy Process” OR "AHP" OR "Bayesian decision-making" OR "stochastic decision model" OR "uncertainty modeling in flood management")</w:t>
            </w:r>
          </w:p>
          <w:p w14:paraId="5889745D" w14:textId="77777777" w:rsidR="005145FC" w:rsidRDefault="005145FC" w:rsidP="00F9350D">
            <w:pPr>
              <w:spacing w:line="240" w:lineRule="auto"/>
              <w:rPr>
                <w:sz w:val="18"/>
                <w:szCs w:val="18"/>
              </w:rPr>
            </w:pPr>
            <w:r>
              <w:rPr>
                <w:sz w:val="18"/>
                <w:szCs w:val="18"/>
              </w:rPr>
              <w:t>AND</w:t>
            </w:r>
          </w:p>
          <w:p w14:paraId="2C41E6A8" w14:textId="77777777" w:rsidR="005145FC" w:rsidRDefault="005145FC" w:rsidP="00F9350D">
            <w:pPr>
              <w:spacing w:line="240" w:lineRule="auto"/>
              <w:rPr>
                <w:sz w:val="18"/>
                <w:szCs w:val="18"/>
              </w:rPr>
            </w:pPr>
            <w:r>
              <w:rPr>
                <w:sz w:val="18"/>
                <w:szCs w:val="18"/>
              </w:rPr>
              <w:t>("post wildfire flood risk" OR “post-wildfire flood risk” OR “post-wildfire risk” OR “post wildfire risk” OR “wildfire flood risk” OR “wildfire flood hazard” OR “burned watershed” OR “post wildfire recovery” OR “post-wildfire recovery” OR “wildfire recovery” OR "post-fire hydrological impact" OR “post fire hydrological impact” OR "wildfire-induced flood hazard" OR “wildfire induced flood hazard” OR "burned watershed modeling" OR "fire-affected hydrology" OR “fire affected hydrology”)</w:t>
            </w:r>
          </w:p>
          <w:p w14:paraId="773A90D2" w14:textId="77777777" w:rsidR="005145FC" w:rsidRDefault="005145FC" w:rsidP="00F9350D">
            <w:pPr>
              <w:spacing w:line="240" w:lineRule="auto"/>
              <w:rPr>
                <w:sz w:val="18"/>
                <w:szCs w:val="18"/>
              </w:rPr>
            </w:pPr>
            <w:r>
              <w:rPr>
                <w:sz w:val="18"/>
                <w:szCs w:val="18"/>
              </w:rPr>
              <w:t>AND</w:t>
            </w:r>
          </w:p>
          <w:p w14:paraId="1CD2C7AB" w14:textId="77777777" w:rsidR="005145FC" w:rsidRDefault="005145FC" w:rsidP="00F9350D">
            <w:pPr>
              <w:spacing w:line="240" w:lineRule="auto"/>
              <w:rPr>
                <w:sz w:val="18"/>
                <w:szCs w:val="18"/>
              </w:rPr>
            </w:pPr>
            <w:r>
              <w:rPr>
                <w:sz w:val="18"/>
                <w:szCs w:val="18"/>
              </w:rPr>
              <w:t>("resilient infrastructure" OR “infrastructure resilience” OR "emergency response planning" OR "flood adaptation policies" OR “flood adaptation policy” OR “flood adaptation regulation” OR "disaster risk reduction strategies" OR “disaster risk reduction strategy” OR "climate-adaptive flood management" OR “adaptive flood management” OR “disaster risk reduction” OR “post wildfire flood framework” OR “post-wildfire flood framework” OR “wildfire recovery framework”)</w:t>
            </w:r>
          </w:p>
        </w:tc>
      </w:tr>
      <w:tr w:rsidR="005145FC" w14:paraId="51954BE4" w14:textId="77777777" w:rsidTr="00F9350D">
        <w:trPr>
          <w:jc w:val="center"/>
        </w:trPr>
        <w:tc>
          <w:tcPr>
            <w:tcW w:w="1740" w:type="dxa"/>
            <w:tcMar>
              <w:top w:w="100" w:type="dxa"/>
              <w:left w:w="100" w:type="dxa"/>
              <w:bottom w:w="100" w:type="dxa"/>
              <w:right w:w="100" w:type="dxa"/>
            </w:tcMar>
            <w:vAlign w:val="center"/>
          </w:tcPr>
          <w:p w14:paraId="64547101" w14:textId="77777777" w:rsidR="005145FC" w:rsidRDefault="005145FC" w:rsidP="00F9350D">
            <w:pPr>
              <w:spacing w:line="240" w:lineRule="auto"/>
              <w:jc w:val="center"/>
              <w:rPr>
                <w:i/>
                <w:sz w:val="18"/>
                <w:szCs w:val="18"/>
              </w:rPr>
            </w:pPr>
            <w:r>
              <w:rPr>
                <w:i/>
                <w:sz w:val="18"/>
                <w:szCs w:val="18"/>
              </w:rPr>
              <w:t>Search for Climate Change, Wildfire Risk, and Policy Frameworks</w:t>
            </w:r>
          </w:p>
        </w:tc>
        <w:tc>
          <w:tcPr>
            <w:tcW w:w="7620" w:type="dxa"/>
            <w:tcMar>
              <w:top w:w="100" w:type="dxa"/>
              <w:left w:w="100" w:type="dxa"/>
              <w:bottom w:w="100" w:type="dxa"/>
              <w:right w:w="100" w:type="dxa"/>
            </w:tcMar>
          </w:tcPr>
          <w:p w14:paraId="168023D5" w14:textId="77777777" w:rsidR="005145FC" w:rsidRDefault="005145FC" w:rsidP="00F9350D">
            <w:pPr>
              <w:spacing w:line="240" w:lineRule="auto"/>
              <w:rPr>
                <w:sz w:val="18"/>
                <w:szCs w:val="18"/>
              </w:rPr>
            </w:pPr>
            <w:r>
              <w:rPr>
                <w:sz w:val="18"/>
                <w:szCs w:val="18"/>
              </w:rPr>
              <w:t>("wildfire risk management" OR "fire-related flood risk assessment" OR "climate change adaptation strategies" OR “climate change adaptation” OR "climate-resilient infrastructure" OR "wildfire risk framework” OR “wildfire risk policy” OR “wildfire disaster risk reduction" OR “post wildfire flood risk reduction” OR “post-wildfire flood risk reduction” OR "wildfire-flood hazard interactions")</w:t>
            </w:r>
          </w:p>
          <w:p w14:paraId="4CEB6E81" w14:textId="77777777" w:rsidR="005145FC" w:rsidRDefault="005145FC" w:rsidP="00F9350D">
            <w:pPr>
              <w:spacing w:line="240" w:lineRule="auto"/>
              <w:rPr>
                <w:sz w:val="18"/>
                <w:szCs w:val="18"/>
              </w:rPr>
            </w:pPr>
            <w:r>
              <w:rPr>
                <w:sz w:val="18"/>
                <w:szCs w:val="18"/>
              </w:rPr>
              <w:t>AND</w:t>
            </w:r>
          </w:p>
          <w:p w14:paraId="7EFB39AE" w14:textId="77777777" w:rsidR="005145FC" w:rsidRDefault="005145FC" w:rsidP="00F9350D">
            <w:pPr>
              <w:spacing w:line="240" w:lineRule="auto"/>
              <w:rPr>
                <w:sz w:val="18"/>
                <w:szCs w:val="18"/>
              </w:rPr>
            </w:pPr>
            <w:r>
              <w:rPr>
                <w:sz w:val="18"/>
                <w:szCs w:val="18"/>
              </w:rPr>
              <w:t>("decision-making” OR “disaster management" OR "flood mitigation" OR "integrated water resource management" OR ("nature-based solutions” AND (“post wildfire mitigation” OR “flood mitigation”)) OR "ecosystem-based adaptation")</w:t>
            </w:r>
          </w:p>
          <w:p w14:paraId="06E0BADB" w14:textId="77777777" w:rsidR="005145FC" w:rsidRDefault="005145FC" w:rsidP="00F9350D">
            <w:pPr>
              <w:spacing w:line="240" w:lineRule="auto"/>
              <w:rPr>
                <w:sz w:val="18"/>
                <w:szCs w:val="18"/>
              </w:rPr>
            </w:pPr>
            <w:r>
              <w:rPr>
                <w:sz w:val="18"/>
                <w:szCs w:val="18"/>
              </w:rPr>
              <w:t>AND</w:t>
            </w:r>
          </w:p>
          <w:p w14:paraId="766D1396" w14:textId="77777777" w:rsidR="005145FC" w:rsidRDefault="005145FC" w:rsidP="00F9350D">
            <w:pPr>
              <w:spacing w:line="240" w:lineRule="auto"/>
              <w:rPr>
                <w:sz w:val="18"/>
                <w:szCs w:val="18"/>
              </w:rPr>
            </w:pPr>
            <w:r>
              <w:rPr>
                <w:sz w:val="18"/>
                <w:szCs w:val="18"/>
              </w:rPr>
              <w:t>("post-wildfire flood response" OR "emergency response frameworks" OR "disaster mitigation policies" OR “disaster mitigation policy” OR “disaster mitigation framework” OR “wildfire recovery framework” OR “wildfire flood risk framework” OR “disaster recovery framework” OR "urban flood resilience” OR “rural flood resilience" OR "community-based flood risk management" OR (“community resilience” AND “flood management”) OR “community flood management framework” OR “wildfire recovery framework” OR “policy frameworks for disaster risk reduction” OR (“policy framework” AND “disaster risk reduction”))</w:t>
            </w:r>
          </w:p>
        </w:tc>
      </w:tr>
    </w:tbl>
    <w:p w14:paraId="678D40F8" w14:textId="77777777" w:rsidR="005145FC" w:rsidRDefault="005145FC" w:rsidP="005145FC">
      <w:pPr>
        <w:spacing w:line="240" w:lineRule="auto"/>
        <w:rPr>
          <w:b/>
        </w:rPr>
      </w:pPr>
    </w:p>
    <w:p w14:paraId="31024D73" w14:textId="77777777" w:rsidR="005145FC" w:rsidRDefault="005145FC" w:rsidP="005145FC">
      <w:pPr>
        <w:rPr>
          <w:b/>
        </w:rPr>
      </w:pPr>
    </w:p>
    <w:p w14:paraId="40620912" w14:textId="77777777" w:rsidR="005145FC" w:rsidRDefault="005145FC" w:rsidP="005145FC">
      <w:pPr>
        <w:rPr>
          <w:rFonts w:ascii="Calibri" w:eastAsia="Calibri" w:hAnsi="Calibri" w:cs="Calibri"/>
          <w:b/>
          <w:i/>
        </w:rPr>
      </w:pPr>
      <w:r>
        <w:rPr>
          <w:b/>
        </w:rPr>
        <w:t xml:space="preserve">Table S2. Inclusion and Exclusion Criteria </w:t>
      </w:r>
    </w:p>
    <w:tbl>
      <w:tblPr>
        <w:tblStyle w:val="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3705"/>
        <w:gridCol w:w="3570"/>
      </w:tblGrid>
      <w:tr w:rsidR="005145FC" w14:paraId="2C858E63" w14:textId="77777777" w:rsidTr="00F9350D">
        <w:tc>
          <w:tcPr>
            <w:tcW w:w="2085" w:type="dxa"/>
            <w:tcMar>
              <w:top w:w="100" w:type="dxa"/>
              <w:left w:w="100" w:type="dxa"/>
              <w:bottom w:w="100" w:type="dxa"/>
              <w:right w:w="100" w:type="dxa"/>
            </w:tcMar>
          </w:tcPr>
          <w:p w14:paraId="0C02DEA5" w14:textId="77777777" w:rsidR="005145FC" w:rsidRDefault="005145FC" w:rsidP="00F9350D">
            <w:pPr>
              <w:spacing w:line="240" w:lineRule="auto"/>
              <w:rPr>
                <w:sz w:val="20"/>
                <w:szCs w:val="20"/>
              </w:rPr>
            </w:pPr>
          </w:p>
        </w:tc>
        <w:tc>
          <w:tcPr>
            <w:tcW w:w="3705" w:type="dxa"/>
            <w:tcMar>
              <w:top w:w="100" w:type="dxa"/>
              <w:left w:w="100" w:type="dxa"/>
              <w:bottom w:w="100" w:type="dxa"/>
              <w:right w:w="100" w:type="dxa"/>
            </w:tcMar>
          </w:tcPr>
          <w:p w14:paraId="65241104" w14:textId="77777777" w:rsidR="005145FC" w:rsidRDefault="005145FC" w:rsidP="00F9350D">
            <w:pPr>
              <w:spacing w:line="240" w:lineRule="auto"/>
              <w:jc w:val="center"/>
              <w:rPr>
                <w:b/>
                <w:i/>
                <w:sz w:val="20"/>
                <w:szCs w:val="20"/>
              </w:rPr>
            </w:pPr>
            <w:r>
              <w:rPr>
                <w:b/>
                <w:i/>
                <w:sz w:val="20"/>
                <w:szCs w:val="20"/>
              </w:rPr>
              <w:t xml:space="preserve">Inclusion </w:t>
            </w:r>
          </w:p>
        </w:tc>
        <w:tc>
          <w:tcPr>
            <w:tcW w:w="3570" w:type="dxa"/>
            <w:tcMar>
              <w:top w:w="100" w:type="dxa"/>
              <w:left w:w="100" w:type="dxa"/>
              <w:bottom w:w="100" w:type="dxa"/>
              <w:right w:w="100" w:type="dxa"/>
            </w:tcMar>
          </w:tcPr>
          <w:p w14:paraId="33ADC5AF" w14:textId="77777777" w:rsidR="005145FC" w:rsidRDefault="005145FC" w:rsidP="00F9350D">
            <w:pPr>
              <w:spacing w:line="240" w:lineRule="auto"/>
              <w:jc w:val="center"/>
              <w:rPr>
                <w:b/>
                <w:i/>
                <w:sz w:val="20"/>
                <w:szCs w:val="20"/>
              </w:rPr>
            </w:pPr>
            <w:r>
              <w:rPr>
                <w:b/>
                <w:i/>
                <w:sz w:val="20"/>
                <w:szCs w:val="20"/>
              </w:rPr>
              <w:t xml:space="preserve">Exclusion </w:t>
            </w:r>
          </w:p>
        </w:tc>
      </w:tr>
      <w:tr w:rsidR="005145FC" w14:paraId="34FAB287" w14:textId="77777777" w:rsidTr="00F9350D">
        <w:tc>
          <w:tcPr>
            <w:tcW w:w="2085" w:type="dxa"/>
            <w:tcMar>
              <w:top w:w="100" w:type="dxa"/>
              <w:left w:w="100" w:type="dxa"/>
              <w:bottom w:w="100" w:type="dxa"/>
              <w:right w:w="100" w:type="dxa"/>
            </w:tcMar>
          </w:tcPr>
          <w:p w14:paraId="1AB42E34" w14:textId="77777777" w:rsidR="005145FC" w:rsidRDefault="005145FC" w:rsidP="00F9350D">
            <w:pPr>
              <w:spacing w:line="240" w:lineRule="auto"/>
              <w:jc w:val="right"/>
              <w:rPr>
                <w:b/>
                <w:sz w:val="20"/>
                <w:szCs w:val="20"/>
              </w:rPr>
            </w:pPr>
            <w:r>
              <w:rPr>
                <w:b/>
                <w:sz w:val="20"/>
                <w:szCs w:val="20"/>
              </w:rPr>
              <w:t xml:space="preserve">Study Population / Sample </w:t>
            </w:r>
          </w:p>
        </w:tc>
        <w:tc>
          <w:tcPr>
            <w:tcW w:w="3705" w:type="dxa"/>
            <w:tcMar>
              <w:top w:w="100" w:type="dxa"/>
              <w:left w:w="100" w:type="dxa"/>
              <w:bottom w:w="100" w:type="dxa"/>
              <w:right w:w="100" w:type="dxa"/>
            </w:tcMar>
          </w:tcPr>
          <w:p w14:paraId="0D5D4A40" w14:textId="77777777" w:rsidR="005145FC" w:rsidRDefault="005145FC" w:rsidP="00F9350D">
            <w:pPr>
              <w:spacing w:line="240" w:lineRule="auto"/>
              <w:rPr>
                <w:sz w:val="20"/>
                <w:szCs w:val="20"/>
              </w:rPr>
            </w:pPr>
            <w:r>
              <w:rPr>
                <w:sz w:val="20"/>
                <w:szCs w:val="20"/>
              </w:rPr>
              <w:t>-All post wildfire risk management frameworks</w:t>
            </w:r>
          </w:p>
          <w:p w14:paraId="4EF6260E" w14:textId="77777777" w:rsidR="005145FC" w:rsidRDefault="005145FC" w:rsidP="00F9350D">
            <w:pPr>
              <w:spacing w:line="240" w:lineRule="auto"/>
              <w:rPr>
                <w:sz w:val="20"/>
                <w:szCs w:val="20"/>
              </w:rPr>
            </w:pPr>
            <w:r>
              <w:rPr>
                <w:sz w:val="20"/>
                <w:szCs w:val="20"/>
              </w:rPr>
              <w:t xml:space="preserve">-All post wildfire flood risk management frameworks </w:t>
            </w:r>
          </w:p>
          <w:p w14:paraId="541ED8C0" w14:textId="77777777" w:rsidR="005145FC" w:rsidRDefault="005145FC" w:rsidP="00F9350D">
            <w:pPr>
              <w:spacing w:line="240" w:lineRule="auto"/>
              <w:rPr>
                <w:sz w:val="20"/>
                <w:szCs w:val="20"/>
              </w:rPr>
            </w:pPr>
            <w:r>
              <w:rPr>
                <w:sz w:val="20"/>
                <w:szCs w:val="20"/>
              </w:rPr>
              <w:t xml:space="preserve">-Decision support strategies for wildfire management and/or flood management </w:t>
            </w:r>
          </w:p>
          <w:p w14:paraId="3E6E2CA5" w14:textId="77777777" w:rsidR="005145FC" w:rsidRDefault="005145FC" w:rsidP="00F9350D">
            <w:pPr>
              <w:spacing w:line="240" w:lineRule="auto"/>
              <w:rPr>
                <w:sz w:val="20"/>
                <w:szCs w:val="20"/>
              </w:rPr>
            </w:pPr>
            <w:r>
              <w:rPr>
                <w:sz w:val="20"/>
                <w:szCs w:val="20"/>
              </w:rPr>
              <w:t xml:space="preserve">-Post wildfire flood response strategies </w:t>
            </w:r>
          </w:p>
        </w:tc>
        <w:tc>
          <w:tcPr>
            <w:tcW w:w="3570" w:type="dxa"/>
            <w:tcMar>
              <w:top w:w="100" w:type="dxa"/>
              <w:left w:w="100" w:type="dxa"/>
              <w:bottom w:w="100" w:type="dxa"/>
              <w:right w:w="100" w:type="dxa"/>
            </w:tcMar>
          </w:tcPr>
          <w:p w14:paraId="23B38930" w14:textId="77777777" w:rsidR="005145FC" w:rsidRDefault="005145FC" w:rsidP="00F9350D">
            <w:pPr>
              <w:spacing w:line="240" w:lineRule="auto"/>
              <w:rPr>
                <w:sz w:val="20"/>
                <w:szCs w:val="20"/>
              </w:rPr>
            </w:pPr>
            <w:r>
              <w:rPr>
                <w:sz w:val="20"/>
                <w:szCs w:val="20"/>
              </w:rPr>
              <w:t xml:space="preserve">-Risk management and resilience frameworks and decision support tools, strategies, methodologies for non-fire or non-flood disasters </w:t>
            </w:r>
          </w:p>
          <w:p w14:paraId="39A2C8B6" w14:textId="77777777" w:rsidR="005145FC" w:rsidRDefault="005145FC" w:rsidP="00F9350D">
            <w:pPr>
              <w:spacing w:line="240" w:lineRule="auto"/>
              <w:rPr>
                <w:sz w:val="20"/>
                <w:szCs w:val="20"/>
              </w:rPr>
            </w:pPr>
            <w:r>
              <w:rPr>
                <w:sz w:val="20"/>
                <w:szCs w:val="20"/>
              </w:rPr>
              <w:t>-Studies that look only at coastal erosion and flood risk</w:t>
            </w:r>
          </w:p>
        </w:tc>
      </w:tr>
      <w:tr w:rsidR="005145FC" w14:paraId="50F4852F" w14:textId="77777777" w:rsidTr="00F9350D">
        <w:tc>
          <w:tcPr>
            <w:tcW w:w="2085" w:type="dxa"/>
            <w:tcMar>
              <w:top w:w="100" w:type="dxa"/>
              <w:left w:w="100" w:type="dxa"/>
              <w:bottom w:w="100" w:type="dxa"/>
              <w:right w:w="100" w:type="dxa"/>
            </w:tcMar>
          </w:tcPr>
          <w:p w14:paraId="109FB8AB" w14:textId="77777777" w:rsidR="005145FC" w:rsidRDefault="005145FC" w:rsidP="00F9350D">
            <w:pPr>
              <w:spacing w:line="240" w:lineRule="auto"/>
              <w:jc w:val="right"/>
              <w:rPr>
                <w:b/>
                <w:sz w:val="20"/>
                <w:szCs w:val="20"/>
              </w:rPr>
            </w:pPr>
            <w:r>
              <w:rPr>
                <w:b/>
                <w:sz w:val="20"/>
                <w:szCs w:val="20"/>
              </w:rPr>
              <w:t xml:space="preserve">Intervention / Exposure </w:t>
            </w:r>
          </w:p>
        </w:tc>
        <w:tc>
          <w:tcPr>
            <w:tcW w:w="3705" w:type="dxa"/>
            <w:tcMar>
              <w:top w:w="100" w:type="dxa"/>
              <w:left w:w="100" w:type="dxa"/>
              <w:bottom w:w="100" w:type="dxa"/>
              <w:right w:w="100" w:type="dxa"/>
            </w:tcMar>
          </w:tcPr>
          <w:p w14:paraId="5A7C2082" w14:textId="77777777" w:rsidR="005145FC" w:rsidRDefault="005145FC" w:rsidP="00F9350D">
            <w:pPr>
              <w:spacing w:line="240" w:lineRule="auto"/>
              <w:rPr>
                <w:sz w:val="20"/>
                <w:szCs w:val="20"/>
              </w:rPr>
            </w:pPr>
            <w:r>
              <w:rPr>
                <w:sz w:val="20"/>
                <w:szCs w:val="20"/>
              </w:rPr>
              <w:t xml:space="preserve">-All frameworks, policies, decision-making tools and methodologies for post-wildfire management and fire-related flood risk management </w:t>
            </w:r>
          </w:p>
        </w:tc>
        <w:tc>
          <w:tcPr>
            <w:tcW w:w="3570" w:type="dxa"/>
            <w:tcMar>
              <w:top w:w="100" w:type="dxa"/>
              <w:left w:w="100" w:type="dxa"/>
              <w:bottom w:w="100" w:type="dxa"/>
              <w:right w:w="100" w:type="dxa"/>
            </w:tcMar>
          </w:tcPr>
          <w:p w14:paraId="66F7F164" w14:textId="77777777" w:rsidR="005145FC" w:rsidRDefault="005145FC" w:rsidP="00F9350D">
            <w:pPr>
              <w:spacing w:line="240" w:lineRule="auto"/>
              <w:rPr>
                <w:sz w:val="20"/>
                <w:szCs w:val="20"/>
              </w:rPr>
            </w:pPr>
            <w:r>
              <w:rPr>
                <w:sz w:val="20"/>
                <w:szCs w:val="20"/>
              </w:rPr>
              <w:t>-Decision support systems, decision models, risk-based decision-making, and multi-criteria decision analysis (MCDA) that is not used to inform disaster response</w:t>
            </w:r>
          </w:p>
        </w:tc>
      </w:tr>
      <w:tr w:rsidR="005145FC" w14:paraId="0003FF6B" w14:textId="77777777" w:rsidTr="00F9350D">
        <w:tc>
          <w:tcPr>
            <w:tcW w:w="2085" w:type="dxa"/>
            <w:tcMar>
              <w:top w:w="100" w:type="dxa"/>
              <w:left w:w="100" w:type="dxa"/>
              <w:bottom w:w="100" w:type="dxa"/>
              <w:right w:w="100" w:type="dxa"/>
            </w:tcMar>
          </w:tcPr>
          <w:p w14:paraId="4FA63F94" w14:textId="77777777" w:rsidR="005145FC" w:rsidRDefault="005145FC" w:rsidP="00F9350D">
            <w:pPr>
              <w:spacing w:line="240" w:lineRule="auto"/>
              <w:jc w:val="right"/>
              <w:rPr>
                <w:b/>
                <w:sz w:val="20"/>
                <w:szCs w:val="20"/>
              </w:rPr>
            </w:pPr>
            <w:r>
              <w:rPr>
                <w:b/>
                <w:sz w:val="20"/>
                <w:szCs w:val="20"/>
              </w:rPr>
              <w:lastRenderedPageBreak/>
              <w:t xml:space="preserve">Comparator / Context </w:t>
            </w:r>
          </w:p>
        </w:tc>
        <w:tc>
          <w:tcPr>
            <w:tcW w:w="3705" w:type="dxa"/>
            <w:tcMar>
              <w:top w:w="100" w:type="dxa"/>
              <w:left w:w="100" w:type="dxa"/>
              <w:bottom w:w="100" w:type="dxa"/>
              <w:right w:w="100" w:type="dxa"/>
            </w:tcMar>
          </w:tcPr>
          <w:p w14:paraId="37E1F2FF" w14:textId="77777777" w:rsidR="005145FC" w:rsidRDefault="005145FC" w:rsidP="00F9350D">
            <w:pPr>
              <w:spacing w:line="240" w:lineRule="auto"/>
              <w:rPr>
                <w:sz w:val="20"/>
                <w:szCs w:val="20"/>
              </w:rPr>
            </w:pPr>
            <w:r>
              <w:rPr>
                <w:sz w:val="20"/>
                <w:szCs w:val="20"/>
              </w:rPr>
              <w:t xml:space="preserve">-Generalized frameworks, policies, and decision-making for post-wildfire management (not flood risk specific) </w:t>
            </w:r>
          </w:p>
          <w:p w14:paraId="7233FF7E" w14:textId="77777777" w:rsidR="005145FC" w:rsidRDefault="005145FC" w:rsidP="00F9350D">
            <w:pPr>
              <w:spacing w:line="240" w:lineRule="auto"/>
              <w:rPr>
                <w:sz w:val="20"/>
                <w:szCs w:val="20"/>
              </w:rPr>
            </w:pPr>
            <w:r>
              <w:rPr>
                <w:sz w:val="20"/>
                <w:szCs w:val="20"/>
              </w:rPr>
              <w:t>-Generalized frameworks, policies, and decision-making for flood resilience and risk management</w:t>
            </w:r>
          </w:p>
        </w:tc>
        <w:tc>
          <w:tcPr>
            <w:tcW w:w="3570" w:type="dxa"/>
            <w:tcMar>
              <w:top w:w="100" w:type="dxa"/>
              <w:left w:w="100" w:type="dxa"/>
              <w:bottom w:w="100" w:type="dxa"/>
              <w:right w:w="100" w:type="dxa"/>
            </w:tcMar>
          </w:tcPr>
          <w:p w14:paraId="4FDD8354" w14:textId="77777777" w:rsidR="005145FC" w:rsidRDefault="005145FC" w:rsidP="00F9350D">
            <w:pPr>
              <w:spacing w:line="240" w:lineRule="auto"/>
              <w:rPr>
                <w:sz w:val="20"/>
                <w:szCs w:val="20"/>
              </w:rPr>
            </w:pPr>
          </w:p>
        </w:tc>
      </w:tr>
      <w:tr w:rsidR="005145FC" w14:paraId="3817BC64" w14:textId="77777777" w:rsidTr="00F9350D">
        <w:tc>
          <w:tcPr>
            <w:tcW w:w="2085" w:type="dxa"/>
            <w:tcMar>
              <w:top w:w="100" w:type="dxa"/>
              <w:left w:w="100" w:type="dxa"/>
              <w:bottom w:w="100" w:type="dxa"/>
              <w:right w:w="100" w:type="dxa"/>
            </w:tcMar>
          </w:tcPr>
          <w:p w14:paraId="346A4D71" w14:textId="77777777" w:rsidR="005145FC" w:rsidRDefault="005145FC" w:rsidP="00F9350D">
            <w:pPr>
              <w:spacing w:line="240" w:lineRule="auto"/>
              <w:jc w:val="right"/>
              <w:rPr>
                <w:b/>
                <w:sz w:val="20"/>
                <w:szCs w:val="20"/>
              </w:rPr>
            </w:pPr>
            <w:r>
              <w:rPr>
                <w:b/>
                <w:sz w:val="20"/>
                <w:szCs w:val="20"/>
              </w:rPr>
              <w:t>Outcome</w:t>
            </w:r>
          </w:p>
        </w:tc>
        <w:tc>
          <w:tcPr>
            <w:tcW w:w="3705" w:type="dxa"/>
            <w:tcMar>
              <w:top w:w="100" w:type="dxa"/>
              <w:left w:w="100" w:type="dxa"/>
              <w:bottom w:w="100" w:type="dxa"/>
              <w:right w:w="100" w:type="dxa"/>
            </w:tcMar>
          </w:tcPr>
          <w:p w14:paraId="6D29A9E9" w14:textId="77777777" w:rsidR="005145FC" w:rsidRDefault="005145FC" w:rsidP="00F9350D">
            <w:pPr>
              <w:spacing w:line="240" w:lineRule="auto"/>
              <w:rPr>
                <w:sz w:val="20"/>
                <w:szCs w:val="20"/>
              </w:rPr>
            </w:pPr>
            <w:r>
              <w:rPr>
                <w:sz w:val="20"/>
                <w:szCs w:val="20"/>
              </w:rPr>
              <w:t>-Technical approaches to PWF</w:t>
            </w:r>
          </w:p>
          <w:p w14:paraId="726850B5" w14:textId="77777777" w:rsidR="005145FC" w:rsidRDefault="005145FC" w:rsidP="00F9350D">
            <w:pPr>
              <w:spacing w:line="240" w:lineRule="auto"/>
              <w:rPr>
                <w:sz w:val="20"/>
                <w:szCs w:val="20"/>
              </w:rPr>
            </w:pPr>
            <w:r>
              <w:rPr>
                <w:sz w:val="20"/>
                <w:szCs w:val="20"/>
              </w:rPr>
              <w:t xml:space="preserve">-Operational strategies for PWF </w:t>
            </w:r>
          </w:p>
          <w:p w14:paraId="26ED17FB" w14:textId="77777777" w:rsidR="005145FC" w:rsidRDefault="005145FC" w:rsidP="00F9350D">
            <w:pPr>
              <w:spacing w:line="240" w:lineRule="auto"/>
              <w:rPr>
                <w:sz w:val="20"/>
                <w:szCs w:val="20"/>
              </w:rPr>
            </w:pPr>
            <w:r>
              <w:rPr>
                <w:sz w:val="20"/>
                <w:szCs w:val="20"/>
              </w:rPr>
              <w:t>-Coordination mechanisms used in risk assessment, response, and recovery from PWF</w:t>
            </w:r>
          </w:p>
          <w:p w14:paraId="70BDC522" w14:textId="77777777" w:rsidR="005145FC" w:rsidRDefault="005145FC" w:rsidP="00F9350D">
            <w:pPr>
              <w:spacing w:line="240" w:lineRule="auto"/>
              <w:rPr>
                <w:sz w:val="20"/>
                <w:szCs w:val="20"/>
              </w:rPr>
            </w:pPr>
            <w:r>
              <w:rPr>
                <w:sz w:val="20"/>
                <w:szCs w:val="20"/>
              </w:rPr>
              <w:t xml:space="preserve">-Effectiveness of existing methodologies (i.e., response time, response efficiency, recovery time, preparedness success, disaster damage, resource </w:t>
            </w:r>
            <w:proofErr w:type="gramStart"/>
            <w:r>
              <w:rPr>
                <w:sz w:val="20"/>
                <w:szCs w:val="20"/>
              </w:rPr>
              <w:t xml:space="preserve">allocation)   </w:t>
            </w:r>
            <w:proofErr w:type="gramEnd"/>
          </w:p>
        </w:tc>
        <w:tc>
          <w:tcPr>
            <w:tcW w:w="3570" w:type="dxa"/>
            <w:tcMar>
              <w:top w:w="100" w:type="dxa"/>
              <w:left w:w="100" w:type="dxa"/>
              <w:bottom w:w="100" w:type="dxa"/>
              <w:right w:w="100" w:type="dxa"/>
            </w:tcMar>
          </w:tcPr>
          <w:p w14:paraId="3B409819" w14:textId="77777777" w:rsidR="005145FC" w:rsidRDefault="005145FC" w:rsidP="00F9350D">
            <w:pPr>
              <w:spacing w:line="240" w:lineRule="auto"/>
              <w:rPr>
                <w:sz w:val="20"/>
                <w:szCs w:val="20"/>
              </w:rPr>
            </w:pPr>
          </w:p>
        </w:tc>
      </w:tr>
      <w:tr w:rsidR="005145FC" w14:paraId="4661CE3E" w14:textId="77777777" w:rsidTr="00F9350D">
        <w:tc>
          <w:tcPr>
            <w:tcW w:w="2085" w:type="dxa"/>
            <w:tcMar>
              <w:top w:w="100" w:type="dxa"/>
              <w:left w:w="100" w:type="dxa"/>
              <w:bottom w:w="100" w:type="dxa"/>
              <w:right w:w="100" w:type="dxa"/>
            </w:tcMar>
          </w:tcPr>
          <w:p w14:paraId="01A322D8" w14:textId="77777777" w:rsidR="005145FC" w:rsidRDefault="005145FC" w:rsidP="00F9350D">
            <w:pPr>
              <w:spacing w:line="240" w:lineRule="auto"/>
              <w:jc w:val="right"/>
              <w:rPr>
                <w:b/>
                <w:sz w:val="20"/>
                <w:szCs w:val="20"/>
              </w:rPr>
            </w:pPr>
            <w:r>
              <w:rPr>
                <w:b/>
                <w:sz w:val="20"/>
                <w:szCs w:val="20"/>
              </w:rPr>
              <w:t>Study Characteristics</w:t>
            </w:r>
          </w:p>
        </w:tc>
        <w:tc>
          <w:tcPr>
            <w:tcW w:w="3705" w:type="dxa"/>
            <w:tcMar>
              <w:top w:w="100" w:type="dxa"/>
              <w:left w:w="100" w:type="dxa"/>
              <w:bottom w:w="100" w:type="dxa"/>
              <w:right w:w="100" w:type="dxa"/>
            </w:tcMar>
          </w:tcPr>
          <w:p w14:paraId="6A7C7C20" w14:textId="77777777" w:rsidR="005145FC" w:rsidRDefault="005145FC" w:rsidP="00F9350D">
            <w:pPr>
              <w:spacing w:line="240" w:lineRule="auto"/>
              <w:rPr>
                <w:sz w:val="20"/>
                <w:szCs w:val="20"/>
              </w:rPr>
            </w:pPr>
            <w:r>
              <w:rPr>
                <w:sz w:val="20"/>
                <w:szCs w:val="20"/>
              </w:rPr>
              <w:t>-Published on or after the year 2000</w:t>
            </w:r>
          </w:p>
          <w:p w14:paraId="44B2D8A7" w14:textId="77777777" w:rsidR="005145FC" w:rsidRDefault="005145FC" w:rsidP="00F9350D">
            <w:pPr>
              <w:spacing w:line="240" w:lineRule="auto"/>
              <w:rPr>
                <w:sz w:val="20"/>
                <w:szCs w:val="20"/>
              </w:rPr>
            </w:pPr>
            <w:r>
              <w:rPr>
                <w:sz w:val="20"/>
                <w:szCs w:val="20"/>
              </w:rPr>
              <w:t xml:space="preserve">-All study designs </w:t>
            </w:r>
          </w:p>
          <w:p w14:paraId="1C2E5BBB" w14:textId="77777777" w:rsidR="005145FC" w:rsidRDefault="005145FC" w:rsidP="00F9350D">
            <w:pPr>
              <w:spacing w:line="240" w:lineRule="auto"/>
              <w:rPr>
                <w:sz w:val="20"/>
                <w:szCs w:val="20"/>
              </w:rPr>
            </w:pPr>
            <w:r>
              <w:rPr>
                <w:sz w:val="20"/>
                <w:szCs w:val="20"/>
              </w:rPr>
              <w:t xml:space="preserve">-All international studies </w:t>
            </w:r>
          </w:p>
        </w:tc>
        <w:tc>
          <w:tcPr>
            <w:tcW w:w="3570" w:type="dxa"/>
            <w:tcMar>
              <w:top w:w="100" w:type="dxa"/>
              <w:left w:w="100" w:type="dxa"/>
              <w:bottom w:w="100" w:type="dxa"/>
              <w:right w:w="100" w:type="dxa"/>
            </w:tcMar>
          </w:tcPr>
          <w:p w14:paraId="3981DF57" w14:textId="77777777" w:rsidR="005145FC" w:rsidRDefault="005145FC" w:rsidP="00F9350D">
            <w:pPr>
              <w:spacing w:line="240" w:lineRule="auto"/>
              <w:rPr>
                <w:sz w:val="20"/>
                <w:szCs w:val="20"/>
              </w:rPr>
            </w:pPr>
            <w:r>
              <w:rPr>
                <w:sz w:val="20"/>
                <w:szCs w:val="20"/>
              </w:rPr>
              <w:t xml:space="preserve">-Published in 1999 or earlier  </w:t>
            </w:r>
          </w:p>
        </w:tc>
      </w:tr>
      <w:tr w:rsidR="005145FC" w14:paraId="54499395" w14:textId="77777777" w:rsidTr="00F9350D">
        <w:tc>
          <w:tcPr>
            <w:tcW w:w="2085" w:type="dxa"/>
            <w:tcMar>
              <w:top w:w="100" w:type="dxa"/>
              <w:left w:w="100" w:type="dxa"/>
              <w:bottom w:w="100" w:type="dxa"/>
              <w:right w:w="100" w:type="dxa"/>
            </w:tcMar>
          </w:tcPr>
          <w:p w14:paraId="3131FEDC" w14:textId="77777777" w:rsidR="005145FC" w:rsidRDefault="005145FC" w:rsidP="00F9350D">
            <w:pPr>
              <w:spacing w:line="240" w:lineRule="auto"/>
              <w:jc w:val="right"/>
              <w:rPr>
                <w:b/>
                <w:sz w:val="20"/>
                <w:szCs w:val="20"/>
              </w:rPr>
            </w:pPr>
            <w:r>
              <w:rPr>
                <w:b/>
                <w:sz w:val="20"/>
                <w:szCs w:val="20"/>
              </w:rPr>
              <w:t>Other</w:t>
            </w:r>
          </w:p>
        </w:tc>
        <w:tc>
          <w:tcPr>
            <w:tcW w:w="3705" w:type="dxa"/>
            <w:tcMar>
              <w:top w:w="100" w:type="dxa"/>
              <w:left w:w="100" w:type="dxa"/>
              <w:bottom w:w="100" w:type="dxa"/>
              <w:right w:w="100" w:type="dxa"/>
            </w:tcMar>
          </w:tcPr>
          <w:p w14:paraId="660B0BB2" w14:textId="77777777" w:rsidR="005145FC" w:rsidRDefault="005145FC" w:rsidP="00F9350D">
            <w:pPr>
              <w:spacing w:line="240" w:lineRule="auto"/>
              <w:rPr>
                <w:sz w:val="20"/>
                <w:szCs w:val="20"/>
              </w:rPr>
            </w:pPr>
            <w:r>
              <w:rPr>
                <w:sz w:val="20"/>
                <w:szCs w:val="20"/>
              </w:rPr>
              <w:t xml:space="preserve">-English-language only </w:t>
            </w:r>
          </w:p>
        </w:tc>
        <w:tc>
          <w:tcPr>
            <w:tcW w:w="3570" w:type="dxa"/>
            <w:tcMar>
              <w:top w:w="100" w:type="dxa"/>
              <w:left w:w="100" w:type="dxa"/>
              <w:bottom w:w="100" w:type="dxa"/>
              <w:right w:w="100" w:type="dxa"/>
            </w:tcMar>
          </w:tcPr>
          <w:p w14:paraId="50CC9A55" w14:textId="77777777" w:rsidR="005145FC" w:rsidRDefault="005145FC" w:rsidP="00F9350D">
            <w:pPr>
              <w:spacing w:line="240" w:lineRule="auto"/>
              <w:rPr>
                <w:sz w:val="20"/>
                <w:szCs w:val="20"/>
              </w:rPr>
            </w:pPr>
          </w:p>
        </w:tc>
      </w:tr>
    </w:tbl>
    <w:p w14:paraId="25AF99C4" w14:textId="77777777" w:rsidR="005145FC" w:rsidRDefault="005145FC" w:rsidP="005145FC">
      <w:pPr>
        <w:rPr>
          <w:b/>
        </w:rPr>
      </w:pPr>
    </w:p>
    <w:p w14:paraId="5CAAB77D" w14:textId="77777777" w:rsidR="005145FC" w:rsidRDefault="005145FC" w:rsidP="005145FC">
      <w:pPr>
        <w:rPr>
          <w:b/>
        </w:rPr>
      </w:pPr>
    </w:p>
    <w:p w14:paraId="1C4E1499" w14:textId="77777777" w:rsidR="005145FC" w:rsidRDefault="005145FC" w:rsidP="005145FC">
      <w:pPr>
        <w:rPr>
          <w:strike/>
        </w:rPr>
      </w:pPr>
      <w:bookmarkStart w:id="0" w:name="_sywmwk4uc02y" w:colFirst="0" w:colLast="0"/>
      <w:bookmarkEnd w:id="0"/>
    </w:p>
    <w:p w14:paraId="7A78F16B" w14:textId="77777777" w:rsidR="005145FC" w:rsidRDefault="005145FC" w:rsidP="005145FC">
      <w:pPr>
        <w:rPr>
          <w:strike/>
        </w:rPr>
      </w:pPr>
    </w:p>
    <w:p w14:paraId="0CD28CC9" w14:textId="77777777" w:rsidR="005145FC" w:rsidRDefault="005145FC" w:rsidP="005145FC">
      <w:pPr>
        <w:rPr>
          <w:strike/>
        </w:rPr>
      </w:pPr>
    </w:p>
    <w:p w14:paraId="046FB8B1" w14:textId="77777777" w:rsidR="005145FC" w:rsidRDefault="005145FC" w:rsidP="005145FC"/>
    <w:p w14:paraId="4D0CFE38" w14:textId="77777777" w:rsidR="005145FC" w:rsidRDefault="005145FC" w:rsidP="005145FC"/>
    <w:p w14:paraId="068192B9" w14:textId="77777777" w:rsidR="005145FC" w:rsidRDefault="005145FC" w:rsidP="005145FC"/>
    <w:p w14:paraId="33E677A8" w14:textId="77777777" w:rsidR="005145FC" w:rsidRDefault="005145FC" w:rsidP="005145FC"/>
    <w:p w14:paraId="2B894791" w14:textId="77777777" w:rsidR="005145FC" w:rsidRDefault="005145FC" w:rsidP="005145FC"/>
    <w:p w14:paraId="4C8B4FDB" w14:textId="77777777" w:rsidR="005145FC" w:rsidRDefault="005145FC" w:rsidP="005145FC"/>
    <w:p w14:paraId="40197E40" w14:textId="77777777" w:rsidR="009A6ABF" w:rsidRDefault="009A6ABF"/>
    <w:sectPr w:rsidR="009A6ABF" w:rsidSect="005145FC">
      <w:footerReference w:type="default" r:id="rId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57A8" w14:textId="77777777" w:rsidR="005145FC" w:rsidRDefault="005145FC">
    <w:pPr>
      <w:jc w:val="right"/>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FC"/>
    <w:rsid w:val="00110449"/>
    <w:rsid w:val="002B2B40"/>
    <w:rsid w:val="005145FC"/>
    <w:rsid w:val="005715A4"/>
    <w:rsid w:val="007975D0"/>
    <w:rsid w:val="009A6ABF"/>
    <w:rsid w:val="00BF4306"/>
    <w:rsid w:val="00ED1000"/>
    <w:rsid w:val="00EE09BC"/>
    <w:rsid w:val="00FF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9B3F0E"/>
  <w15:chartTrackingRefBased/>
  <w15:docId w15:val="{3BA0371D-6468-8947-80F0-23D633DF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FC"/>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145F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145F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145F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145F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145F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145F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145F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145F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145F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FC"/>
    <w:rPr>
      <w:rFonts w:eastAsiaTheme="majorEastAsia" w:cstheme="majorBidi"/>
      <w:color w:val="272727" w:themeColor="text1" w:themeTint="D8"/>
    </w:rPr>
  </w:style>
  <w:style w:type="paragraph" w:styleId="Title">
    <w:name w:val="Title"/>
    <w:basedOn w:val="Normal"/>
    <w:next w:val="Normal"/>
    <w:link w:val="TitleChar"/>
    <w:uiPriority w:val="10"/>
    <w:qFormat/>
    <w:rsid w:val="005145F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14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5F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145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F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145FC"/>
    <w:rPr>
      <w:i/>
      <w:iCs/>
      <w:color w:val="404040" w:themeColor="text1" w:themeTint="BF"/>
    </w:rPr>
  </w:style>
  <w:style w:type="paragraph" w:styleId="ListParagraph">
    <w:name w:val="List Paragraph"/>
    <w:basedOn w:val="Normal"/>
    <w:uiPriority w:val="34"/>
    <w:qFormat/>
    <w:rsid w:val="005145FC"/>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145FC"/>
    <w:rPr>
      <w:i/>
      <w:iCs/>
      <w:color w:val="0F4761" w:themeColor="accent1" w:themeShade="BF"/>
    </w:rPr>
  </w:style>
  <w:style w:type="paragraph" w:styleId="IntenseQuote">
    <w:name w:val="Intense Quote"/>
    <w:basedOn w:val="Normal"/>
    <w:next w:val="Normal"/>
    <w:link w:val="IntenseQuoteChar"/>
    <w:uiPriority w:val="30"/>
    <w:qFormat/>
    <w:rsid w:val="005145F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145FC"/>
    <w:rPr>
      <w:i/>
      <w:iCs/>
      <w:color w:val="0F4761" w:themeColor="accent1" w:themeShade="BF"/>
    </w:rPr>
  </w:style>
  <w:style w:type="character" w:styleId="IntenseReference">
    <w:name w:val="Intense Reference"/>
    <w:basedOn w:val="DefaultParagraphFont"/>
    <w:uiPriority w:val="32"/>
    <w:qFormat/>
    <w:rsid w:val="005145FC"/>
    <w:rPr>
      <w:b/>
      <w:bCs/>
      <w:smallCaps/>
      <w:color w:val="0F4761" w:themeColor="accent1" w:themeShade="BF"/>
      <w:spacing w:val="5"/>
    </w:rPr>
  </w:style>
  <w:style w:type="table" w:customStyle="1" w:styleId="3">
    <w:name w:val="3"/>
    <w:basedOn w:val="TableNormal"/>
    <w:rsid w:val="005145FC"/>
    <w:pPr>
      <w:spacing w:after="0" w:line="276" w:lineRule="auto"/>
    </w:pPr>
    <w:rPr>
      <w:rFonts w:ascii="Arial" w:eastAsia="Arial" w:hAnsi="Arial" w:cs="Arial"/>
      <w:kern w:val="0"/>
      <w:sz w:val="22"/>
      <w:szCs w:val="22"/>
      <w:lang w:val="en"/>
      <w14:ligatures w14:val="none"/>
    </w:rPr>
    <w:tblPr>
      <w:tblStyleRowBandSize w:val="1"/>
      <w:tblStyleColBandSize w:val="1"/>
      <w:tblInd w:w="0" w:type="nil"/>
      <w:tblCellMar>
        <w:top w:w="100" w:type="dxa"/>
        <w:left w:w="100" w:type="dxa"/>
        <w:bottom w:w="100" w:type="dxa"/>
        <w:right w:w="100" w:type="dxa"/>
      </w:tblCellMar>
    </w:tblPr>
  </w:style>
  <w:style w:type="table" w:customStyle="1" w:styleId="2">
    <w:name w:val="2"/>
    <w:basedOn w:val="TableNormal"/>
    <w:rsid w:val="005145FC"/>
    <w:pPr>
      <w:spacing w:after="0" w:line="276" w:lineRule="auto"/>
    </w:pPr>
    <w:rPr>
      <w:rFonts w:ascii="Arial" w:eastAsia="Arial" w:hAnsi="Arial" w:cs="Arial"/>
      <w:kern w:val="0"/>
      <w:sz w:val="22"/>
      <w:szCs w:val="22"/>
      <w:lang w:val="en"/>
      <w14:ligatures w14:val="none"/>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1139</Words>
  <Characters>6495</Characters>
  <Application>Microsoft Office Word</Application>
  <DocSecurity>0</DocSecurity>
  <Lines>54</Lines>
  <Paragraphs>15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Galaitsi</dc:creator>
  <cp:keywords/>
  <dc:description/>
  <cp:lastModifiedBy>Stephanie Galaitsi</cp:lastModifiedBy>
  <cp:revision>1</cp:revision>
  <dcterms:created xsi:type="dcterms:W3CDTF">2026-01-05T17:12:00Z</dcterms:created>
  <dcterms:modified xsi:type="dcterms:W3CDTF">2026-01-05T17:13:00Z</dcterms:modified>
</cp:coreProperties>
</file>