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sz w:val="26"/>
        </w:rPr>
        <w:t>Online Resource 4</w:t>
      </w:r>
    </w:p>
    <w:p>
      <w:pPr>
        <w:spacing w:after="280"/>
      </w:pPr>
      <w:r>
        <w:rPr>
          <w:b/>
          <w:sz w:val="22"/>
        </w:rPr>
        <w:t>Inter-rater reliability documentation</w:t>
      </w:r>
    </w:p>
    <w:p>
      <w:pPr>
        <w:spacing w:after="280"/>
      </w:pPr>
      <w:r>
        <w:rPr>
          <w:i/>
          <w:sz w:val="18"/>
        </w:rPr>
        <w:t>Manuscript: "Institutional detection of unlabelled value misalignment in early employment: Evidence from cross-format triangulation"</w:t>
        <w:br/>
        <w:t>Journal: Employee Responsibilities and Rights Journal</w:t>
      </w:r>
    </w:p>
    <w:p>
      <w:pPr>
        <w:keepNext/>
        <w:spacing w:before="240" w:after="120"/>
      </w:pPr>
      <w:r>
        <w:rPr>
          <w:b/>
          <w:sz w:val="24"/>
        </w:rPr>
        <w:t>Procedure</w:t>
      </w:r>
    </w:p>
    <w:p>
      <w:pPr>
        <w:spacing w:after="120"/>
        <w:ind w:firstLine="283"/>
      </w:pPr>
      <w:r>
        <w:rPr>
          <w:sz w:val="20"/>
        </w:rPr>
        <w:t>To assess the reliability of the binary narrative indicator NARR_VALUE_MISALIGN, a random subsample of n = 70 substantive narratives was drawn from the NARR_PROVIDED set (n = 159). Selection was performed via pseudo-random sampling with a fixed seed to enable exact reproducibility. The subsample was independently coded by a second coder who held a doctoral degree, was methodologically experienced in qualitative content analysis, and was unaffiliated with the substantive design of the study.</w:t>
      </w:r>
    </w:p>
    <w:p>
      <w:pPr>
        <w:spacing w:after="120"/>
        <w:ind w:firstLine="283"/>
      </w:pPr>
      <w:r>
        <w:rPr>
          <w:sz w:val="20"/>
        </w:rPr>
        <w:t>The second coder received: (i) the finalised codebook (Online Resource 2); (ii) a written briefing on the codebook's application; (iii) the 70-narrative subsample with respondent identifiers, in the same form in which it had been presented to the primary coder, but without the primary coder's codes. Coding was performed independently against the same codebook. Reliability statistics were computed on n = 69 narratives returning a valid binary code from both coders; one narrative returning an ambiguous binary code at the second-coder stage was excluded from the reliability computation but retained in the analytical dataset under the primary coder's final reconciled code.</w:t>
      </w:r>
    </w:p>
    <w:p>
      <w:pPr>
        <w:keepNext/>
        <w:spacing w:before="240" w:after="120"/>
      </w:pPr>
      <w:r>
        <w:rPr>
          <w:b/>
          <w:sz w:val="24"/>
        </w:rPr>
        <w:t>Reliability statistics</w:t>
      </w:r>
    </w:p>
    <w:p>
      <w:pPr>
        <w:keepNext/>
        <w:spacing w:before="160" w:after="80"/>
      </w:pPr>
      <w:r>
        <w:rPr>
          <w:b/>
          <w:sz w:val="20"/>
        </w:rPr>
        <w:t>Table OR4.1 Inter-rater reliability statistics for NARR_VALUE_MISALIGN (n = 69)</w:t>
      </w:r>
    </w:p>
    <w:tbl>
      <w:tblPr>
        <w:tblStyle w:val="TableGrid"/>
        <w:tblW w:type="auto" w:w="0"/>
        <w:tblLook w:firstColumn="1" w:firstRow="1" w:lastColumn="0" w:lastRow="0" w:noHBand="0" w:noVBand="1" w:val="04A0"/>
      </w:tblPr>
      <w:tblGrid>
        <w:gridCol w:w="4703"/>
        <w:gridCol w:w="4703"/>
      </w:tblGrid>
      <w:tr>
        <w:tc>
          <w:tcPr>
            <w:tcW w:type="dxa" w:w="4703"/>
          </w:tcPr>
          <w:p>
            <w:r/>
            <w:r>
              <w:rPr>
                <w:b/>
                <w:sz w:val="18"/>
              </w:rPr>
              <w:t>Statistic</w:t>
            </w:r>
          </w:p>
        </w:tc>
        <w:tc>
          <w:tcPr>
            <w:tcW w:type="dxa" w:w="4703"/>
          </w:tcPr>
          <w:p>
            <w:r/>
            <w:r>
              <w:rPr>
                <w:b/>
                <w:sz w:val="18"/>
              </w:rPr>
              <w:t>Value</w:t>
            </w:r>
          </w:p>
        </w:tc>
      </w:tr>
      <w:tr>
        <w:tc>
          <w:tcPr>
            <w:tcW w:type="dxa" w:w="4703"/>
          </w:tcPr>
          <w:p>
            <w:r/>
            <w:r>
              <w:rPr>
                <w:sz w:val="18"/>
              </w:rPr>
              <w:t>Raw (percentage) agreement</w:t>
            </w:r>
          </w:p>
        </w:tc>
        <w:tc>
          <w:tcPr>
            <w:tcW w:type="dxa" w:w="4703"/>
          </w:tcPr>
          <w:p>
            <w:r/>
            <w:r>
              <w:rPr>
                <w:sz w:val="18"/>
              </w:rPr>
              <w:t>81.2%</w:t>
            </w:r>
          </w:p>
        </w:tc>
      </w:tr>
      <w:tr>
        <w:tc>
          <w:tcPr>
            <w:tcW w:type="dxa" w:w="4703"/>
          </w:tcPr>
          <w:p>
            <w:r/>
            <w:r>
              <w:rPr>
                <w:sz w:val="18"/>
              </w:rPr>
              <w:t>Cohen's κ</w:t>
            </w:r>
          </w:p>
        </w:tc>
        <w:tc>
          <w:tcPr>
            <w:tcW w:type="dxa" w:w="4703"/>
          </w:tcPr>
          <w:p>
            <w:r/>
            <w:r>
              <w:rPr>
                <w:sz w:val="18"/>
              </w:rPr>
              <w:t>.593 (moderate; Landis &amp; Koch, 1977)</w:t>
            </w:r>
          </w:p>
        </w:tc>
      </w:tr>
      <w:tr>
        <w:tc>
          <w:tcPr>
            <w:tcW w:type="dxa" w:w="4703"/>
          </w:tcPr>
          <w:p>
            <w:r/>
            <w:r>
              <w:rPr>
                <w:sz w:val="18"/>
              </w:rPr>
              <w:t>Gwet's AC1</w:t>
            </w:r>
          </w:p>
        </w:tc>
        <w:tc>
          <w:tcPr>
            <w:tcW w:type="dxa" w:w="4703"/>
          </w:tcPr>
          <w:p>
            <w:r/>
            <w:r>
              <w:rPr>
                <w:sz w:val="18"/>
              </w:rPr>
              <w:t>.652 (Gwet, 2008)</w:t>
            </w:r>
          </w:p>
        </w:tc>
      </w:tr>
    </w:tbl>
    <w:p>
      <w:pPr>
        <w:spacing w:before="40" w:after="200"/>
      </w:pPr>
      <w:r>
        <w:rPr>
          <w:i/>
          <w:sz w:val="18"/>
        </w:rPr>
        <w:t xml:space="preserve">Note. </w:t>
      </w:r>
      <w:r>
        <w:rPr>
          <w:sz w:val="18"/>
        </w:rPr>
        <w:t>Gwet's AC1 is reported alongside Cohen's κ as a prevalence-robust complement, given documented deflation of κ under low base rates of the positive code (Feinstein &amp; Cicchetti, 1990; Byrt et al., 1993). All three statistics indicate substantively consistent reliability for the binary indicator.</w:t>
      </w:r>
    </w:p>
    <w:p>
      <w:pPr>
        <w:keepNext/>
        <w:spacing w:before="240" w:after="120"/>
      </w:pPr>
      <w:r>
        <w:rPr>
          <w:b/>
          <w:sz w:val="24"/>
        </w:rPr>
        <w:t>Confusion matrix</w:t>
      </w:r>
    </w:p>
    <w:p>
      <w:pPr>
        <w:keepNext/>
        <w:spacing w:before="160" w:after="80"/>
      </w:pPr>
      <w:r>
        <w:rPr>
          <w:b/>
          <w:sz w:val="20"/>
        </w:rPr>
        <w:t>Table OR4.2 Confusion matrix — primary coder × independent second coder (n = 69)</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
              <w:rPr>
                <w:b/>
                <w:sz w:val="18"/>
              </w:rPr>
            </w:r>
          </w:p>
        </w:tc>
        <w:tc>
          <w:tcPr>
            <w:tcW w:type="dxa" w:w="2351"/>
          </w:tcPr>
          <w:p>
            <w:r/>
            <w:r>
              <w:rPr>
                <w:b/>
                <w:sz w:val="18"/>
              </w:rPr>
              <w:t>Second coder = 0</w:t>
            </w:r>
          </w:p>
        </w:tc>
        <w:tc>
          <w:tcPr>
            <w:tcW w:type="dxa" w:w="2351"/>
          </w:tcPr>
          <w:p>
            <w:r/>
            <w:r>
              <w:rPr>
                <w:b/>
                <w:sz w:val="18"/>
              </w:rPr>
              <w:t>Second coder = 1</w:t>
            </w:r>
          </w:p>
        </w:tc>
        <w:tc>
          <w:tcPr>
            <w:tcW w:type="dxa" w:w="2351"/>
          </w:tcPr>
          <w:p>
            <w:r/>
            <w:r>
              <w:rPr>
                <w:b/>
                <w:sz w:val="18"/>
              </w:rPr>
              <w:t>Row total</w:t>
            </w:r>
          </w:p>
        </w:tc>
      </w:tr>
      <w:tr>
        <w:tc>
          <w:tcPr>
            <w:tcW w:type="dxa" w:w="2351"/>
          </w:tcPr>
          <w:p>
            <w:r/>
            <w:r>
              <w:rPr>
                <w:sz w:val="18"/>
              </w:rPr>
              <w:t>Primary coder = 0</w:t>
            </w:r>
          </w:p>
        </w:tc>
        <w:tc>
          <w:tcPr>
            <w:tcW w:type="dxa" w:w="2351"/>
          </w:tcPr>
          <w:p>
            <w:r/>
            <w:r>
              <w:rPr>
                <w:sz w:val="18"/>
              </w:rPr>
              <w:t>38</w:t>
            </w:r>
          </w:p>
        </w:tc>
        <w:tc>
          <w:tcPr>
            <w:tcW w:type="dxa" w:w="2351"/>
          </w:tcPr>
          <w:p>
            <w:r/>
            <w:r>
              <w:rPr>
                <w:sz w:val="18"/>
              </w:rPr>
              <w:t>3</w:t>
            </w:r>
          </w:p>
        </w:tc>
        <w:tc>
          <w:tcPr>
            <w:tcW w:type="dxa" w:w="2351"/>
          </w:tcPr>
          <w:p>
            <w:r/>
            <w:r>
              <w:rPr>
                <w:sz w:val="18"/>
              </w:rPr>
              <w:t>41</w:t>
            </w:r>
          </w:p>
        </w:tc>
      </w:tr>
      <w:tr>
        <w:tc>
          <w:tcPr>
            <w:tcW w:type="dxa" w:w="2351"/>
          </w:tcPr>
          <w:p>
            <w:r/>
            <w:r>
              <w:rPr>
                <w:sz w:val="18"/>
              </w:rPr>
              <w:t>Primary coder = 1</w:t>
            </w:r>
          </w:p>
        </w:tc>
        <w:tc>
          <w:tcPr>
            <w:tcW w:type="dxa" w:w="2351"/>
          </w:tcPr>
          <w:p>
            <w:r/>
            <w:r>
              <w:rPr>
                <w:sz w:val="18"/>
              </w:rPr>
              <w:t>10</w:t>
            </w:r>
          </w:p>
        </w:tc>
        <w:tc>
          <w:tcPr>
            <w:tcW w:type="dxa" w:w="2351"/>
          </w:tcPr>
          <w:p>
            <w:r/>
            <w:r>
              <w:rPr>
                <w:sz w:val="18"/>
              </w:rPr>
              <w:t>18</w:t>
            </w:r>
          </w:p>
        </w:tc>
        <w:tc>
          <w:tcPr>
            <w:tcW w:type="dxa" w:w="2351"/>
          </w:tcPr>
          <w:p>
            <w:r/>
            <w:r>
              <w:rPr>
                <w:sz w:val="18"/>
              </w:rPr>
              <w:t>28</w:t>
            </w:r>
          </w:p>
        </w:tc>
      </w:tr>
      <w:tr>
        <w:tc>
          <w:tcPr>
            <w:tcW w:type="dxa" w:w="2351"/>
          </w:tcPr>
          <w:p>
            <w:r/>
            <w:r>
              <w:rPr>
                <w:sz w:val="18"/>
              </w:rPr>
              <w:t>Column total</w:t>
            </w:r>
          </w:p>
        </w:tc>
        <w:tc>
          <w:tcPr>
            <w:tcW w:type="dxa" w:w="2351"/>
          </w:tcPr>
          <w:p>
            <w:r/>
            <w:r>
              <w:rPr>
                <w:sz w:val="18"/>
              </w:rPr>
              <w:t>48</w:t>
            </w:r>
          </w:p>
        </w:tc>
        <w:tc>
          <w:tcPr>
            <w:tcW w:type="dxa" w:w="2351"/>
          </w:tcPr>
          <w:p>
            <w:r/>
            <w:r>
              <w:rPr>
                <w:sz w:val="18"/>
              </w:rPr>
              <w:t>21</w:t>
            </w:r>
          </w:p>
        </w:tc>
        <w:tc>
          <w:tcPr>
            <w:tcW w:type="dxa" w:w="2351"/>
          </w:tcPr>
          <w:p>
            <w:r/>
            <w:r>
              <w:rPr>
                <w:sz w:val="18"/>
              </w:rPr>
              <w:t>69</w:t>
            </w:r>
          </w:p>
        </w:tc>
      </w:tr>
    </w:tbl>
    <w:p>
      <w:pPr>
        <w:spacing w:before="40" w:after="200"/>
      </w:pPr>
      <w:r>
        <w:rPr>
          <w:i/>
          <w:sz w:val="18"/>
        </w:rPr>
        <w:t xml:space="preserve">Note. </w:t>
      </w:r>
      <w:r>
        <w:rPr>
          <w:sz w:val="18"/>
        </w:rPr>
        <w:t>Eighteen narratives were coded 1 by both coders; thirty-eight were coded 0 by both. Disagreements (n = 13) divided directionally: ten reflected the primary coder applying a broader, relational reading while the independent coder adhered more strictly to explicit normative markers (primary = 1, second = 0); three reflected the inverse (primary = 0, second = 1).</w:t>
      </w:r>
    </w:p>
    <w:p>
      <w:pPr>
        <w:keepNext/>
        <w:spacing w:before="240" w:after="120"/>
      </w:pPr>
      <w:r>
        <w:rPr>
          <w:b/>
          <w:sz w:val="24"/>
        </w:rPr>
        <w:t>Disagreement cases and resolution</w:t>
      </w:r>
    </w:p>
    <w:p>
      <w:pPr>
        <w:spacing w:after="120"/>
        <w:ind w:firstLine="283"/>
      </w:pPr>
      <w:r>
        <w:rPr>
          <w:sz w:val="20"/>
        </w:rPr>
        <w:t>Table OR4.3 lists the thirteen disagreement cases by anonymised respondent identifier (LP), their pre-resolution codes from each coder, and the final reconciled code following structured discussion against the codebook's decision rules. The reconciled codes are used in subsequent analyses, while the reliability statistics in Table OR4.1 reflect the independent codings prior to reconciliation.</w:t>
      </w:r>
    </w:p>
    <w:p>
      <w:pPr>
        <w:keepNext/>
        <w:spacing w:before="160" w:after="80"/>
      </w:pPr>
      <w:r>
        <w:rPr>
          <w:b/>
          <w:sz w:val="20"/>
        </w:rPr>
        <w:t>Table OR4.3 Disagreement cases and reconciliation outcomes (n = 13)</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tcPr>
          <w:p>
            <w:r/>
            <w:r>
              <w:rPr>
                <w:b/>
                <w:sz w:val="18"/>
              </w:rPr>
              <w:t>LP</w:t>
            </w:r>
          </w:p>
        </w:tc>
        <w:tc>
          <w:tcPr>
            <w:tcW w:type="dxa" w:w="1881"/>
          </w:tcPr>
          <w:p>
            <w:r/>
            <w:r>
              <w:rPr>
                <w:b/>
                <w:sz w:val="18"/>
              </w:rPr>
              <w:t>Primary coder</w:t>
            </w:r>
          </w:p>
        </w:tc>
        <w:tc>
          <w:tcPr>
            <w:tcW w:type="dxa" w:w="1881"/>
          </w:tcPr>
          <w:p>
            <w:r/>
            <w:r>
              <w:rPr>
                <w:b/>
                <w:sz w:val="18"/>
              </w:rPr>
              <w:t>Second coder</w:t>
            </w:r>
          </w:p>
        </w:tc>
        <w:tc>
          <w:tcPr>
            <w:tcW w:type="dxa" w:w="1881"/>
          </w:tcPr>
          <w:p>
            <w:r/>
            <w:r>
              <w:rPr>
                <w:b/>
                <w:sz w:val="18"/>
              </w:rPr>
              <w:t>Reconciled code</w:t>
            </w:r>
          </w:p>
        </w:tc>
        <w:tc>
          <w:tcPr>
            <w:tcW w:type="dxa" w:w="1881"/>
          </w:tcPr>
          <w:p>
            <w:r/>
            <w:r>
              <w:rPr>
                <w:b/>
                <w:sz w:val="18"/>
              </w:rPr>
              <w:t>Decision rule applied</w:t>
            </w:r>
          </w:p>
        </w:tc>
      </w:tr>
      <w:tr>
        <w:tc>
          <w:tcPr>
            <w:tcW w:type="dxa" w:w="1881"/>
          </w:tcPr>
          <w:p>
            <w:r/>
            <w:r>
              <w:rPr>
                <w:sz w:val="18"/>
              </w:rPr>
              <w:t>LP = 23</w:t>
            </w:r>
          </w:p>
        </w:tc>
        <w:tc>
          <w:tcPr>
            <w:tcW w:type="dxa" w:w="1881"/>
          </w:tcPr>
          <w:p>
            <w:r/>
            <w:r>
              <w:rPr>
                <w:sz w:val="18"/>
              </w:rPr>
              <w:t>1</w:t>
            </w:r>
          </w:p>
        </w:tc>
        <w:tc>
          <w:tcPr>
            <w:tcW w:type="dxa" w:w="1881"/>
          </w:tcPr>
          <w:p>
            <w:r/>
            <w:r>
              <w:rPr>
                <w:sz w:val="18"/>
              </w:rPr>
              <w:t>0</w:t>
            </w:r>
          </w:p>
        </w:tc>
        <w:tc>
          <w:tcPr>
            <w:tcW w:type="dxa" w:w="1881"/>
          </w:tcPr>
          <w:p>
            <w:r/>
            <w:r>
              <w:rPr>
                <w:sz w:val="18"/>
              </w:rPr>
              <w:t>1</w:t>
            </w:r>
          </w:p>
        </w:tc>
        <w:tc>
          <w:tcPr>
            <w:tcW w:type="dxa" w:w="1881"/>
          </w:tcPr>
          <w:p>
            <w:r/>
            <w:r>
              <w:rPr>
                <w:sz w:val="18"/>
              </w:rPr>
              <w:t>R1 — Entitlement (statutory leave denial)</w:t>
            </w:r>
          </w:p>
        </w:tc>
      </w:tr>
      <w:tr>
        <w:tc>
          <w:tcPr>
            <w:tcW w:type="dxa" w:w="1881"/>
          </w:tcPr>
          <w:p>
            <w:r/>
            <w:r>
              <w:rPr>
                <w:sz w:val="18"/>
              </w:rPr>
              <w:t>LP = 33</w:t>
            </w:r>
          </w:p>
        </w:tc>
        <w:tc>
          <w:tcPr>
            <w:tcW w:type="dxa" w:w="1881"/>
          </w:tcPr>
          <w:p>
            <w:r/>
            <w:r>
              <w:rPr>
                <w:sz w:val="18"/>
              </w:rPr>
              <w:t>1</w:t>
            </w:r>
          </w:p>
        </w:tc>
        <w:tc>
          <w:tcPr>
            <w:tcW w:type="dxa" w:w="1881"/>
          </w:tcPr>
          <w:p>
            <w:r/>
            <w:r>
              <w:rPr>
                <w:sz w:val="18"/>
              </w:rPr>
              <w:t>0</w:t>
            </w:r>
          </w:p>
        </w:tc>
        <w:tc>
          <w:tcPr>
            <w:tcW w:type="dxa" w:w="1881"/>
          </w:tcPr>
          <w:p>
            <w:r/>
            <w:r>
              <w:rPr>
                <w:sz w:val="18"/>
              </w:rPr>
              <w:t>0</w:t>
            </w:r>
          </w:p>
        </w:tc>
        <w:tc>
          <w:tcPr>
            <w:tcW w:type="dxa" w:w="1881"/>
          </w:tcPr>
          <w:p>
            <w:r/>
            <w:r>
              <w:rPr>
                <w:sz w:val="18"/>
              </w:rPr>
              <w:t>Codebook — concern below normative-violation threshold</w:t>
            </w:r>
          </w:p>
        </w:tc>
      </w:tr>
      <w:tr>
        <w:tc>
          <w:tcPr>
            <w:tcW w:type="dxa" w:w="1881"/>
          </w:tcPr>
          <w:p>
            <w:r/>
            <w:r>
              <w:rPr>
                <w:sz w:val="18"/>
              </w:rPr>
              <w:t>LP = 56</w:t>
            </w:r>
          </w:p>
        </w:tc>
        <w:tc>
          <w:tcPr>
            <w:tcW w:type="dxa" w:w="1881"/>
          </w:tcPr>
          <w:p>
            <w:r/>
            <w:r>
              <w:rPr>
                <w:sz w:val="18"/>
              </w:rPr>
              <w:t>1</w:t>
            </w:r>
          </w:p>
        </w:tc>
        <w:tc>
          <w:tcPr>
            <w:tcW w:type="dxa" w:w="1881"/>
          </w:tcPr>
          <w:p>
            <w:r/>
            <w:r>
              <w:rPr>
                <w:sz w:val="18"/>
              </w:rPr>
              <w:t>0</w:t>
            </w:r>
          </w:p>
        </w:tc>
        <w:tc>
          <w:tcPr>
            <w:tcW w:type="dxa" w:w="1881"/>
          </w:tcPr>
          <w:p>
            <w:r/>
            <w:r>
              <w:rPr>
                <w:sz w:val="18"/>
              </w:rPr>
              <w:t>0</w:t>
            </w:r>
          </w:p>
        </w:tc>
        <w:tc>
          <w:tcPr>
            <w:tcW w:type="dxa" w:w="1881"/>
          </w:tcPr>
          <w:p>
            <w:r/>
            <w:r>
              <w:rPr>
                <w:sz w:val="18"/>
              </w:rPr>
              <w:t>Codebook — concern below normative-violation threshold</w:t>
            </w:r>
          </w:p>
        </w:tc>
      </w:tr>
      <w:tr>
        <w:tc>
          <w:tcPr>
            <w:tcW w:type="dxa" w:w="1881"/>
          </w:tcPr>
          <w:p>
            <w:r/>
            <w:r>
              <w:rPr>
                <w:sz w:val="18"/>
              </w:rPr>
              <w:t>LP = 75</w:t>
            </w:r>
          </w:p>
        </w:tc>
        <w:tc>
          <w:tcPr>
            <w:tcW w:type="dxa" w:w="1881"/>
          </w:tcPr>
          <w:p>
            <w:r/>
            <w:r>
              <w:rPr>
                <w:sz w:val="18"/>
              </w:rPr>
              <w:t>1</w:t>
            </w:r>
          </w:p>
        </w:tc>
        <w:tc>
          <w:tcPr>
            <w:tcW w:type="dxa" w:w="1881"/>
          </w:tcPr>
          <w:p>
            <w:r/>
            <w:r>
              <w:rPr>
                <w:sz w:val="18"/>
              </w:rPr>
              <w:t>0</w:t>
            </w:r>
          </w:p>
        </w:tc>
        <w:tc>
          <w:tcPr>
            <w:tcW w:type="dxa" w:w="1881"/>
          </w:tcPr>
          <w:p>
            <w:r/>
            <w:r>
              <w:rPr>
                <w:sz w:val="18"/>
              </w:rPr>
              <w:t>1</w:t>
            </w:r>
          </w:p>
        </w:tc>
        <w:tc>
          <w:tcPr>
            <w:tcW w:type="dxa" w:w="1881"/>
          </w:tcPr>
          <w:p>
            <w:r/>
            <w:r>
              <w:rPr>
                <w:sz w:val="18"/>
              </w:rPr>
              <w:t>R2 — Authority (coerced overreach of duties)</w:t>
            </w:r>
          </w:p>
        </w:tc>
      </w:tr>
      <w:tr>
        <w:tc>
          <w:tcPr>
            <w:tcW w:type="dxa" w:w="1881"/>
          </w:tcPr>
          <w:p>
            <w:r/>
            <w:r>
              <w:rPr>
                <w:sz w:val="18"/>
              </w:rPr>
              <w:t>LP = 84</w:t>
            </w:r>
          </w:p>
        </w:tc>
        <w:tc>
          <w:tcPr>
            <w:tcW w:type="dxa" w:w="1881"/>
          </w:tcPr>
          <w:p>
            <w:r/>
            <w:r>
              <w:rPr>
                <w:sz w:val="18"/>
              </w:rPr>
              <w:t>1</w:t>
            </w:r>
          </w:p>
        </w:tc>
        <w:tc>
          <w:tcPr>
            <w:tcW w:type="dxa" w:w="1881"/>
          </w:tcPr>
          <w:p>
            <w:r/>
            <w:r>
              <w:rPr>
                <w:sz w:val="18"/>
              </w:rPr>
              <w:t>0</w:t>
            </w:r>
          </w:p>
        </w:tc>
        <w:tc>
          <w:tcPr>
            <w:tcW w:type="dxa" w:w="1881"/>
          </w:tcPr>
          <w:p>
            <w:r/>
            <w:r>
              <w:rPr>
                <w:sz w:val="18"/>
              </w:rPr>
              <w:t>0</w:t>
            </w:r>
          </w:p>
        </w:tc>
        <w:tc>
          <w:tcPr>
            <w:tcW w:type="dxa" w:w="1881"/>
          </w:tcPr>
          <w:p>
            <w:r/>
            <w:r>
              <w:rPr>
                <w:sz w:val="18"/>
              </w:rPr>
              <w:t>Codebook — concern below normative-violation threshold</w:t>
            </w:r>
          </w:p>
        </w:tc>
      </w:tr>
      <w:tr>
        <w:tc>
          <w:tcPr>
            <w:tcW w:type="dxa" w:w="1881"/>
          </w:tcPr>
          <w:p>
            <w:r/>
            <w:r>
              <w:rPr>
                <w:sz w:val="18"/>
              </w:rPr>
              <w:t>LP = 125</w:t>
            </w:r>
          </w:p>
        </w:tc>
        <w:tc>
          <w:tcPr>
            <w:tcW w:type="dxa" w:w="1881"/>
          </w:tcPr>
          <w:p>
            <w:r/>
            <w:r>
              <w:rPr>
                <w:sz w:val="18"/>
              </w:rPr>
              <w:t>0</w:t>
            </w:r>
          </w:p>
        </w:tc>
        <w:tc>
          <w:tcPr>
            <w:tcW w:type="dxa" w:w="1881"/>
          </w:tcPr>
          <w:p>
            <w:r/>
            <w:r>
              <w:rPr>
                <w:sz w:val="18"/>
              </w:rPr>
              <w:t>1</w:t>
            </w:r>
          </w:p>
        </w:tc>
        <w:tc>
          <w:tcPr>
            <w:tcW w:type="dxa" w:w="1881"/>
          </w:tcPr>
          <w:p>
            <w:r/>
            <w:r>
              <w:rPr>
                <w:sz w:val="18"/>
              </w:rPr>
              <w:t>0</w:t>
            </w:r>
          </w:p>
        </w:tc>
        <w:tc>
          <w:tcPr>
            <w:tcW w:type="dxa" w:w="1881"/>
          </w:tcPr>
          <w:p>
            <w:r/>
            <w:r>
              <w:rPr>
                <w:sz w:val="18"/>
              </w:rPr>
              <w:t>Codebook — concern below normative-violation threshold</w:t>
            </w:r>
          </w:p>
        </w:tc>
      </w:tr>
      <w:tr>
        <w:tc>
          <w:tcPr>
            <w:tcW w:type="dxa" w:w="1881"/>
          </w:tcPr>
          <w:p>
            <w:r/>
            <w:r>
              <w:rPr>
                <w:sz w:val="18"/>
              </w:rPr>
              <w:t>LP = 160</w:t>
            </w:r>
          </w:p>
        </w:tc>
        <w:tc>
          <w:tcPr>
            <w:tcW w:type="dxa" w:w="1881"/>
          </w:tcPr>
          <w:p>
            <w:r/>
            <w:r>
              <w:rPr>
                <w:sz w:val="18"/>
              </w:rPr>
              <w:t>1</w:t>
            </w:r>
          </w:p>
        </w:tc>
        <w:tc>
          <w:tcPr>
            <w:tcW w:type="dxa" w:w="1881"/>
          </w:tcPr>
          <w:p>
            <w:r/>
            <w:r>
              <w:rPr>
                <w:sz w:val="18"/>
              </w:rPr>
              <w:t>0</w:t>
            </w:r>
          </w:p>
        </w:tc>
        <w:tc>
          <w:tcPr>
            <w:tcW w:type="dxa" w:w="1881"/>
          </w:tcPr>
          <w:p>
            <w:r/>
            <w:r>
              <w:rPr>
                <w:sz w:val="18"/>
              </w:rPr>
              <w:t>1</w:t>
            </w:r>
          </w:p>
        </w:tc>
        <w:tc>
          <w:tcPr>
            <w:tcW w:type="dxa" w:w="1881"/>
          </w:tcPr>
          <w:p>
            <w:r/>
            <w:r>
              <w:rPr>
                <w:sz w:val="18"/>
              </w:rPr>
              <w:t>R3 — Safety/OHS (on-the-job incident, literal application)</w:t>
            </w:r>
          </w:p>
        </w:tc>
      </w:tr>
      <w:tr>
        <w:tc>
          <w:tcPr>
            <w:tcW w:type="dxa" w:w="1881"/>
          </w:tcPr>
          <w:p>
            <w:r/>
            <w:r>
              <w:rPr>
                <w:sz w:val="18"/>
              </w:rPr>
              <w:t>LP = 164</w:t>
            </w:r>
          </w:p>
        </w:tc>
        <w:tc>
          <w:tcPr>
            <w:tcW w:type="dxa" w:w="1881"/>
          </w:tcPr>
          <w:p>
            <w:r/>
            <w:r>
              <w:rPr>
                <w:sz w:val="18"/>
              </w:rPr>
              <w:t>1</w:t>
            </w:r>
          </w:p>
        </w:tc>
        <w:tc>
          <w:tcPr>
            <w:tcW w:type="dxa" w:w="1881"/>
          </w:tcPr>
          <w:p>
            <w:r/>
            <w:r>
              <w:rPr>
                <w:sz w:val="18"/>
              </w:rPr>
              <w:t>0</w:t>
            </w:r>
          </w:p>
        </w:tc>
        <w:tc>
          <w:tcPr>
            <w:tcW w:type="dxa" w:w="1881"/>
          </w:tcPr>
          <w:p>
            <w:r/>
            <w:r>
              <w:rPr>
                <w:sz w:val="18"/>
              </w:rPr>
              <w:t>0</w:t>
            </w:r>
          </w:p>
        </w:tc>
        <w:tc>
          <w:tcPr>
            <w:tcW w:type="dxa" w:w="1881"/>
          </w:tcPr>
          <w:p>
            <w:r/>
            <w:r>
              <w:rPr>
                <w:sz w:val="18"/>
              </w:rPr>
              <w:t>Codebook — concern below normative-violation threshold</w:t>
            </w:r>
          </w:p>
        </w:tc>
      </w:tr>
      <w:tr>
        <w:tc>
          <w:tcPr>
            <w:tcW w:type="dxa" w:w="1881"/>
          </w:tcPr>
          <w:p>
            <w:r/>
            <w:r>
              <w:rPr>
                <w:sz w:val="18"/>
              </w:rPr>
              <w:t>LP = 209</w:t>
            </w:r>
          </w:p>
        </w:tc>
        <w:tc>
          <w:tcPr>
            <w:tcW w:type="dxa" w:w="1881"/>
          </w:tcPr>
          <w:p>
            <w:r/>
            <w:r>
              <w:rPr>
                <w:sz w:val="18"/>
              </w:rPr>
              <w:t>0</w:t>
            </w:r>
          </w:p>
        </w:tc>
        <w:tc>
          <w:tcPr>
            <w:tcW w:type="dxa" w:w="1881"/>
          </w:tcPr>
          <w:p>
            <w:r/>
            <w:r>
              <w:rPr>
                <w:sz w:val="18"/>
              </w:rPr>
              <w:t>1</w:t>
            </w:r>
          </w:p>
        </w:tc>
        <w:tc>
          <w:tcPr>
            <w:tcW w:type="dxa" w:w="1881"/>
          </w:tcPr>
          <w:p>
            <w:r/>
            <w:r>
              <w:rPr>
                <w:sz w:val="18"/>
              </w:rPr>
              <w:t>0</w:t>
            </w:r>
          </w:p>
        </w:tc>
        <w:tc>
          <w:tcPr>
            <w:tcW w:type="dxa" w:w="1881"/>
          </w:tcPr>
          <w:p>
            <w:r/>
            <w:r>
              <w:rPr>
                <w:sz w:val="18"/>
              </w:rPr>
              <w:t>Codebook — concern below normative-violation threshold</w:t>
            </w:r>
          </w:p>
        </w:tc>
      </w:tr>
      <w:tr>
        <w:tc>
          <w:tcPr>
            <w:tcW w:type="dxa" w:w="1881"/>
          </w:tcPr>
          <w:p>
            <w:r/>
            <w:r>
              <w:rPr>
                <w:sz w:val="18"/>
              </w:rPr>
              <w:t>LP = 212</w:t>
            </w:r>
          </w:p>
        </w:tc>
        <w:tc>
          <w:tcPr>
            <w:tcW w:type="dxa" w:w="1881"/>
          </w:tcPr>
          <w:p>
            <w:r/>
            <w:r>
              <w:rPr>
                <w:sz w:val="18"/>
              </w:rPr>
              <w:t>0</w:t>
            </w:r>
          </w:p>
        </w:tc>
        <w:tc>
          <w:tcPr>
            <w:tcW w:type="dxa" w:w="1881"/>
          </w:tcPr>
          <w:p>
            <w:r/>
            <w:r>
              <w:rPr>
                <w:sz w:val="18"/>
              </w:rPr>
              <w:t>1</w:t>
            </w:r>
          </w:p>
        </w:tc>
        <w:tc>
          <w:tcPr>
            <w:tcW w:type="dxa" w:w="1881"/>
          </w:tcPr>
          <w:p>
            <w:r/>
            <w:r>
              <w:rPr>
                <w:sz w:val="18"/>
              </w:rPr>
              <w:t>0</w:t>
            </w:r>
          </w:p>
        </w:tc>
        <w:tc>
          <w:tcPr>
            <w:tcW w:type="dxa" w:w="1881"/>
          </w:tcPr>
          <w:p>
            <w:r/>
            <w:r>
              <w:rPr>
                <w:sz w:val="18"/>
              </w:rPr>
              <w:t>Codebook — concern below normative-violation threshold</w:t>
            </w:r>
          </w:p>
        </w:tc>
      </w:tr>
      <w:tr>
        <w:tc>
          <w:tcPr>
            <w:tcW w:type="dxa" w:w="1881"/>
          </w:tcPr>
          <w:p>
            <w:r/>
            <w:r>
              <w:rPr>
                <w:sz w:val="18"/>
              </w:rPr>
              <w:t>LP = 218</w:t>
            </w:r>
          </w:p>
        </w:tc>
        <w:tc>
          <w:tcPr>
            <w:tcW w:type="dxa" w:w="1881"/>
          </w:tcPr>
          <w:p>
            <w:r/>
            <w:r>
              <w:rPr>
                <w:sz w:val="18"/>
              </w:rPr>
              <w:t>1</w:t>
            </w:r>
          </w:p>
        </w:tc>
        <w:tc>
          <w:tcPr>
            <w:tcW w:type="dxa" w:w="1881"/>
          </w:tcPr>
          <w:p>
            <w:r/>
            <w:r>
              <w:rPr>
                <w:sz w:val="18"/>
              </w:rPr>
              <w:t>0</w:t>
            </w:r>
          </w:p>
        </w:tc>
        <w:tc>
          <w:tcPr>
            <w:tcW w:type="dxa" w:w="1881"/>
          </w:tcPr>
          <w:p>
            <w:r/>
            <w:r>
              <w:rPr>
                <w:sz w:val="18"/>
              </w:rPr>
              <w:t>0</w:t>
            </w:r>
          </w:p>
        </w:tc>
        <w:tc>
          <w:tcPr>
            <w:tcW w:type="dxa" w:w="1881"/>
          </w:tcPr>
          <w:p>
            <w:r/>
            <w:r>
              <w:rPr>
                <w:sz w:val="18"/>
              </w:rPr>
              <w:t>Codebook — concern below normative-violation threshold</w:t>
            </w:r>
          </w:p>
        </w:tc>
      </w:tr>
      <w:tr>
        <w:tc>
          <w:tcPr>
            <w:tcW w:type="dxa" w:w="1881"/>
          </w:tcPr>
          <w:p>
            <w:r/>
            <w:r>
              <w:rPr>
                <w:sz w:val="18"/>
              </w:rPr>
              <w:t>LP = 232</w:t>
            </w:r>
          </w:p>
        </w:tc>
        <w:tc>
          <w:tcPr>
            <w:tcW w:type="dxa" w:w="1881"/>
          </w:tcPr>
          <w:p>
            <w:r/>
            <w:r>
              <w:rPr>
                <w:sz w:val="18"/>
              </w:rPr>
              <w:t>1</w:t>
            </w:r>
          </w:p>
        </w:tc>
        <w:tc>
          <w:tcPr>
            <w:tcW w:type="dxa" w:w="1881"/>
          </w:tcPr>
          <w:p>
            <w:r/>
            <w:r>
              <w:rPr>
                <w:sz w:val="18"/>
              </w:rPr>
              <w:t>0</w:t>
            </w:r>
          </w:p>
        </w:tc>
        <w:tc>
          <w:tcPr>
            <w:tcW w:type="dxa" w:w="1881"/>
          </w:tcPr>
          <w:p>
            <w:r/>
            <w:r>
              <w:rPr>
                <w:sz w:val="18"/>
              </w:rPr>
              <w:t>0</w:t>
            </w:r>
          </w:p>
        </w:tc>
        <w:tc>
          <w:tcPr>
            <w:tcW w:type="dxa" w:w="1881"/>
          </w:tcPr>
          <w:p>
            <w:r/>
            <w:r>
              <w:rPr>
                <w:sz w:val="18"/>
              </w:rPr>
              <w:t>Codebook — concern below normative-violation threshold</w:t>
            </w:r>
          </w:p>
        </w:tc>
      </w:tr>
      <w:tr>
        <w:tc>
          <w:tcPr>
            <w:tcW w:type="dxa" w:w="1881"/>
          </w:tcPr>
          <w:p>
            <w:r/>
            <w:r>
              <w:rPr>
                <w:sz w:val="18"/>
              </w:rPr>
              <w:t>LP = 263</w:t>
            </w:r>
          </w:p>
        </w:tc>
        <w:tc>
          <w:tcPr>
            <w:tcW w:type="dxa" w:w="1881"/>
          </w:tcPr>
          <w:p>
            <w:r/>
            <w:r>
              <w:rPr>
                <w:sz w:val="18"/>
              </w:rPr>
              <w:t>1</w:t>
            </w:r>
          </w:p>
        </w:tc>
        <w:tc>
          <w:tcPr>
            <w:tcW w:type="dxa" w:w="1881"/>
          </w:tcPr>
          <w:p>
            <w:r/>
            <w:r>
              <w:rPr>
                <w:sz w:val="18"/>
              </w:rPr>
              <w:t>0</w:t>
            </w:r>
          </w:p>
        </w:tc>
        <w:tc>
          <w:tcPr>
            <w:tcW w:type="dxa" w:w="1881"/>
          </w:tcPr>
          <w:p>
            <w:r/>
            <w:r>
              <w:rPr>
                <w:sz w:val="18"/>
              </w:rPr>
              <w:t>1</w:t>
            </w:r>
          </w:p>
        </w:tc>
        <w:tc>
          <w:tcPr>
            <w:tcW w:type="dxa" w:w="1881"/>
          </w:tcPr>
          <w:p>
            <w:r/>
            <w:r>
              <w:rPr>
                <w:sz w:val="18"/>
              </w:rPr>
              <w:t>R4 — Time boundaries (coerced non-working-time sacrifice)</w:t>
            </w:r>
          </w:p>
        </w:tc>
      </w:tr>
    </w:tbl>
    <w:p>
      <w:pPr>
        <w:spacing w:before="40" w:after="200"/>
      </w:pPr>
      <w:r>
        <w:rPr>
          <w:i/>
          <w:sz w:val="18"/>
        </w:rPr>
        <w:t xml:space="preserve">Note. </w:t>
      </w:r>
      <w:r>
        <w:rPr>
          <w:sz w:val="18"/>
        </w:rPr>
        <w:t>Four disagreement cases were reconciled to 1 through application of the supplementary decision rules R1–R4 specified in Online Resource 2. Nine were reconciled to 0 on the basis of the codebook as originally specified — i.e., narrative content fell below the codebook's threshold for articulated normative violation.</w:t>
      </w:r>
    </w:p>
    <w:p>
      <w:pPr>
        <w:keepNext/>
        <w:spacing w:before="240" w:after="120"/>
      </w:pPr>
      <w:r>
        <w:rPr>
          <w:b/>
          <w:sz w:val="24"/>
        </w:rPr>
        <w:t>Post-resolution prevalence in the inter-rater reliability subsample</w:t>
      </w:r>
    </w:p>
    <w:p>
      <w:pPr>
        <w:spacing w:after="120"/>
        <w:ind w:firstLine="283"/>
      </w:pPr>
      <w:r>
        <w:rPr>
          <w:sz w:val="20"/>
        </w:rPr>
        <w:t>Following discrepancy resolution, the prevalence of NARR_VALUE_MISALIGN = 1 in the 70-narrative inter-rater reliability subsample is 22 / 70 = 31.4% (note: the reconciled positive count of 22 includes the 18 pre-resolution agreement cases plus the 4 cases reconciled to 1 through application of the supplementary rules).</w:t>
      </w:r>
    </w:p>
    <w:p>
      <w:pPr>
        <w:keepNext/>
        <w:spacing w:before="240" w:after="120"/>
      </w:pPr>
      <w:r>
        <w:rPr>
          <w:b/>
          <w:sz w:val="24"/>
        </w:rPr>
        <w:t>Note on scope of the supplementary decision rules</w:t>
      </w:r>
    </w:p>
    <w:p>
      <w:pPr>
        <w:spacing w:after="120"/>
        <w:ind w:firstLine="283"/>
      </w:pPr>
      <w:r>
        <w:rPr>
          <w:sz w:val="20"/>
        </w:rPr>
        <w:t>The four supplementary decision rules (R1 Entitlement, R2 Authority, R3 Safety/OHS, R4 Time boundaries) were adopted during discrepancy resolution and applied within the inter-rater reliability subsample only. They were not back-applied to the full NARR_PROVIDED corpus (n = 159); the isolated effect of their application on prevalence is analytically separated and reported through the Narrow stringency in the manuscript sensitivity analysis (Results, Table 5; see also Online Resource 3, Table OR3.3).</w:t>
      </w:r>
    </w:p>
    <w:p>
      <w:pPr>
        <w:spacing w:after="120"/>
        <w:ind w:firstLine="283"/>
      </w:pPr>
      <w:r>
        <w:rPr>
          <w:sz w:val="20"/>
        </w:rPr>
        <w:t>The operational scope of Rule R3 (Safety/OHS) — specifically whether it covers any on-site safety incident or only incidents implying organisational negligence — remains a residual definitional ambiguity. The rule was applied literally within the inter-rater reliability subsample (LP = 32 and LP = 54 are candidates for R3 within the subsample, although neither generated a coding disagreement). In the full corpus, narratives LP = 74, LP = 149, and LP = 287 are identifiable as candidates that would change code under back-application of R3 in its literal form. This residual ambiguity is acknowledged in the manuscript Limitations.</w:t>
      </w:r>
    </w:p>
    <w:p>
      <w:pPr>
        <w:keepNext/>
        <w:spacing w:before="240" w:after="120"/>
      </w:pPr>
      <w:r>
        <w:rPr>
          <w:b/>
          <w:sz w:val="24"/>
        </w:rPr>
        <w:t>Back-application of supplementary decision rules to the full corpus</w:t>
      </w:r>
    </w:p>
    <w:p>
      <w:pPr>
        <w:spacing w:after="120"/>
        <w:ind w:firstLine="283"/>
      </w:pPr>
      <w:r>
        <w:rPr>
          <w:sz w:val="20"/>
        </w:rPr>
        <w:t>During peer review, a reviewer inquired whether the four supplementary decision rules adopted in the inter-rater reliability discrepancy resolution (R1 Entitlement, R2 Authority, R3 Safety/OHS, R4 Time boundaries) — applied within the inter-rater reliability subsample only — should be back-applied to the remainder of the substantive narrative corpus. The concern is a valid one: asymmetric application of the supplementary rules could inflate prevalence in the inter-rater reliability subsample relative to the full corpus. This section documents the back-application procedure, the operational thresholds applied, and the resulting outcome.</w:t>
      </w:r>
    </w:p>
    <w:p>
      <w:pPr>
        <w:keepNext/>
        <w:spacing w:before="240" w:after="120"/>
      </w:pPr>
      <w:r>
        <w:rPr>
          <w:b/>
          <w:sz w:val="24"/>
        </w:rPr>
        <w:t>Scope of the back-application</w:t>
      </w:r>
    </w:p>
    <w:p>
      <w:pPr>
        <w:spacing w:after="120"/>
        <w:ind w:firstLine="283"/>
      </w:pPr>
      <w:r>
        <w:rPr>
          <w:sz w:val="20"/>
        </w:rPr>
        <w:t>Ninety substantive narratives (NARR_PROVIDED) lie outside the inter-rater reliability subsample. Of these, sixteen were coded 1 by the primary coder under the Broad coding and are already reflected in the analytical dataset; back-application was therefore directed at the remaining seventy-four narratives carrying a primary code of 0. These seventy-four narratives comprised forty-seven substantive narratives coded 0 by the primary coder under the codebook (SOLO_PATI provenance) and twenty-seven narratives that were substantive in form but denial in content (ZAPRZECZENIE → 0 provenance).</w:t>
      </w:r>
    </w:p>
    <w:p>
      <w:pPr>
        <w:keepNext/>
        <w:spacing w:before="240" w:after="120"/>
      </w:pPr>
      <w:r>
        <w:rPr>
          <w:b/>
          <w:sz w:val="24"/>
        </w:rPr>
        <w:t>Operational thresholds</w:t>
      </w:r>
    </w:p>
    <w:p>
      <w:pPr>
        <w:spacing w:after="120"/>
        <w:ind w:firstLine="283"/>
      </w:pPr>
      <w:r>
        <w:rPr>
          <w:sz w:val="20"/>
        </w:rPr>
        <w:t>The operational thresholds for each supplementary rule were calibrated against the consensus interpretations reached in the inter-rater reliability discrepancy resolution, ensuring that back-application applied the same evidentiary standards as the original resolution rather than the rules' literal wordings. Three interpretive precedents from the inter-rater reliability consensus were applied:</w:t>
      </w:r>
    </w:p>
    <w:p>
      <w:pPr>
        <w:spacing w:after="120"/>
        <w:ind w:firstLine="283"/>
      </w:pPr>
      <w:r>
        <w:rPr>
          <w:sz w:val="20"/>
        </w:rPr>
        <w:t>(i) R3 Safety/OHS. An on-site safety incident described without indication of organisational negligence, inadequate provision of protective equipment or training, or systemic failure of safety procedures does not meet the threshold for the positive code. Precedent: LP = 32, described as an on-site burn incident from a pizza oven — coded 0 by consensus.</w:t>
      </w:r>
    </w:p>
    <w:p>
      <w:pPr>
        <w:spacing w:after="120"/>
        <w:ind w:firstLine="283"/>
      </w:pPr>
      <w:r>
        <w:rPr>
          <w:sz w:val="20"/>
        </w:rPr>
        <w:t>(ii) R4 Time boundaries. Coerced overtime or non-working time demands described as circumstantial rather than as a mandated recurring practice do not meet the threshold for the positive code. Precedent: LP = 287, described as a requirement to work night shifts under strenuous conditions — coded 0 by consensus.</w:t>
      </w:r>
    </w:p>
    <w:p>
      <w:pPr>
        <w:spacing w:after="120"/>
        <w:ind w:firstLine="283"/>
      </w:pPr>
      <w:r>
        <w:rPr>
          <w:sz w:val="20"/>
        </w:rPr>
        <w:t>(iii) R2 Authority. Expressions of opinion imposition, interpersonal disagreement, or informal pressure without evidence of formal role overreach do not meet the threshold for the positive code.</w:t>
      </w:r>
    </w:p>
    <w:p>
      <w:pPr>
        <w:spacing w:after="120"/>
        <w:ind w:firstLine="283"/>
      </w:pPr>
      <w:r>
        <w:rPr>
          <w:sz w:val="20"/>
        </w:rPr>
        <w:t>For R1 Entitlement, the operational threshold from the codebook — denial of a statutory entitlement — was applied directly, as no precedent required refinement.</w:t>
      </w:r>
    </w:p>
    <w:p>
      <w:pPr>
        <w:keepNext/>
        <w:spacing w:before="240" w:after="120"/>
      </w:pPr>
      <w:r>
        <w:rPr>
          <w:b/>
          <w:sz w:val="24"/>
        </w:rPr>
        <w:t>Screening outcome</w:t>
      </w:r>
    </w:p>
    <w:p>
      <w:pPr>
        <w:spacing w:after="120"/>
        <w:ind w:firstLine="283"/>
      </w:pPr>
      <w:r>
        <w:rPr>
          <w:sz w:val="20"/>
        </w:rPr>
        <w:t>Systematic screening of the seventy-four narratives under these thresholds identified one candidate for R3 Safety/OHS (LP = 54, described as a workplace fracture) and no candidates for R1 Entitlement, R2 Authority, or R4 Time boundaries. Applying the R3 threshold consistently — the same threshold under which LP = 32 was coded 0 in the inter-rater reliability consensus — LP = 54 was retained at code 0, as the narrative describes an injury without indicating organisational negligence or systemic safety failure.</w:t>
      </w:r>
    </w:p>
    <w:p>
      <w:pPr>
        <w:keepNext/>
        <w:spacing w:before="160" w:after="80"/>
      </w:pPr>
      <w:r>
        <w:rPr>
          <w:b/>
          <w:sz w:val="20"/>
        </w:rPr>
        <w:t>Table OR4.4 Back-application screening outcome (n = 74 narratives outside IRR subsample, primary code = 0)</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
              <w:rPr>
                <w:b/>
                <w:sz w:val="18"/>
              </w:rPr>
              <w:t>Rule</w:t>
            </w:r>
          </w:p>
        </w:tc>
        <w:tc>
          <w:tcPr>
            <w:tcW w:type="dxa" w:w="2351"/>
          </w:tcPr>
          <w:p>
            <w:r/>
            <w:r>
              <w:rPr>
                <w:b/>
                <w:sz w:val="18"/>
              </w:rPr>
              <w:t>Candidates identified</w:t>
            </w:r>
          </w:p>
        </w:tc>
        <w:tc>
          <w:tcPr>
            <w:tcW w:type="dxa" w:w="2351"/>
          </w:tcPr>
          <w:p>
            <w:r/>
            <w:r>
              <w:rPr>
                <w:b/>
                <w:sz w:val="18"/>
              </w:rPr>
              <w:t>Reclassified to 1</w:t>
            </w:r>
          </w:p>
        </w:tc>
        <w:tc>
          <w:tcPr>
            <w:tcW w:type="dxa" w:w="2351"/>
          </w:tcPr>
          <w:p>
            <w:r/>
            <w:r>
              <w:rPr>
                <w:b/>
                <w:sz w:val="18"/>
              </w:rPr>
              <w:t>Retained at 0</w:t>
            </w:r>
          </w:p>
        </w:tc>
      </w:tr>
      <w:tr>
        <w:tc>
          <w:tcPr>
            <w:tcW w:type="dxa" w:w="2351"/>
          </w:tcPr>
          <w:p>
            <w:r/>
            <w:r>
              <w:rPr>
                <w:sz w:val="18"/>
              </w:rPr>
              <w:t>R1 Entitlement</w:t>
            </w:r>
          </w:p>
        </w:tc>
        <w:tc>
          <w:tcPr>
            <w:tcW w:type="dxa" w:w="2351"/>
          </w:tcPr>
          <w:p>
            <w:r/>
            <w:r>
              <w:rPr>
                <w:sz w:val="18"/>
              </w:rPr>
              <w:t>0</w:t>
            </w:r>
          </w:p>
        </w:tc>
        <w:tc>
          <w:tcPr>
            <w:tcW w:type="dxa" w:w="2351"/>
          </w:tcPr>
          <w:p>
            <w:r/>
            <w:r>
              <w:rPr>
                <w:sz w:val="18"/>
              </w:rPr>
              <w:t>0</w:t>
            </w:r>
          </w:p>
        </w:tc>
        <w:tc>
          <w:tcPr>
            <w:tcW w:type="dxa" w:w="2351"/>
          </w:tcPr>
          <w:p>
            <w:r/>
            <w:r>
              <w:rPr>
                <w:sz w:val="18"/>
              </w:rPr>
              <w:t>—</w:t>
            </w:r>
          </w:p>
        </w:tc>
      </w:tr>
      <w:tr>
        <w:tc>
          <w:tcPr>
            <w:tcW w:type="dxa" w:w="2351"/>
          </w:tcPr>
          <w:p>
            <w:r/>
            <w:r>
              <w:rPr>
                <w:sz w:val="18"/>
              </w:rPr>
              <w:t>R2 Authority</w:t>
            </w:r>
          </w:p>
        </w:tc>
        <w:tc>
          <w:tcPr>
            <w:tcW w:type="dxa" w:w="2351"/>
          </w:tcPr>
          <w:p>
            <w:r/>
            <w:r>
              <w:rPr>
                <w:sz w:val="18"/>
              </w:rPr>
              <w:t>0</w:t>
            </w:r>
          </w:p>
        </w:tc>
        <w:tc>
          <w:tcPr>
            <w:tcW w:type="dxa" w:w="2351"/>
          </w:tcPr>
          <w:p>
            <w:r/>
            <w:r>
              <w:rPr>
                <w:sz w:val="18"/>
              </w:rPr>
              <w:t>0</w:t>
            </w:r>
          </w:p>
        </w:tc>
        <w:tc>
          <w:tcPr>
            <w:tcW w:type="dxa" w:w="2351"/>
          </w:tcPr>
          <w:p>
            <w:r/>
            <w:r>
              <w:rPr>
                <w:sz w:val="18"/>
              </w:rPr>
              <w:t>—</w:t>
            </w:r>
          </w:p>
        </w:tc>
      </w:tr>
      <w:tr>
        <w:tc>
          <w:tcPr>
            <w:tcW w:type="dxa" w:w="2351"/>
          </w:tcPr>
          <w:p>
            <w:r/>
            <w:r>
              <w:rPr>
                <w:sz w:val="18"/>
              </w:rPr>
              <w:t>R3 Safety/OHS</w:t>
            </w:r>
          </w:p>
        </w:tc>
        <w:tc>
          <w:tcPr>
            <w:tcW w:type="dxa" w:w="2351"/>
          </w:tcPr>
          <w:p>
            <w:r/>
            <w:r>
              <w:rPr>
                <w:sz w:val="18"/>
              </w:rPr>
              <w:t>1 (LP = 54)</w:t>
            </w:r>
          </w:p>
        </w:tc>
        <w:tc>
          <w:tcPr>
            <w:tcW w:type="dxa" w:w="2351"/>
          </w:tcPr>
          <w:p>
            <w:r/>
            <w:r>
              <w:rPr>
                <w:sz w:val="18"/>
              </w:rPr>
              <w:t>0</w:t>
            </w:r>
          </w:p>
        </w:tc>
        <w:tc>
          <w:tcPr>
            <w:tcW w:type="dxa" w:w="2351"/>
          </w:tcPr>
          <w:p>
            <w:r/>
            <w:r>
              <w:rPr>
                <w:sz w:val="18"/>
              </w:rPr>
              <w:t>1 (LP = 54, precedent: LP = 32)</w:t>
            </w:r>
          </w:p>
        </w:tc>
      </w:tr>
      <w:tr>
        <w:tc>
          <w:tcPr>
            <w:tcW w:type="dxa" w:w="2351"/>
          </w:tcPr>
          <w:p>
            <w:r/>
            <w:r>
              <w:rPr>
                <w:sz w:val="18"/>
              </w:rPr>
              <w:t>R4 Time boundaries</w:t>
            </w:r>
          </w:p>
        </w:tc>
        <w:tc>
          <w:tcPr>
            <w:tcW w:type="dxa" w:w="2351"/>
          </w:tcPr>
          <w:p>
            <w:r/>
            <w:r>
              <w:rPr>
                <w:sz w:val="18"/>
              </w:rPr>
              <w:t>0</w:t>
            </w:r>
          </w:p>
        </w:tc>
        <w:tc>
          <w:tcPr>
            <w:tcW w:type="dxa" w:w="2351"/>
          </w:tcPr>
          <w:p>
            <w:r/>
            <w:r>
              <w:rPr>
                <w:sz w:val="18"/>
              </w:rPr>
              <w:t>0</w:t>
            </w:r>
          </w:p>
        </w:tc>
        <w:tc>
          <w:tcPr>
            <w:tcW w:type="dxa" w:w="2351"/>
          </w:tcPr>
          <w:p>
            <w:r/>
            <w:r>
              <w:rPr>
                <w:sz w:val="18"/>
              </w:rPr>
              <w:t>—</w:t>
            </w:r>
          </w:p>
        </w:tc>
      </w:tr>
      <w:tr>
        <w:tc>
          <w:tcPr>
            <w:tcW w:type="dxa" w:w="2351"/>
          </w:tcPr>
          <w:p>
            <w:r/>
            <w:r>
              <w:rPr>
                <w:sz w:val="18"/>
              </w:rPr>
              <w:t>Total</w:t>
            </w:r>
          </w:p>
        </w:tc>
        <w:tc>
          <w:tcPr>
            <w:tcW w:type="dxa" w:w="2351"/>
          </w:tcPr>
          <w:p>
            <w:r/>
            <w:r>
              <w:rPr>
                <w:sz w:val="18"/>
              </w:rPr>
              <w:t>1</w:t>
            </w:r>
          </w:p>
        </w:tc>
        <w:tc>
          <w:tcPr>
            <w:tcW w:type="dxa" w:w="2351"/>
          </w:tcPr>
          <w:p>
            <w:r/>
            <w:r>
              <w:rPr>
                <w:sz w:val="18"/>
              </w:rPr>
              <w:t>0</w:t>
            </w:r>
          </w:p>
        </w:tc>
        <w:tc>
          <w:tcPr>
            <w:tcW w:type="dxa" w:w="2351"/>
          </w:tcPr>
          <w:p>
            <w:r/>
            <w:r>
              <w:rPr>
                <w:sz w:val="18"/>
              </w:rPr>
              <w:t>1</w:t>
            </w:r>
          </w:p>
        </w:tc>
      </w:tr>
    </w:tbl>
    <w:p>
      <w:pPr>
        <w:spacing w:before="40" w:after="200"/>
      </w:pPr>
      <w:r>
        <w:rPr>
          <w:i/>
          <w:sz w:val="18"/>
        </w:rPr>
        <w:t xml:space="preserve">Note. </w:t>
      </w:r>
      <w:r>
        <w:rPr>
          <w:sz w:val="18"/>
        </w:rPr>
        <w:t>Zero narratives outside the inter-rater reliability subsample were reclassified through back-application. The single candidate identified (LP = 54, R3 Safety/OHS) was retained at the primary code of 0 following the operational threshold established by consensus in the inter-rater reliability discrepancy resolution (precedent: LP = 32, coded 0 by both coders under identical reasoning).</w:t>
      </w:r>
    </w:p>
    <w:p>
      <w:pPr>
        <w:keepNext/>
        <w:spacing w:before="240" w:after="120"/>
      </w:pPr>
      <w:r>
        <w:rPr>
          <w:b/>
          <w:sz w:val="24"/>
        </w:rPr>
        <w:t>Consequences for the analytical dataset</w:t>
      </w:r>
    </w:p>
    <w:p>
      <w:pPr>
        <w:spacing w:after="120"/>
        <w:ind w:firstLine="283"/>
      </w:pPr>
      <w:r>
        <w:rPr>
          <w:sz w:val="20"/>
        </w:rPr>
        <w:t>Zero reclassifications from back-application implies zero change to the Broad prevalence estimate. The prevalence of NARR_VALUE_MISALIGN = 1 in NARR_PROVIDED remains at 38 of 159 (23.9%). The Broad prevalence estimate is therefore stable not only under stringency variation (documented in the manuscript sensitivity analysis, Table 5) but also under application-scope variation. This constitutes additional evidence — beyond the sensitivity analysis — that the categorical claim is robust against the asymmetric application concern that motivated the back-application procedure.</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