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07" w:rsidRPr="00EE208E" w:rsidRDefault="00096B07" w:rsidP="00096B07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 w:rsidRPr="00EE208E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Online Resource </w:t>
      </w:r>
      <w:r w:rsidR="00B96925" w:rsidRPr="00EE208E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4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 xml:space="preserve">Title: </w:t>
      </w:r>
      <w:r w:rsidRPr="00EE208E">
        <w:rPr>
          <w:rFonts w:ascii="Times New Roman" w:hAnsi="Times New Roman" w:cs="Times New Roman"/>
          <w:sz w:val="20"/>
          <w:szCs w:val="20"/>
        </w:rPr>
        <w:tab/>
      </w:r>
      <w:r w:rsidR="00FF1747" w:rsidRPr="00FF1747">
        <w:rPr>
          <w:rFonts w:ascii="Times New Roman" w:hAnsi="Times New Roman" w:cs="Times New Roman"/>
          <w:sz w:val="20"/>
          <w:szCs w:val="20"/>
        </w:rPr>
        <w:t xml:space="preserve">Detection of downy and powdery mildew resistance QTL in a </w:t>
      </w:r>
      <w:r w:rsidR="00FF1747" w:rsidRPr="00FF1747">
        <w:rPr>
          <w:rFonts w:ascii="Times New Roman" w:hAnsi="Times New Roman" w:cs="Times New Roman"/>
          <w:sz w:val="20"/>
          <w:szCs w:val="20"/>
        </w:rPr>
        <w:br/>
      </w:r>
      <w:r w:rsidR="00FF1747" w:rsidRPr="00FF1747">
        <w:rPr>
          <w:rFonts w:ascii="Times New Roman" w:hAnsi="Times New Roman" w:cs="Times New Roman"/>
          <w:sz w:val="20"/>
          <w:szCs w:val="20"/>
        </w:rPr>
        <w:tab/>
      </w:r>
      <w:r w:rsidR="00FF1747">
        <w:rPr>
          <w:rFonts w:ascii="Times New Roman" w:hAnsi="Times New Roman" w:cs="Times New Roman"/>
          <w:sz w:val="20"/>
          <w:szCs w:val="20"/>
        </w:rPr>
        <w:t>‘Regent’ X </w:t>
      </w:r>
      <w:r w:rsidR="00FF1747" w:rsidRPr="00FF1747">
        <w:rPr>
          <w:rFonts w:ascii="Times New Roman" w:hAnsi="Times New Roman" w:cs="Times New Roman"/>
          <w:sz w:val="20"/>
          <w:szCs w:val="20"/>
        </w:rPr>
        <w:t>‘RedGlobe’ population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 xml:space="preserve">Journal: </w:t>
      </w:r>
      <w:r w:rsidRPr="00EE208E">
        <w:rPr>
          <w:rFonts w:ascii="Times New Roman" w:hAnsi="Times New Roman" w:cs="Times New Roman"/>
          <w:sz w:val="20"/>
          <w:szCs w:val="20"/>
        </w:rPr>
        <w:tab/>
      </w:r>
      <w:r w:rsidR="00F51584" w:rsidRPr="00F51584">
        <w:rPr>
          <w:rFonts w:ascii="Times New Roman" w:hAnsi="Times New Roman" w:cs="Times New Roman"/>
          <w:sz w:val="20"/>
          <w:szCs w:val="20"/>
        </w:rPr>
        <w:t>Euphytica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 xml:space="preserve">Authors: </w:t>
      </w:r>
      <w:r w:rsidRPr="00EE208E">
        <w:rPr>
          <w:rFonts w:ascii="Times New Roman" w:hAnsi="Times New Roman" w:cs="Times New Roman"/>
          <w:sz w:val="20"/>
          <w:szCs w:val="20"/>
        </w:rPr>
        <w:tab/>
        <w:t>C.J. Van Heerden P. Burger A. Vermeulen R. Prins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>Corresponding author:</w:t>
      </w:r>
      <w:r w:rsidRPr="00EE208E">
        <w:rPr>
          <w:rFonts w:ascii="Times New Roman" w:hAnsi="Times New Roman" w:cs="Times New Roman"/>
          <w:sz w:val="20"/>
          <w:szCs w:val="20"/>
        </w:rPr>
        <w:tab/>
        <w:t>R. Prins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>Affiliation:</w:t>
      </w:r>
      <w:r w:rsidRPr="00EE208E">
        <w:rPr>
          <w:rFonts w:ascii="Times New Roman" w:hAnsi="Times New Roman" w:cs="Times New Roman"/>
          <w:sz w:val="20"/>
          <w:szCs w:val="20"/>
        </w:rPr>
        <w:tab/>
        <w:t xml:space="preserve">CenGen (Pty) Ltd </w:t>
      </w:r>
      <w:r w:rsidRPr="00EE208E">
        <w:rPr>
          <w:rFonts w:ascii="Times New Roman" w:hAnsi="Times New Roman" w:cs="Times New Roman"/>
          <w:sz w:val="20"/>
          <w:szCs w:val="20"/>
          <w:lang w:val="en-GB"/>
        </w:rPr>
        <w:t>&amp; University of Free State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 xml:space="preserve">e-mail: </w:t>
      </w:r>
      <w:r w:rsidRPr="00EE208E">
        <w:rPr>
          <w:rFonts w:ascii="Times New Roman" w:hAnsi="Times New Roman" w:cs="Times New Roman"/>
          <w:sz w:val="20"/>
          <w:szCs w:val="20"/>
        </w:rPr>
        <w:tab/>
        <w:t>cengen@cengen.co.za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 xml:space="preserve">Tel: </w:t>
      </w:r>
      <w:r w:rsidRPr="00EE208E">
        <w:rPr>
          <w:rFonts w:ascii="Times New Roman" w:hAnsi="Times New Roman" w:cs="Times New Roman"/>
          <w:sz w:val="20"/>
          <w:szCs w:val="20"/>
        </w:rPr>
        <w:tab/>
        <w:t>+27 (0)23 342 5994</w:t>
      </w:r>
    </w:p>
    <w:p w:rsidR="00096B07" w:rsidRPr="00EE208E" w:rsidRDefault="00096B07" w:rsidP="00096B0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EE208E">
        <w:rPr>
          <w:rFonts w:ascii="Times New Roman" w:hAnsi="Times New Roman" w:cs="Times New Roman"/>
          <w:sz w:val="20"/>
          <w:szCs w:val="20"/>
        </w:rPr>
        <w:t xml:space="preserve">Fax: </w:t>
      </w:r>
      <w:r w:rsidRPr="00EE208E">
        <w:rPr>
          <w:rFonts w:ascii="Times New Roman" w:hAnsi="Times New Roman" w:cs="Times New Roman"/>
          <w:sz w:val="20"/>
          <w:szCs w:val="20"/>
        </w:rPr>
        <w:tab/>
        <w:t>+27 (0)86 675 2784</w:t>
      </w:r>
    </w:p>
    <w:p w:rsidR="00096B07" w:rsidRPr="00EE208E" w:rsidRDefault="00096B07" w:rsidP="00096B07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:rsidR="009E6F08" w:rsidRPr="00EE208E" w:rsidRDefault="00B96925" w:rsidP="00096B0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E208E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Table S</w:t>
      </w:r>
      <w:r w:rsidR="00010EB1" w:rsidRPr="00EE208E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4</w:t>
      </w:r>
      <w:r w:rsidR="003E5E8D" w:rsidRPr="00EE208E">
        <w:rPr>
          <w:rFonts w:ascii="Times New Roman" w:hAnsi="Times New Roman" w:cs="Times New Roman"/>
          <w:sz w:val="20"/>
          <w:szCs w:val="20"/>
          <w:lang w:val="en-GB"/>
        </w:rPr>
        <w:t xml:space="preserve"> Correlation</w:t>
      </w:r>
      <w:r w:rsidR="00554DFC" w:rsidRPr="00EE208E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3E5E8D" w:rsidRPr="00EE208E">
        <w:rPr>
          <w:rFonts w:ascii="Times New Roman" w:hAnsi="Times New Roman" w:cs="Times New Roman"/>
          <w:sz w:val="20"/>
          <w:szCs w:val="20"/>
          <w:lang w:val="en-GB"/>
        </w:rPr>
        <w:t xml:space="preserve"> between different powdery mildew scores</w:t>
      </w:r>
    </w:p>
    <w:tbl>
      <w:tblPr>
        <w:tblStyle w:val="LightShading"/>
        <w:tblW w:w="9039" w:type="dxa"/>
        <w:tblLook w:val="06A0"/>
      </w:tblPr>
      <w:tblGrid>
        <w:gridCol w:w="2394"/>
        <w:gridCol w:w="2394"/>
        <w:gridCol w:w="2394"/>
        <w:gridCol w:w="1857"/>
      </w:tblGrid>
      <w:tr w:rsidR="003E5E8D" w:rsidRPr="00EE208E" w:rsidTr="00F2285E">
        <w:trPr>
          <w:cnfStyle w:val="100000000000"/>
          <w:trHeight w:val="320"/>
        </w:trPr>
        <w:tc>
          <w:tcPr>
            <w:cnfStyle w:val="001000000000"/>
            <w:tcW w:w="2394" w:type="dxa"/>
          </w:tcPr>
          <w:p w:rsidR="003E5E8D" w:rsidRPr="00EE208E" w:rsidRDefault="003E5E8D" w:rsidP="00855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Spearman/Pearson</w:t>
            </w:r>
          </w:p>
        </w:tc>
        <w:tc>
          <w:tcPr>
            <w:tcW w:w="2394" w:type="dxa"/>
          </w:tcPr>
          <w:p w:rsidR="003E5E8D" w:rsidRPr="00EE208E" w:rsidRDefault="003E5E8D" w:rsidP="00855118">
            <w:pPr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2009_11_24</w:t>
            </w:r>
            <w:r w:rsidRPr="00EE2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94" w:type="dxa"/>
          </w:tcPr>
          <w:p w:rsidR="003E5E8D" w:rsidRPr="00EE208E" w:rsidRDefault="003E5E8D" w:rsidP="00855118">
            <w:pPr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2010_01_13</w:t>
            </w:r>
            <w:r w:rsidRPr="00EE2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57" w:type="dxa"/>
          </w:tcPr>
          <w:p w:rsidR="003E5E8D" w:rsidRPr="00EE208E" w:rsidRDefault="003E5E8D" w:rsidP="00855118">
            <w:pPr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2011_02_17</w:t>
            </w:r>
          </w:p>
        </w:tc>
      </w:tr>
      <w:tr w:rsidR="003E5E8D" w:rsidRPr="00EE208E" w:rsidTr="00F2285E">
        <w:tc>
          <w:tcPr>
            <w:cnfStyle w:val="001000000000"/>
            <w:tcW w:w="2394" w:type="dxa"/>
          </w:tcPr>
          <w:p w:rsidR="003E5E8D" w:rsidRPr="00EE208E" w:rsidRDefault="003E5E8D" w:rsidP="00855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2009_11_24</w:t>
            </w:r>
            <w:r w:rsidR="00554DFC" w:rsidRPr="00EE2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94" w:type="dxa"/>
          </w:tcPr>
          <w:p w:rsidR="003E5E8D" w:rsidRPr="00EE208E" w:rsidRDefault="003E5E8D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4" w:type="dxa"/>
          </w:tcPr>
          <w:p w:rsidR="003E5E8D" w:rsidRPr="00EE208E" w:rsidRDefault="003E5E8D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857" w:type="dxa"/>
          </w:tcPr>
          <w:p w:rsidR="003E5E8D" w:rsidRPr="00EE208E" w:rsidRDefault="003E5E8D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3E5E8D" w:rsidRPr="00EE208E" w:rsidTr="00F2285E">
        <w:tc>
          <w:tcPr>
            <w:cnfStyle w:val="001000000000"/>
            <w:tcW w:w="2394" w:type="dxa"/>
          </w:tcPr>
          <w:p w:rsidR="003E5E8D" w:rsidRPr="00EE208E" w:rsidRDefault="003E5E8D" w:rsidP="00855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2010_01_13</w:t>
            </w:r>
            <w:r w:rsidR="00554DFC" w:rsidRPr="00EE2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94" w:type="dxa"/>
          </w:tcPr>
          <w:p w:rsidR="003E5E8D" w:rsidRPr="00EE208E" w:rsidRDefault="003647B2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394" w:type="dxa"/>
          </w:tcPr>
          <w:p w:rsidR="003E5E8D" w:rsidRPr="00EE208E" w:rsidRDefault="003E5E8D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7" w:type="dxa"/>
          </w:tcPr>
          <w:p w:rsidR="003E5E8D" w:rsidRPr="00EE208E" w:rsidRDefault="003E5E8D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3E5E8D" w:rsidRPr="00EE208E" w:rsidTr="00F2285E">
        <w:tc>
          <w:tcPr>
            <w:cnfStyle w:val="001000000000"/>
            <w:tcW w:w="2394" w:type="dxa"/>
            <w:tcBorders>
              <w:bottom w:val="single" w:sz="8" w:space="0" w:color="000000" w:themeColor="text1"/>
            </w:tcBorders>
          </w:tcPr>
          <w:p w:rsidR="003E5E8D" w:rsidRPr="00EE208E" w:rsidRDefault="003E5E8D" w:rsidP="00855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2011_02_17</w:t>
            </w:r>
          </w:p>
        </w:tc>
        <w:tc>
          <w:tcPr>
            <w:tcW w:w="2394" w:type="dxa"/>
          </w:tcPr>
          <w:p w:rsidR="003E5E8D" w:rsidRPr="00EE208E" w:rsidRDefault="003647B2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394" w:type="dxa"/>
          </w:tcPr>
          <w:p w:rsidR="003E5E8D" w:rsidRPr="00EE208E" w:rsidRDefault="003647B2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857" w:type="dxa"/>
          </w:tcPr>
          <w:p w:rsidR="003E5E8D" w:rsidRPr="00EE208E" w:rsidRDefault="003E5E8D" w:rsidP="00855118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E20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12797" w:rsidRPr="00EE208E" w:rsidRDefault="00113A19" w:rsidP="003E5E8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E208E">
        <w:rPr>
          <w:rFonts w:ascii="Times New Roman" w:hAnsi="Times New Roman" w:cs="Times New Roman"/>
          <w:sz w:val="20"/>
          <w:szCs w:val="20"/>
          <w:lang w:val="en-GB"/>
        </w:rPr>
        <w:t>P&lt;0.0</w:t>
      </w:r>
      <w:r w:rsidR="00027E18">
        <w:rPr>
          <w:rFonts w:ascii="Times New Roman" w:hAnsi="Times New Roman" w:cs="Times New Roman"/>
          <w:sz w:val="20"/>
          <w:szCs w:val="20"/>
          <w:lang w:val="en-GB"/>
        </w:rPr>
        <w:t>0</w:t>
      </w:r>
      <w:r w:rsidRPr="00EE208E">
        <w:rPr>
          <w:rFonts w:ascii="Times New Roman" w:hAnsi="Times New Roman" w:cs="Times New Roman"/>
          <w:sz w:val="20"/>
          <w:szCs w:val="20"/>
          <w:lang w:val="en-GB"/>
        </w:rPr>
        <w:t>1</w:t>
      </w:r>
      <w:r w:rsidRPr="00EE208E">
        <w:rPr>
          <w:rFonts w:ascii="Times New Roman" w:hAnsi="Times New Roman" w:cs="Times New Roman"/>
          <w:sz w:val="20"/>
          <w:szCs w:val="20"/>
          <w:lang w:val="en-GB"/>
        </w:rPr>
        <w:br/>
      </w:r>
      <w:r w:rsidR="003E5E8D" w:rsidRPr="00EE208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="003E5E8D" w:rsidRPr="00EE208E">
        <w:rPr>
          <w:rFonts w:ascii="Times New Roman" w:hAnsi="Times New Roman" w:cs="Times New Roman"/>
          <w:sz w:val="20"/>
          <w:szCs w:val="20"/>
          <w:lang w:val="en-GB"/>
        </w:rPr>
        <w:t xml:space="preserve">The 2009 and 2010 scores are two independent scores taken in one season while the 2011 score was taken in the following season. </w:t>
      </w:r>
    </w:p>
    <w:p w:rsidR="008B2363" w:rsidRPr="00EE208E" w:rsidRDefault="003F79BE" w:rsidP="003E5E8D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8B2363" w:rsidRPr="00EE208E" w:rsidRDefault="007960F0" w:rsidP="003E5E8D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736380" cy="3032651"/>
            <wp:effectExtent l="0" t="0" r="17145" b="158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935EA" w:rsidRPr="002935EA" w:rsidRDefault="002935EA" w:rsidP="002935EA">
      <w:pPr>
        <w:rPr>
          <w:rFonts w:ascii="Times New Roman" w:hAnsi="Times New Roman" w:cs="Times New Roman"/>
          <w:sz w:val="20"/>
          <w:szCs w:val="20"/>
        </w:rPr>
      </w:pPr>
      <w:r w:rsidRPr="00AB3C94">
        <w:rPr>
          <w:rFonts w:ascii="Times New Roman" w:hAnsi="Times New Roman" w:cs="Times New Roman"/>
          <w:b/>
          <w:sz w:val="20"/>
          <w:szCs w:val="20"/>
        </w:rPr>
        <w:t>Fig</w:t>
      </w:r>
      <w:r w:rsidR="00AB3C94" w:rsidRPr="00AB3C94">
        <w:rPr>
          <w:rFonts w:ascii="Times New Roman" w:hAnsi="Times New Roman" w:cs="Times New Roman"/>
          <w:b/>
          <w:sz w:val="20"/>
          <w:szCs w:val="20"/>
        </w:rPr>
        <w:t>.</w:t>
      </w:r>
      <w:r w:rsidRPr="00AB3C94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401848">
        <w:rPr>
          <w:rFonts w:ascii="Times New Roman" w:hAnsi="Times New Roman" w:cs="Times New Roman"/>
          <w:b/>
          <w:sz w:val="20"/>
          <w:szCs w:val="20"/>
        </w:rPr>
        <w:t>3</w:t>
      </w:r>
      <w:r w:rsidRPr="002935EA">
        <w:rPr>
          <w:rFonts w:ascii="Times New Roman" w:hAnsi="Times New Roman" w:cs="Times New Roman"/>
          <w:sz w:val="20"/>
          <w:szCs w:val="20"/>
        </w:rPr>
        <w:t xml:space="preserve"> </w:t>
      </w:r>
      <w:r w:rsidR="00401848">
        <w:rPr>
          <w:rFonts w:ascii="Times New Roman" w:hAnsi="Times New Roman" w:cs="Times New Roman"/>
          <w:sz w:val="20"/>
          <w:szCs w:val="20"/>
        </w:rPr>
        <w:t>F</w:t>
      </w:r>
      <w:r w:rsidR="00E0052E" w:rsidRPr="00E0052E">
        <w:rPr>
          <w:rFonts w:ascii="Times New Roman" w:hAnsi="Times New Roman" w:cs="Times New Roman"/>
          <w:sz w:val="20"/>
          <w:szCs w:val="20"/>
        </w:rPr>
        <w:t xml:space="preserve">requency distribution of </w:t>
      </w:r>
      <w:r w:rsidR="00E0052E">
        <w:rPr>
          <w:rFonts w:ascii="Times New Roman" w:hAnsi="Times New Roman" w:cs="Times New Roman"/>
          <w:sz w:val="20"/>
          <w:szCs w:val="20"/>
        </w:rPr>
        <w:t>powdery</w:t>
      </w:r>
      <w:r w:rsidR="00E0052E" w:rsidRPr="00E0052E">
        <w:rPr>
          <w:rFonts w:ascii="Times New Roman" w:hAnsi="Times New Roman" w:cs="Times New Roman"/>
          <w:sz w:val="20"/>
          <w:szCs w:val="20"/>
        </w:rPr>
        <w:t xml:space="preserve"> mildew resistance</w:t>
      </w:r>
      <w:r w:rsidR="00401848">
        <w:rPr>
          <w:rFonts w:ascii="Times New Roman" w:hAnsi="Times New Roman" w:cs="Times New Roman"/>
          <w:sz w:val="20"/>
          <w:szCs w:val="20"/>
        </w:rPr>
        <w:t xml:space="preserve"> scores</w:t>
      </w:r>
      <w:r w:rsidR="00E0052E" w:rsidRPr="00E0052E">
        <w:rPr>
          <w:rFonts w:ascii="Times New Roman" w:hAnsi="Times New Roman" w:cs="Times New Roman"/>
          <w:sz w:val="20"/>
          <w:szCs w:val="20"/>
        </w:rPr>
        <w:t>. The phenotypic score</w:t>
      </w:r>
      <w:r w:rsidR="00401848">
        <w:rPr>
          <w:rFonts w:ascii="Times New Roman" w:hAnsi="Times New Roman" w:cs="Times New Roman"/>
          <w:sz w:val="20"/>
          <w:szCs w:val="20"/>
        </w:rPr>
        <w:t>s</w:t>
      </w:r>
      <w:r w:rsidR="00E0052E" w:rsidRPr="00E0052E">
        <w:rPr>
          <w:rFonts w:ascii="Times New Roman" w:hAnsi="Times New Roman" w:cs="Times New Roman"/>
          <w:sz w:val="20"/>
          <w:szCs w:val="20"/>
        </w:rPr>
        <w:t xml:space="preserve"> for </w:t>
      </w:r>
      <w:r w:rsidR="009F2D1B">
        <w:rPr>
          <w:rFonts w:ascii="Times New Roman" w:hAnsi="Times New Roman" w:cs="Times New Roman"/>
          <w:sz w:val="20"/>
          <w:szCs w:val="20"/>
        </w:rPr>
        <w:t>‘</w:t>
      </w:r>
      <w:r w:rsidR="00E0052E" w:rsidRPr="00E0052E">
        <w:rPr>
          <w:rFonts w:ascii="Times New Roman" w:hAnsi="Times New Roman" w:cs="Times New Roman"/>
          <w:sz w:val="20"/>
          <w:szCs w:val="20"/>
        </w:rPr>
        <w:t>Regent</w:t>
      </w:r>
      <w:r w:rsidR="009F2D1B">
        <w:rPr>
          <w:rFonts w:ascii="Times New Roman" w:hAnsi="Times New Roman" w:cs="Times New Roman"/>
          <w:sz w:val="20"/>
          <w:szCs w:val="20"/>
        </w:rPr>
        <w:t>’</w:t>
      </w:r>
      <w:r w:rsidR="00E0052E" w:rsidRPr="00E0052E">
        <w:rPr>
          <w:rFonts w:ascii="Times New Roman" w:hAnsi="Times New Roman" w:cs="Times New Roman"/>
          <w:sz w:val="20"/>
          <w:szCs w:val="20"/>
        </w:rPr>
        <w:t xml:space="preserve"> (solid arrow) and </w:t>
      </w:r>
      <w:r w:rsidR="009F2D1B">
        <w:rPr>
          <w:rFonts w:ascii="Times New Roman" w:hAnsi="Times New Roman" w:cs="Times New Roman"/>
          <w:sz w:val="20"/>
          <w:szCs w:val="20"/>
        </w:rPr>
        <w:t>‘</w:t>
      </w:r>
      <w:r w:rsidR="00E0052E" w:rsidRPr="00E0052E">
        <w:rPr>
          <w:rFonts w:ascii="Times New Roman" w:hAnsi="Times New Roman" w:cs="Times New Roman"/>
          <w:sz w:val="20"/>
          <w:szCs w:val="20"/>
        </w:rPr>
        <w:t>Red</w:t>
      </w:r>
      <w:r w:rsidR="00BB7B91">
        <w:rPr>
          <w:rFonts w:ascii="Times New Roman" w:hAnsi="Times New Roman" w:cs="Times New Roman"/>
          <w:sz w:val="20"/>
          <w:szCs w:val="20"/>
        </w:rPr>
        <w:t>G</w:t>
      </w:r>
      <w:r w:rsidR="00E0052E" w:rsidRPr="00E0052E">
        <w:rPr>
          <w:rFonts w:ascii="Times New Roman" w:hAnsi="Times New Roman" w:cs="Times New Roman"/>
          <w:sz w:val="20"/>
          <w:szCs w:val="20"/>
        </w:rPr>
        <w:t>lobe</w:t>
      </w:r>
      <w:r w:rsidR="009F2D1B">
        <w:rPr>
          <w:rFonts w:ascii="Times New Roman" w:hAnsi="Times New Roman" w:cs="Times New Roman"/>
          <w:sz w:val="20"/>
          <w:szCs w:val="20"/>
        </w:rPr>
        <w:t>’</w:t>
      </w:r>
      <w:r w:rsidR="00E0052E" w:rsidRPr="00E0052E">
        <w:rPr>
          <w:rFonts w:ascii="Times New Roman" w:hAnsi="Times New Roman" w:cs="Times New Roman"/>
          <w:sz w:val="20"/>
          <w:szCs w:val="20"/>
        </w:rPr>
        <w:t xml:space="preserve"> (broken arrow) </w:t>
      </w:r>
      <w:r w:rsidR="00401848">
        <w:rPr>
          <w:rFonts w:ascii="Times New Roman" w:hAnsi="Times New Roman" w:cs="Times New Roman"/>
          <w:sz w:val="20"/>
          <w:szCs w:val="20"/>
        </w:rPr>
        <w:t>are</w:t>
      </w:r>
      <w:r w:rsidR="00E0052E" w:rsidRPr="00E0052E">
        <w:rPr>
          <w:rFonts w:ascii="Times New Roman" w:hAnsi="Times New Roman" w:cs="Times New Roman"/>
          <w:sz w:val="20"/>
          <w:szCs w:val="20"/>
        </w:rPr>
        <w:t xml:space="preserve"> also indicated</w:t>
      </w:r>
    </w:p>
    <w:p w:rsidR="002935EA" w:rsidRPr="002935EA" w:rsidRDefault="00401848" w:rsidP="002935EA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591655" cy="3394463"/>
            <wp:effectExtent l="0" t="0" r="9525" b="1587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935EA" w:rsidRPr="002935EA" w:rsidRDefault="002935EA" w:rsidP="002935EA">
      <w:pPr>
        <w:rPr>
          <w:rFonts w:ascii="Times New Roman" w:hAnsi="Times New Roman" w:cs="Times New Roman"/>
          <w:sz w:val="20"/>
          <w:szCs w:val="20"/>
        </w:rPr>
      </w:pPr>
      <w:r w:rsidRPr="00AB3C94">
        <w:rPr>
          <w:rFonts w:ascii="Times New Roman" w:hAnsi="Times New Roman" w:cs="Times New Roman"/>
          <w:b/>
          <w:sz w:val="20"/>
          <w:szCs w:val="20"/>
        </w:rPr>
        <w:t>Fig</w:t>
      </w:r>
      <w:r w:rsidR="00AB3C94" w:rsidRPr="00AB3C94">
        <w:rPr>
          <w:rFonts w:ascii="Times New Roman" w:hAnsi="Times New Roman" w:cs="Times New Roman"/>
          <w:b/>
          <w:sz w:val="20"/>
          <w:szCs w:val="20"/>
        </w:rPr>
        <w:t>.</w:t>
      </w:r>
      <w:r w:rsidRPr="00AB3C94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401848">
        <w:rPr>
          <w:rFonts w:ascii="Times New Roman" w:hAnsi="Times New Roman" w:cs="Times New Roman"/>
          <w:b/>
          <w:sz w:val="20"/>
          <w:szCs w:val="20"/>
        </w:rPr>
        <w:t>4</w:t>
      </w:r>
      <w:r w:rsidRPr="002935EA">
        <w:rPr>
          <w:rFonts w:ascii="Times New Roman" w:hAnsi="Times New Roman" w:cs="Times New Roman"/>
          <w:sz w:val="20"/>
          <w:szCs w:val="20"/>
        </w:rPr>
        <w:t xml:space="preserve"> The </w:t>
      </w:r>
      <w:r w:rsidR="00401848">
        <w:rPr>
          <w:rFonts w:ascii="Times New Roman" w:hAnsi="Times New Roman" w:cs="Times New Roman"/>
          <w:sz w:val="20"/>
          <w:szCs w:val="20"/>
        </w:rPr>
        <w:t>mean</w:t>
      </w:r>
      <w:r w:rsidRPr="002935EA">
        <w:rPr>
          <w:rFonts w:ascii="Times New Roman" w:hAnsi="Times New Roman" w:cs="Times New Roman"/>
          <w:sz w:val="20"/>
          <w:szCs w:val="20"/>
        </w:rPr>
        <w:t xml:space="preserve"> </w:t>
      </w:r>
      <w:r w:rsidR="00401848">
        <w:rPr>
          <w:rFonts w:ascii="Times New Roman" w:hAnsi="Times New Roman" w:cs="Times New Roman"/>
          <w:sz w:val="20"/>
          <w:szCs w:val="20"/>
        </w:rPr>
        <w:t xml:space="preserve">powdery mildew </w:t>
      </w:r>
      <w:r w:rsidRPr="002935EA">
        <w:rPr>
          <w:rFonts w:ascii="Times New Roman" w:hAnsi="Times New Roman" w:cs="Times New Roman"/>
          <w:sz w:val="20"/>
          <w:szCs w:val="20"/>
        </w:rPr>
        <w:t>phenotypic score</w:t>
      </w:r>
      <w:r w:rsidR="002013FC">
        <w:rPr>
          <w:rFonts w:ascii="Times New Roman" w:hAnsi="Times New Roman" w:cs="Times New Roman"/>
          <w:sz w:val="20"/>
          <w:szCs w:val="20"/>
        </w:rPr>
        <w:t>s</w:t>
      </w:r>
      <w:r w:rsidRPr="002935EA">
        <w:rPr>
          <w:rFonts w:ascii="Times New Roman" w:hAnsi="Times New Roman" w:cs="Times New Roman"/>
          <w:sz w:val="20"/>
          <w:szCs w:val="20"/>
        </w:rPr>
        <w:t xml:space="preserve"> for the two possible genotypic classes (Ren3 and no QTL)</w:t>
      </w:r>
      <w:bookmarkStart w:id="0" w:name="_GoBack"/>
      <w:r w:rsidR="00BB7B91" w:rsidRPr="00BB7B91">
        <w:rPr>
          <w:rFonts w:ascii="Times New Roman" w:hAnsi="Times New Roman" w:cs="Times New Roman"/>
          <w:sz w:val="20"/>
          <w:szCs w:val="20"/>
        </w:rPr>
        <w:t>. The number of individuals per genotypic class is indicated in brackets</w:t>
      </w:r>
      <w:r w:rsidR="00401848">
        <w:rPr>
          <w:rFonts w:ascii="Times New Roman" w:hAnsi="Times New Roman" w:cs="Times New Roman"/>
          <w:sz w:val="20"/>
          <w:szCs w:val="20"/>
        </w:rPr>
        <w:t xml:space="preserve"> in the legend</w:t>
      </w:r>
      <w:r w:rsidR="00BB7B91" w:rsidRPr="00BB7B91">
        <w:rPr>
          <w:rFonts w:ascii="Times New Roman" w:hAnsi="Times New Roman" w:cs="Times New Roman"/>
          <w:sz w:val="20"/>
          <w:szCs w:val="20"/>
        </w:rPr>
        <w:t>. Error bars show the standard error of the means</w:t>
      </w:r>
      <w:bookmarkEnd w:id="0"/>
    </w:p>
    <w:p w:rsidR="00AB3C94" w:rsidRPr="00EE208E" w:rsidRDefault="00AB3C94">
      <w:pPr>
        <w:rPr>
          <w:rFonts w:ascii="Times New Roman" w:hAnsi="Times New Roman" w:cs="Times New Roman"/>
          <w:sz w:val="20"/>
          <w:szCs w:val="20"/>
        </w:rPr>
      </w:pPr>
    </w:p>
    <w:sectPr w:rsidR="00AB3C94" w:rsidRPr="00EE208E" w:rsidSect="00536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20"/>
  <w:characterSpacingControl w:val="doNotCompress"/>
  <w:compat/>
  <w:rsids>
    <w:rsidRoot w:val="003E5E8D"/>
    <w:rsid w:val="00010EB1"/>
    <w:rsid w:val="00027E18"/>
    <w:rsid w:val="00096B07"/>
    <w:rsid w:val="00113A19"/>
    <w:rsid w:val="002013FC"/>
    <w:rsid w:val="002519E1"/>
    <w:rsid w:val="002810E2"/>
    <w:rsid w:val="002935EA"/>
    <w:rsid w:val="003647B2"/>
    <w:rsid w:val="003D44CA"/>
    <w:rsid w:val="003E5E8D"/>
    <w:rsid w:val="003F79BE"/>
    <w:rsid w:val="00401848"/>
    <w:rsid w:val="004044E3"/>
    <w:rsid w:val="0046178A"/>
    <w:rsid w:val="00536FC8"/>
    <w:rsid w:val="00554DFC"/>
    <w:rsid w:val="005F65A3"/>
    <w:rsid w:val="007960F0"/>
    <w:rsid w:val="009F05DD"/>
    <w:rsid w:val="009F2D1B"/>
    <w:rsid w:val="00AB3C94"/>
    <w:rsid w:val="00B96925"/>
    <w:rsid w:val="00BB7B91"/>
    <w:rsid w:val="00C9019F"/>
    <w:rsid w:val="00E0052E"/>
    <w:rsid w:val="00E828F4"/>
    <w:rsid w:val="00EE208E"/>
    <w:rsid w:val="00F51584"/>
    <w:rsid w:val="00FA066B"/>
    <w:rsid w:val="00FF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3E5E8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1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60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5F6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3E5E8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1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60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5F6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5A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Carel_se_files\PROJECTS\Projects2006\VITIS\mapping\phenotypes\Plant%20seleksies\Phenotype_Genotype%20for%20Enec%20and%20Pvit%20INCL%20Chrom%201%20marker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Carel_se_files\PROJECTS\Projects2006\VITIS\mapping\phenotypes\Plant%20seleksies\Phenotype_Genotype%20for%20Enec%20and%20Pvit%20INCL%20Chrom%201%20marker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8.9345853776531023E-2"/>
          <c:y val="0.19929643122967841"/>
          <c:w val="0.73077422406105708"/>
          <c:h val="0.66466475272680481"/>
        </c:manualLayout>
      </c:layout>
      <c:barChart>
        <c:barDir val="col"/>
        <c:grouping val="clustered"/>
        <c:ser>
          <c:idx val="7"/>
          <c:order val="0"/>
          <c:tx>
            <c:strRef>
              <c:f>'Enec AND Pvit'!$I$217</c:f>
              <c:strCache>
                <c:ptCount val="1"/>
                <c:pt idx="0">
                  <c:v>2009_11_24 (a)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cat>
            <c:numRef>
              <c:f>'Enec AND Pvit'!$A$218:$A$222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7</c:v>
                </c:pt>
                <c:pt idx="4">
                  <c:v>9</c:v>
                </c:pt>
              </c:numCache>
            </c:numRef>
          </c:cat>
          <c:val>
            <c:numRef>
              <c:f>'Enec AND Pvit'!$I$218:$I$222</c:f>
              <c:numCache>
                <c:formatCode>General</c:formatCode>
                <c:ptCount val="5"/>
                <c:pt idx="0">
                  <c:v>32</c:v>
                </c:pt>
                <c:pt idx="1">
                  <c:v>34</c:v>
                </c:pt>
                <c:pt idx="2">
                  <c:v>30</c:v>
                </c:pt>
                <c:pt idx="3">
                  <c:v>39</c:v>
                </c:pt>
                <c:pt idx="4">
                  <c:v>49</c:v>
                </c:pt>
              </c:numCache>
            </c:numRef>
          </c:val>
        </c:ser>
        <c:ser>
          <c:idx val="8"/>
          <c:order val="1"/>
          <c:tx>
            <c:strRef>
              <c:f>'Enec AND Pvit'!$J$217</c:f>
              <c:strCache>
                <c:ptCount val="1"/>
                <c:pt idx="0">
                  <c:v>2010_01_13 (b)</c:v>
                </c:pt>
              </c:strCache>
            </c:strRef>
          </c:tx>
          <c:spPr>
            <a:solidFill>
              <a:schemeClr val="accent2"/>
            </a:solidFill>
          </c:spPr>
          <c:cat>
            <c:numRef>
              <c:f>'Enec AND Pvit'!$A$218:$A$222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7</c:v>
                </c:pt>
                <c:pt idx="4">
                  <c:v>9</c:v>
                </c:pt>
              </c:numCache>
            </c:numRef>
          </c:cat>
          <c:val>
            <c:numRef>
              <c:f>'Enec AND Pvit'!$J$218:$J$222</c:f>
              <c:numCache>
                <c:formatCode>General</c:formatCode>
                <c:ptCount val="5"/>
                <c:pt idx="0">
                  <c:v>55</c:v>
                </c:pt>
                <c:pt idx="1">
                  <c:v>67</c:v>
                </c:pt>
                <c:pt idx="2">
                  <c:v>36</c:v>
                </c:pt>
                <c:pt idx="3">
                  <c:v>27</c:v>
                </c:pt>
                <c:pt idx="4">
                  <c:v>3</c:v>
                </c:pt>
              </c:numCache>
            </c:numRef>
          </c:val>
        </c:ser>
        <c:ser>
          <c:idx val="9"/>
          <c:order val="2"/>
          <c:tx>
            <c:strRef>
              <c:f>'Enec AND Pvit'!$K$217</c:f>
              <c:strCache>
                <c:ptCount val="1"/>
                <c:pt idx="0">
                  <c:v>2011_02_17 (c)</c:v>
                </c:pt>
              </c:strCache>
            </c:strRef>
          </c:tx>
          <c:spPr>
            <a:ln>
              <a:solidFill>
                <a:schemeClr val="accent3"/>
              </a:solidFill>
            </a:ln>
          </c:spPr>
          <c:cat>
            <c:numRef>
              <c:f>'Enec AND Pvit'!$A$218:$A$222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7</c:v>
                </c:pt>
                <c:pt idx="4">
                  <c:v>9</c:v>
                </c:pt>
              </c:numCache>
            </c:numRef>
          </c:cat>
          <c:val>
            <c:numRef>
              <c:f>'Enec AND Pvit'!$K$218:$K$222</c:f>
              <c:numCache>
                <c:formatCode>General</c:formatCode>
                <c:ptCount val="5"/>
                <c:pt idx="0">
                  <c:v>80</c:v>
                </c:pt>
                <c:pt idx="1">
                  <c:v>42</c:v>
                </c:pt>
                <c:pt idx="2">
                  <c:v>34</c:v>
                </c:pt>
                <c:pt idx="3">
                  <c:v>18</c:v>
                </c:pt>
                <c:pt idx="4">
                  <c:v>3</c:v>
                </c:pt>
              </c:numCache>
            </c:numRef>
          </c:val>
        </c:ser>
        <c:dLbls/>
        <c:axId val="130391424"/>
        <c:axId val="130455040"/>
      </c:barChart>
      <c:catAx>
        <c:axId val="130391424"/>
        <c:scaling>
          <c:orientation val="minMax"/>
        </c:scaling>
        <c:axPos val="b"/>
        <c:title>
          <c:tx>
            <c:rich>
              <a:bodyPr/>
              <a:lstStyle/>
              <a:p>
                <a:pPr algn="ctr" rtl="0">
                  <a:defRPr lang="en-ZA" sz="12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+mn-cs"/>
                  </a:defRPr>
                </a:pPr>
                <a:r>
                  <a:rPr lang="en-ZA" sz="12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+mn-cs"/>
                  </a:rPr>
                  <a:t>Powdery mildew resistance classes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130455040"/>
        <c:crosses val="autoZero"/>
        <c:auto val="1"/>
        <c:lblAlgn val="ctr"/>
        <c:lblOffset val="100"/>
      </c:catAx>
      <c:valAx>
        <c:axId val="130455040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r>
                  <a:rPr lang="en-ZA" sz="1200" baseline="0">
                    <a:latin typeface="Times New Roman" pitchFamily="18" charset="0"/>
                  </a:rPr>
                  <a:t>Number of plants</a:t>
                </a:r>
              </a:p>
            </c:rich>
          </c:tx>
          <c:layout/>
        </c:title>
        <c:numFmt formatCode="General" sourceLinked="1"/>
        <c:tickLblPos val="nextTo"/>
        <c:crossAx val="130391424"/>
        <c:crosses val="autoZero"/>
        <c:crossBetween val="between"/>
      </c:valAx>
      <c:spPr>
        <a:noFill/>
      </c:spPr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11068285214348206"/>
          <c:y val="4.214129483814525E-2"/>
          <c:w val="0.73357193987115243"/>
          <c:h val="0.76529833340401177"/>
        </c:manualLayout>
      </c:layout>
      <c:barChart>
        <c:barDir val="col"/>
        <c:grouping val="clustered"/>
        <c:ser>
          <c:idx val="0"/>
          <c:order val="0"/>
          <c:tx>
            <c:strRef>
              <c:f>LG15_Vs_No_LG15!$A$3</c:f>
              <c:strCache>
                <c:ptCount val="1"/>
                <c:pt idx="0">
                  <c:v>Ren3 (113)</c:v>
                </c:pt>
              </c:strCache>
            </c:strRef>
          </c:tx>
          <c:errBars>
            <c:errBarType val="both"/>
            <c:errValType val="cust"/>
            <c:plus>
              <c:numRef>
                <c:f>LG15_Vs_No_LG15!$B$6:$D$6</c:f>
                <c:numCache>
                  <c:formatCode>General</c:formatCode>
                  <c:ptCount val="3"/>
                  <c:pt idx="0">
                    <c:v>0.20383945119207439</c:v>
                  </c:pt>
                  <c:pt idx="1">
                    <c:v>0.18474763303224573</c:v>
                  </c:pt>
                  <c:pt idx="2">
                    <c:v>0.18904654899124806</c:v>
                  </c:pt>
                </c:numCache>
              </c:numRef>
            </c:plus>
            <c:minus>
              <c:numRef>
                <c:f>LG15_Vs_No_LG15!$B$6:$D$6</c:f>
                <c:numCache>
                  <c:formatCode>General</c:formatCode>
                  <c:ptCount val="3"/>
                  <c:pt idx="0">
                    <c:v>0.20383945119207439</c:v>
                  </c:pt>
                  <c:pt idx="1">
                    <c:v>0.18474763303224573</c:v>
                  </c:pt>
                  <c:pt idx="2">
                    <c:v>0.18904654899124806</c:v>
                  </c:pt>
                </c:numCache>
              </c:numRef>
            </c:minus>
          </c:errBars>
          <c:cat>
            <c:strRef>
              <c:f>LG15_Vs_No_LG15!$B$2:$D$2</c:f>
              <c:strCache>
                <c:ptCount val="3"/>
                <c:pt idx="0">
                  <c:v>2009_11_24</c:v>
                </c:pt>
                <c:pt idx="1">
                  <c:v>2010_01_13</c:v>
                </c:pt>
                <c:pt idx="2">
                  <c:v>2011_02_17</c:v>
                </c:pt>
              </c:strCache>
            </c:strRef>
          </c:cat>
          <c:val>
            <c:numRef>
              <c:f>LG15_Vs_No_LG15!$B$3:$D$3</c:f>
              <c:numCache>
                <c:formatCode>General</c:formatCode>
                <c:ptCount val="3"/>
                <c:pt idx="0">
                  <c:v>6.9082568807339459</c:v>
                </c:pt>
                <c:pt idx="1">
                  <c:v>4.4000000000000004</c:v>
                </c:pt>
                <c:pt idx="2">
                  <c:v>3.9807692307692308</c:v>
                </c:pt>
              </c:numCache>
            </c:numRef>
          </c:val>
        </c:ser>
        <c:ser>
          <c:idx val="1"/>
          <c:order val="1"/>
          <c:tx>
            <c:strRef>
              <c:f>LG15_Vs_No_LG15!$F$3</c:f>
              <c:strCache>
                <c:ptCount val="1"/>
                <c:pt idx="0">
                  <c:v>No QTL (73)</c:v>
                </c:pt>
              </c:strCache>
            </c:strRef>
          </c:tx>
          <c:errBars>
            <c:errBarType val="both"/>
            <c:errValType val="cust"/>
            <c:plus>
              <c:numRef>
                <c:f>LG15_Vs_No_LG15!$G$6:$I$6</c:f>
                <c:numCache>
                  <c:formatCode>General</c:formatCode>
                  <c:ptCount val="3"/>
                  <c:pt idx="0">
                    <c:v>0.28723570246658414</c:v>
                  </c:pt>
                  <c:pt idx="1">
                    <c:v>0.17050065368229345</c:v>
                  </c:pt>
                  <c:pt idx="2">
                    <c:v>0.14074072843521823</c:v>
                  </c:pt>
                </c:numCache>
              </c:numRef>
            </c:plus>
            <c:minus>
              <c:numRef>
                <c:f>LG15_Vs_No_LG15!$G$6:$I$6</c:f>
                <c:numCache>
                  <c:formatCode>General</c:formatCode>
                  <c:ptCount val="3"/>
                  <c:pt idx="0">
                    <c:v>0.28723570246658414</c:v>
                  </c:pt>
                  <c:pt idx="1">
                    <c:v>0.17050065368229345</c:v>
                  </c:pt>
                  <c:pt idx="2">
                    <c:v>0.14074072843521823</c:v>
                  </c:pt>
                </c:numCache>
              </c:numRef>
            </c:minus>
          </c:errBars>
          <c:val>
            <c:numRef>
              <c:f>LG15_Vs_No_LG15!$G$3:$I$3</c:f>
              <c:numCache>
                <c:formatCode>General</c:formatCode>
                <c:ptCount val="3"/>
                <c:pt idx="0">
                  <c:v>3.09375</c:v>
                </c:pt>
                <c:pt idx="1">
                  <c:v>1.9696969696969699</c:v>
                </c:pt>
                <c:pt idx="2">
                  <c:v>1.3174603174603172</c:v>
                </c:pt>
              </c:numCache>
            </c:numRef>
          </c:val>
        </c:ser>
        <c:dLbls/>
        <c:axId val="130908544"/>
        <c:axId val="130910464"/>
      </c:barChart>
      <c:catAx>
        <c:axId val="130908544"/>
        <c:scaling>
          <c:orientation val="minMax"/>
        </c:scaling>
        <c:axPos val="b"/>
        <c:title>
          <c:tx>
            <c:rich>
              <a:bodyPr/>
              <a:lstStyle/>
              <a:p>
                <a:pPr algn="ctr" rtl="0">
                  <a:defRPr lang="en-ZA" sz="12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+mn-cs"/>
                  </a:defRPr>
                </a:pPr>
                <a:r>
                  <a:rPr lang="en-ZA" sz="1200" b="1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+mn-cs"/>
                  </a:rPr>
                  <a:t>Powdery mildew scores</a:t>
                </a:r>
              </a:p>
            </c:rich>
          </c:tx>
          <c:layout>
            <c:manualLayout>
              <c:xMode val="edge"/>
              <c:yMode val="edge"/>
              <c:x val="0.35944464328322601"/>
              <c:y val="0.91186230439760818"/>
            </c:manualLayout>
          </c:layout>
        </c:title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30910464"/>
        <c:crosses val="autoZero"/>
        <c:auto val="1"/>
        <c:lblAlgn val="ctr"/>
        <c:lblOffset val="100"/>
      </c:catAx>
      <c:valAx>
        <c:axId val="13091046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r>
                  <a:rPr lang="en-ZA" sz="1200" baseline="0">
                    <a:latin typeface="Times New Roman" pitchFamily="18" charset="0"/>
                  </a:rPr>
                  <a:t>Mean phenotypic score</a:t>
                </a:r>
              </a:p>
            </c:rich>
          </c:tx>
          <c:layout>
            <c:manualLayout>
              <c:xMode val="edge"/>
              <c:yMode val="edge"/>
              <c:x val="1.3435337628251011E-2"/>
              <c:y val="0.19583327443469084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3090854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 b="0" i="0" baseline="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1200" baseline="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</c:legendEntry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0.60457</cdr:x>
      <cdr:y>0.13517</cdr:y>
    </cdr:from>
    <cdr:to>
      <cdr:x>0.60457</cdr:x>
      <cdr:y>0.23566</cdr:y>
    </cdr:to>
    <cdr:cxnSp macro="">
      <cdr:nvCxnSpPr>
        <cdr:cNvPr id="3" name="Straight Arrow Connector 2"/>
        <cdr:cNvCxnSpPr/>
      </cdr:nvCxnSpPr>
      <cdr:spPr>
        <a:xfrm xmlns:a="http://schemas.openxmlformats.org/drawingml/2006/main">
          <a:off x="4186464" y="603830"/>
          <a:ext cx="0" cy="448911"/>
        </a:xfrm>
        <a:prstGeom xmlns:a="http://schemas.openxmlformats.org/drawingml/2006/main" prst="straightConnector1">
          <a:avLst/>
        </a:prstGeom>
        <a:ln xmlns:a="http://schemas.openxmlformats.org/drawingml/2006/main" w="38100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0.16742</cdr:x>
      <cdr:y>0.13234</cdr:y>
    </cdr:from>
    <cdr:to>
      <cdr:x>0.16859</cdr:x>
      <cdr:y>0.23679</cdr:y>
    </cdr:to>
    <cdr:cxnSp macro="">
      <cdr:nvCxnSpPr>
        <cdr:cNvPr id="4" name="Straight Arrow Connector 3"/>
        <cdr:cNvCxnSpPr/>
      </cdr:nvCxnSpPr>
      <cdr:spPr>
        <a:xfrm xmlns:a="http://schemas.openxmlformats.org/drawingml/2006/main" flipH="1">
          <a:off x="960314" y="401284"/>
          <a:ext cx="6713" cy="316693"/>
        </a:xfrm>
        <a:prstGeom xmlns:a="http://schemas.openxmlformats.org/drawingml/2006/main" prst="straightConnector1">
          <a:avLst/>
        </a:prstGeom>
        <a:ln xmlns:a="http://schemas.openxmlformats.org/drawingml/2006/main" w="38100">
          <a:prstDash val="sysDot"/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0.31383</cdr:x>
      <cdr:y>0.13234</cdr:y>
    </cdr:from>
    <cdr:to>
      <cdr:x>0.31539</cdr:x>
      <cdr:y>0.23729</cdr:y>
    </cdr:to>
    <cdr:cxnSp macro="">
      <cdr:nvCxnSpPr>
        <cdr:cNvPr id="5" name="Straight Arrow Connector 4"/>
        <cdr:cNvCxnSpPr/>
      </cdr:nvCxnSpPr>
      <cdr:spPr>
        <a:xfrm xmlns:a="http://schemas.openxmlformats.org/drawingml/2006/main" flipH="1">
          <a:off x="1800115" y="401284"/>
          <a:ext cx="8950" cy="318209"/>
        </a:xfrm>
        <a:prstGeom xmlns:a="http://schemas.openxmlformats.org/drawingml/2006/main" prst="straightConnector1">
          <a:avLst/>
        </a:prstGeom>
        <a:ln xmlns:a="http://schemas.openxmlformats.org/drawingml/2006/main" w="38100">
          <a:prstDash val="sysDot"/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0.28541</cdr:x>
      <cdr:y>0.04711</cdr:y>
    </cdr:from>
    <cdr:to>
      <cdr:x>0.35006</cdr:x>
      <cdr:y>0.126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637124" y="142842"/>
          <a:ext cx="370829" cy="2392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ZA" sz="1200">
              <a:latin typeface="Times New Roman" pitchFamily="18" charset="0"/>
              <a:cs typeface="Times New Roman" pitchFamily="18" charset="0"/>
            </a:rPr>
            <a:t>(b)</a:t>
          </a:r>
        </a:p>
      </cdr:txBody>
    </cdr:sp>
  </cdr:relSizeAnchor>
  <cdr:relSizeAnchor xmlns:cdr="http://schemas.openxmlformats.org/drawingml/2006/chartDrawing">
    <cdr:from>
      <cdr:x>0.5557</cdr:x>
      <cdr:y>0.04734</cdr:y>
    </cdr:from>
    <cdr:to>
      <cdr:x>0.65028</cdr:x>
      <cdr:y>0.1215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3187463" y="143529"/>
          <a:ext cx="542499" cy="2248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ZA" sz="1200">
              <a:latin typeface="Times New Roman" pitchFamily="18" charset="0"/>
              <a:cs typeface="Times New Roman" pitchFamily="18" charset="0"/>
            </a:rPr>
            <a:t>(a,b,c)</a:t>
          </a:r>
        </a:p>
      </cdr:txBody>
    </cdr:sp>
  </cdr:relSizeAnchor>
  <cdr:relSizeAnchor xmlns:cdr="http://schemas.openxmlformats.org/drawingml/2006/chartDrawing">
    <cdr:from>
      <cdr:x>0.13186</cdr:x>
      <cdr:y>0.05219</cdr:y>
    </cdr:from>
    <cdr:to>
      <cdr:x>0.20544</cdr:x>
      <cdr:y>0.1215</cdr:y>
    </cdr:to>
    <cdr:sp macro="" textlink="">
      <cdr:nvSpPr>
        <cdr:cNvPr id="7" name="TextBox 5"/>
        <cdr:cNvSpPr txBox="1"/>
      </cdr:nvSpPr>
      <cdr:spPr>
        <a:xfrm xmlns:a="http://schemas.openxmlformats.org/drawingml/2006/main">
          <a:off x="756368" y="158235"/>
          <a:ext cx="422052" cy="2101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en-ZA"/>
            <a:t>(a,c)</a:t>
          </a:r>
        </a:p>
      </cdr:txBody>
    </cdr:sp>
  </cdr:relSizeAnchor>
  <cdr:relSizeAnchor xmlns:cdr="http://schemas.openxmlformats.org/drawingml/2006/chartDrawing">
    <cdr:from>
      <cdr:x>0.5531</cdr:x>
      <cdr:y>0.08906</cdr:y>
    </cdr:from>
    <cdr:to>
      <cdr:x>0.69982</cdr:x>
      <cdr:y>0.16321</cdr:y>
    </cdr:to>
    <cdr:sp macro="" textlink="">
      <cdr:nvSpPr>
        <cdr:cNvPr id="8" name="TextBox 5"/>
        <cdr:cNvSpPr txBox="1"/>
      </cdr:nvSpPr>
      <cdr:spPr>
        <a:xfrm xmlns:a="http://schemas.openxmlformats.org/drawingml/2006/main">
          <a:off x="3170074" y="329236"/>
          <a:ext cx="840933" cy="274151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0010013</cp:lastModifiedBy>
  <cp:revision>2</cp:revision>
  <dcterms:created xsi:type="dcterms:W3CDTF">2014-05-28T14:34:00Z</dcterms:created>
  <dcterms:modified xsi:type="dcterms:W3CDTF">2014-05-28T14:34:00Z</dcterms:modified>
</cp:coreProperties>
</file>