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631" w:rsidRPr="008427E2" w:rsidRDefault="00087686" w:rsidP="000046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Supplementary 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Table 1.</w:t>
      </w:r>
      <w:r w:rsidR="00004631" w:rsidRPr="008427E2">
        <w:rPr>
          <w:rFonts w:ascii="Arial" w:hAnsi="Arial" w:cs="Arial"/>
          <w:sz w:val="20"/>
          <w:szCs w:val="20"/>
        </w:rPr>
        <w:t xml:space="preserve"> Genes involved in PUE, mainly from </w:t>
      </w:r>
      <w:r w:rsidR="00004631" w:rsidRPr="008427E2">
        <w:rPr>
          <w:rFonts w:ascii="Arial" w:hAnsi="Arial" w:cs="Arial"/>
          <w:i/>
          <w:sz w:val="20"/>
          <w:szCs w:val="20"/>
        </w:rPr>
        <w:t>Arabidopsis</w:t>
      </w:r>
      <w:r w:rsidR="00004631" w:rsidRPr="008427E2">
        <w:rPr>
          <w:rFonts w:ascii="Arial" w:hAnsi="Arial" w:cs="Arial"/>
          <w:sz w:val="20"/>
          <w:szCs w:val="20"/>
        </w:rPr>
        <w:t xml:space="preserve">, based on reviews by Chiou and Lin (2011) and López-Arredondo et al. (2014), plus references specifically indicated.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1843"/>
        <w:gridCol w:w="6095"/>
        <w:gridCol w:w="3906"/>
      </w:tblGrid>
      <w:tr w:rsidR="00004631" w:rsidRPr="008427E2" w:rsidTr="00CE5C05">
        <w:trPr>
          <w:trHeight w:val="315"/>
        </w:trPr>
        <w:tc>
          <w:tcPr>
            <w:tcW w:w="2376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8427E2">
              <w:rPr>
                <w:rFonts w:ascii="Arial" w:eastAsia="Times New Roman" w:hAnsi="Arial" w:cs="Arial"/>
                <w:b/>
                <w:color w:val="000000"/>
              </w:rPr>
              <w:t>Type</w:t>
            </w: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8427E2">
              <w:rPr>
                <w:rFonts w:ascii="Arial" w:eastAsia="Times New Roman" w:hAnsi="Arial" w:cs="Arial"/>
                <w:b/>
                <w:color w:val="000000"/>
              </w:rPr>
              <w:t>Gene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8427E2">
              <w:rPr>
                <w:rFonts w:ascii="Arial" w:eastAsia="Times New Roman" w:hAnsi="Arial" w:cs="Arial"/>
                <w:b/>
                <w:color w:val="000000"/>
              </w:rPr>
              <w:t>Role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8427E2">
              <w:rPr>
                <w:rFonts w:ascii="Arial" w:eastAsia="Times New Roman" w:hAnsi="Arial" w:cs="Arial"/>
                <w:b/>
                <w:color w:val="000000"/>
              </w:rPr>
              <w:t>Comments</w:t>
            </w:r>
          </w:p>
        </w:tc>
      </w:tr>
      <w:tr w:rsidR="00004631" w:rsidRPr="008427E2" w:rsidTr="00CE5C05">
        <w:trPr>
          <w:trHeight w:val="1205"/>
        </w:trPr>
        <w:tc>
          <w:tcPr>
            <w:tcW w:w="2376" w:type="dxa"/>
            <w:vMerge w:val="restart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427E2">
              <w:rPr>
                <w:rFonts w:ascii="Arial" w:eastAsia="Times New Roman" w:hAnsi="Arial" w:cs="Arial"/>
                <w:color w:val="000000"/>
                <w:sz w:val="22"/>
              </w:rPr>
              <w:t>Transcription factors (often de-repression upon low P)</w:t>
            </w: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8427E2">
              <w:rPr>
                <w:rFonts w:ascii="Arial" w:eastAsia="Times New Roman" w:hAnsi="Arial" w:cs="Arial"/>
                <w:b/>
                <w:bCs/>
                <w:color w:val="000000"/>
              </w:rPr>
              <w:t>PHR1 / PHL1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 xml:space="preserve">R2R3 MYB-CC transcription factor binding P1BS element in Pi-responsive gene promoters in Arabidopsis (orthologs rice, common bean), involved in root architecture/P transport-allocation/anthocyanin/starch accumulation/only minor role in lipid remodelling (phr1 mutant, overexpressing PHR1) 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interestingly not up-regulated under low P microarray so post-transcriptional modification?</w:t>
            </w:r>
          </w:p>
        </w:tc>
      </w:tr>
      <w:tr w:rsidR="00004631" w:rsidRPr="008427E2" w:rsidTr="00CE5C05">
        <w:trPr>
          <w:trHeight w:val="51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SIZ1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SUMO E3 ligase sumoylating PHR1, involved in root architecture, mutant exaggerated PSR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CE5C05">
        <w:trPr>
          <w:trHeight w:val="765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SCR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SCARECROW, interacting with SHR in controlling radial patterning in roots, incl. endodermis development, both under control of PDR2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CE5C05">
        <w:trPr>
          <w:trHeight w:val="531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PRD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belonging to AINTEGUMENTA-like (AIL) gene family involved in regulating primary &amp; lateral root elongation, repressed at low P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Camacho-Cristóbal et al. (2008)</w:t>
            </w:r>
          </w:p>
        </w:tc>
      </w:tr>
      <w:tr w:rsidR="00004631" w:rsidRPr="008427E2" w:rsidTr="00CE5C05">
        <w:trPr>
          <w:trHeight w:val="709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PTF1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bHLH transcription factor, binding promoter E- and G-boxes, positively controls P-responsive genes, root and shoot growth, P content, overexpression enhanced root surface and P content NB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Variation between species: found in cereals, but no functional homologue identified in Arabidopsis until now</w:t>
            </w:r>
          </w:p>
        </w:tc>
      </w:tr>
      <w:tr w:rsidR="00004631" w:rsidRPr="008427E2" w:rsidTr="00CE5C05">
        <w:trPr>
          <w:trHeight w:val="3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bHLH32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negative regulator of P responsiveness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CE5C05">
        <w:trPr>
          <w:trHeight w:val="525"/>
        </w:trPr>
        <w:tc>
          <w:tcPr>
            <w:tcW w:w="2376" w:type="dxa"/>
            <w:vMerge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RSL4</w:t>
            </w:r>
          </w:p>
        </w:tc>
        <w:tc>
          <w:tcPr>
            <w:tcW w:w="6095" w:type="dxa"/>
            <w:noWrap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bHLH transcription factor, regulating root hair growth, responsive to low P</w:t>
            </w:r>
          </w:p>
        </w:tc>
        <w:tc>
          <w:tcPr>
            <w:tcW w:w="3906" w:type="dxa"/>
            <w:noWrap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Yi et al. (2010)</w:t>
            </w:r>
          </w:p>
        </w:tc>
      </w:tr>
      <w:tr w:rsidR="00004631" w:rsidRPr="008427E2" w:rsidTr="00CE5C05">
        <w:trPr>
          <w:trHeight w:val="765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ZAT6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C2H2 zinc finger trancription factor, positively controls root architecture by regulating primary meristem activity and P uptake/homeostasis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CE5C05">
        <w:trPr>
          <w:trHeight w:val="3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Nitf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Leu-zipper transcription factor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CE5C05">
        <w:trPr>
          <w:trHeight w:val="286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WRKY6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Pi-dependent suppressor of PHO1 through promoter W-box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CE5C05">
        <w:trPr>
          <w:trHeight w:val="51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WRKY75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modulator of P acquisition (upregulation PSI genes) &amp; root development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Devaiah et al. (2007), also involved in disease resistance</w:t>
            </w:r>
          </w:p>
        </w:tc>
      </w:tr>
      <w:tr w:rsidR="00004631" w:rsidRPr="008427E2" w:rsidTr="00CE5C05">
        <w:trPr>
          <w:trHeight w:val="765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MYB62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R2R3-type MYB, P starvation responses, strongly induced in leaves at low P, crosstalk by repressing GA biosynthesis, overexpression shorter lateral roots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Devaiah et al. (2009)</w:t>
            </w:r>
          </w:p>
        </w:tc>
      </w:tr>
      <w:tr w:rsidR="00004631" w:rsidRPr="008427E2" w:rsidTr="00CE5C05">
        <w:trPr>
          <w:trHeight w:val="572"/>
        </w:trPr>
        <w:tc>
          <w:tcPr>
            <w:tcW w:w="2376" w:type="dxa"/>
            <w:hideMark/>
          </w:tcPr>
          <w:p w:rsidR="00004631" w:rsidRPr="008427E2" w:rsidRDefault="00004631" w:rsidP="00CE5C05">
            <w:pPr>
              <w:spacing w:after="240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427E2">
              <w:rPr>
                <w:rFonts w:ascii="Arial" w:eastAsia="Times New Roman" w:hAnsi="Arial" w:cs="Arial"/>
                <w:color w:val="000000"/>
                <w:sz w:val="22"/>
              </w:rPr>
              <w:t>microRNA</w:t>
            </w: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miR399</w:t>
            </w:r>
          </w:p>
        </w:tc>
        <w:tc>
          <w:tcPr>
            <w:tcW w:w="6095" w:type="dxa"/>
            <w:hideMark/>
          </w:tcPr>
          <w:p w:rsidR="00004631" w:rsidRPr="008427E2" w:rsidRDefault="00004631" w:rsidP="00CE5C05">
            <w:pPr>
              <w:spacing w:after="240"/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regulated by tf PHR1, shoot-derived long-distance signal towards roots, targets PHO2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</w:tr>
      <w:tr w:rsidR="00004631" w:rsidRPr="008427E2" w:rsidTr="00CE5C05">
        <w:trPr>
          <w:trHeight w:val="300"/>
        </w:trPr>
        <w:tc>
          <w:tcPr>
            <w:tcW w:w="2376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  <w:r w:rsidRPr="008427E2">
              <w:rPr>
                <w:rFonts w:ascii="Arial" w:eastAsia="Times New Roman" w:hAnsi="Arial" w:cs="Arial"/>
                <w:color w:val="000000"/>
                <w:sz w:val="22"/>
              </w:rPr>
              <w:lastRenderedPageBreak/>
              <w:t xml:space="preserve">non-coding RNA </w:t>
            </w: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  <w:r w:rsidRPr="008427E2">
              <w:rPr>
                <w:rFonts w:ascii="Arial" w:eastAsia="Times New Roman" w:hAnsi="Arial" w:cs="Arial"/>
                <w:color w:val="000000"/>
                <w:sz w:val="22"/>
              </w:rPr>
              <w:t>AT4/IPS1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427E2">
              <w:rPr>
                <w:rFonts w:ascii="Arial" w:eastAsia="Times New Roman" w:hAnsi="Arial" w:cs="Arial"/>
                <w:color w:val="000000"/>
                <w:sz w:val="22"/>
              </w:rPr>
              <w:t>regulating P allocation, interacting with miR399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</w:tr>
      <w:tr w:rsidR="00004631" w:rsidRPr="008427E2" w:rsidTr="00CE5C05">
        <w:trPr>
          <w:trHeight w:val="765"/>
        </w:trPr>
        <w:tc>
          <w:tcPr>
            <w:tcW w:w="2376" w:type="dxa"/>
            <w:vMerge w:val="restart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  <w:r w:rsidRPr="008427E2">
              <w:rPr>
                <w:rFonts w:ascii="Arial" w:eastAsia="Times New Roman" w:hAnsi="Arial" w:cs="Arial"/>
                <w:color w:val="000000"/>
                <w:sz w:val="22"/>
              </w:rPr>
              <w:t>Signal transduction</w:t>
            </w: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ARP6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part of SWR1 (SWI/SNF-related) chromatin remodelling complex, repression of subset of P responsive genes relieved under low Pi, affects root architecture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CE5C05">
        <w:trPr>
          <w:trHeight w:val="3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MEK1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MAP kinase kinase (MAP kinases)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CE5C05">
        <w:trPr>
          <w:trHeight w:val="51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EPXB2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 xml:space="preserve">beta-expansin (cell wall loosening), primary &amp; lateral root elongation 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 xml:space="preserve">Wang et al. (2010) </w:t>
            </w:r>
          </w:p>
        </w:tc>
      </w:tr>
      <w:tr w:rsidR="00004631" w:rsidRPr="008427E2" w:rsidTr="00CE5C05">
        <w:trPr>
          <w:trHeight w:val="3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SPX1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SPX domain (positively regulating)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CE5C05">
        <w:trPr>
          <w:trHeight w:val="3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SPX3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SPX domain (ids4, negatively regulating)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CE5C05">
        <w:trPr>
          <w:trHeight w:val="739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PHO1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N-terminal SPX &amp; C-terminal EXS domain, P uptake &amp; allocation downstream of PHR1 &amp; SIZ1 (PHO1;H1 homologue with P1BS, PHO1 mutant defective in xylem P loading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homologues in bean, rice</w:t>
            </w:r>
          </w:p>
        </w:tc>
      </w:tr>
      <w:tr w:rsidR="00004631" w:rsidRPr="008427E2" w:rsidTr="00CE5C05">
        <w:trPr>
          <w:trHeight w:val="765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PHO2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ubiquitin E2 conjugase UBC24 negatively regulating P uptake/allocation, suppressed by miR399 through mRNA cleavage leading a</w:t>
            </w:r>
            <w:r w:rsidR="00C41672">
              <w:rPr>
                <w:rFonts w:ascii="Arial" w:eastAsia="Times New Roman" w:hAnsi="Arial" w:cs="Arial"/>
                <w:color w:val="000000"/>
              </w:rPr>
              <w:t>.</w:t>
            </w:r>
            <w:r w:rsidRPr="008427E2">
              <w:rPr>
                <w:rFonts w:ascii="Arial" w:eastAsia="Times New Roman" w:hAnsi="Arial" w:cs="Arial"/>
                <w:color w:val="000000"/>
              </w:rPr>
              <w:t>o</w:t>
            </w:r>
            <w:r w:rsidR="00C41672">
              <w:rPr>
                <w:rFonts w:ascii="Arial" w:eastAsia="Times New Roman" w:hAnsi="Arial" w:cs="Arial"/>
                <w:color w:val="000000"/>
              </w:rPr>
              <w:t>.</w:t>
            </w:r>
            <w:r w:rsidRPr="008427E2">
              <w:rPr>
                <w:rFonts w:ascii="Arial" w:eastAsia="Times New Roman" w:hAnsi="Arial" w:cs="Arial"/>
                <w:color w:val="000000"/>
              </w:rPr>
              <w:t xml:space="preserve"> to P transporters expression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 xml:space="preserve">LTN1 homologue in rice (Hu et al. 2011) </w:t>
            </w:r>
          </w:p>
        </w:tc>
      </w:tr>
      <w:tr w:rsidR="00004631" w:rsidRPr="008427E2" w:rsidTr="00CE5C05">
        <w:trPr>
          <w:trHeight w:val="3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PLC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lipid signalling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CE5C05">
        <w:trPr>
          <w:trHeight w:val="51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GRF9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14-3-3 protein, may be involved in modification of activity of phosphorylated proteins, lower at low P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CE5C05">
        <w:trPr>
          <w:trHeight w:val="765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PSTOL1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 xml:space="preserve">receptor-like cytoplasmic serine-threonine protein kinase enhancing early root growth, also promoting uptake of other nutrients &amp; WUE) 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isolated from rice QTL Pup1 from traditional aus-type variety Kasalath (Gamuyao et al. 2012)</w:t>
            </w:r>
          </w:p>
        </w:tc>
      </w:tr>
      <w:tr w:rsidR="00004631" w:rsidRPr="008427E2" w:rsidTr="00CE5C05">
        <w:trPr>
          <w:trHeight w:val="51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PDR2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P5-type ATPase, mediating primary root developmental responses to low P, affecting SCR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CE5C05">
        <w:trPr>
          <w:trHeight w:val="51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LPR1 and 2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multicopper oxidase, arresting primary root growth in response to P, epistatically interacting with PDR2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CE5C05">
        <w:trPr>
          <w:trHeight w:val="51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UBP14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ubiquitin-specific protease, controls root hair elongation upon low Pi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CE5C05">
        <w:trPr>
          <w:trHeight w:val="765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1843" w:type="dxa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ARF19</w:t>
            </w:r>
          </w:p>
        </w:tc>
        <w:tc>
          <w:tcPr>
            <w:tcW w:w="6095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auxin response factor, activating lateral root formation upon activation by auxin through TIR1 ubiquitin-dependent protein degrader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</w:tbl>
    <w:p w:rsidR="00004631" w:rsidRDefault="0000463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2127"/>
        <w:gridCol w:w="5811"/>
        <w:gridCol w:w="3906"/>
      </w:tblGrid>
      <w:tr w:rsidR="00004631" w:rsidRPr="008427E2" w:rsidTr="00004631">
        <w:trPr>
          <w:trHeight w:val="420"/>
        </w:trPr>
        <w:tc>
          <w:tcPr>
            <w:tcW w:w="2376" w:type="dxa"/>
            <w:vMerge w:val="restart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  <w:r w:rsidRPr="008427E2">
              <w:rPr>
                <w:rFonts w:ascii="Arial" w:eastAsia="Times New Roman" w:hAnsi="Arial" w:cs="Arial"/>
                <w:color w:val="000000"/>
                <w:sz w:val="22"/>
              </w:rPr>
              <w:lastRenderedPageBreak/>
              <w:t>Metabolics</w:t>
            </w: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SQDs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sulfolipid biosynthesis: replacement of phospholipids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  <w:tr w:rsidR="00004631" w:rsidRPr="008427E2" w:rsidTr="00004631">
        <w:trPr>
          <w:trHeight w:val="6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PLDz1 &amp; 2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phospholipid remodelling in response to Pi deficiency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Pi-responsive P1BS element in promoter (Oropeza-Aburto et al. 2012)</w:t>
            </w:r>
          </w:p>
        </w:tc>
      </w:tr>
      <w:tr w:rsidR="00004631" w:rsidRPr="008427E2" w:rsidTr="00004631">
        <w:trPr>
          <w:trHeight w:val="425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TPP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RA3-like: trehalose regulation meristem activity/sugar signalling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  <w:tr w:rsidR="00004631" w:rsidRPr="008427E2" w:rsidTr="00004631">
        <w:trPr>
          <w:trHeight w:val="6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PFP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fructose 6-P phosphorylation using Ppi; alternative glycolysis pathways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  <w:tr w:rsidR="00004631" w:rsidRPr="008427E2" w:rsidTr="00004631">
        <w:trPr>
          <w:trHeight w:val="3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CESA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cellulose synthase, together with a xylan hydrolase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shift towards cellulose in cell wall?</w:t>
            </w:r>
          </w:p>
        </w:tc>
      </w:tr>
      <w:tr w:rsidR="00004631" w:rsidRPr="008427E2" w:rsidTr="00004631">
        <w:trPr>
          <w:trHeight w:val="33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IPK1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inositol polyphosphate kinase: phytate/P concentration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  <w:tr w:rsidR="00004631" w:rsidRPr="008427E2" w:rsidTr="00004631">
        <w:trPr>
          <w:trHeight w:val="3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PAP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acid phosphatases: Pi salvage systems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  <w:tr w:rsidR="00004631" w:rsidRPr="008427E2" w:rsidTr="00004631">
        <w:trPr>
          <w:trHeight w:val="6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AVP1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 xml:space="preserve">H+-PPase, vacuolar osmoregulation 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targeted at salt/drought tolerance (Gaxiola et al. 2012)</w:t>
            </w:r>
          </w:p>
        </w:tc>
      </w:tr>
      <w:tr w:rsidR="00004631" w:rsidRPr="008427E2" w:rsidTr="00004631">
        <w:trPr>
          <w:trHeight w:val="348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CAX1 and 3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tonoplast Ca2+/H+ antiporter, influencing shoot P content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  <w:tr w:rsidR="00004631" w:rsidRPr="008427E2" w:rsidTr="00004631">
        <w:trPr>
          <w:trHeight w:val="412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SOD, POD, catalase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anti-oxidants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  <w:tr w:rsidR="00004631" w:rsidRPr="008427E2" w:rsidTr="00004631">
        <w:trPr>
          <w:trHeight w:val="600"/>
        </w:trPr>
        <w:tc>
          <w:tcPr>
            <w:tcW w:w="2376" w:type="dxa"/>
            <w:vMerge w:val="restart"/>
            <w:noWrap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  <w:r w:rsidRPr="008427E2">
              <w:rPr>
                <w:rFonts w:ascii="Arial" w:eastAsia="Times New Roman" w:hAnsi="Arial" w:cs="Arial"/>
                <w:color w:val="000000"/>
                <w:sz w:val="22"/>
              </w:rPr>
              <w:t>P scavenging</w:t>
            </w: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 xml:space="preserve">ALMT1 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malate transporter (root organic acid exudation against Al)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wheat (Sasaki et al. 2004), homologue in Arabidopsis (Hoekenga et al. 2006)</w:t>
            </w:r>
          </w:p>
        </w:tc>
      </w:tr>
      <w:tr w:rsidR="00004631" w:rsidRPr="008427E2" w:rsidTr="00004631">
        <w:trPr>
          <w:trHeight w:val="345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 xml:space="preserve">PvPS2, PAP15 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acid phosphatases, on exudation enhancing P uptake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Wang et al (2010)</w:t>
            </w:r>
          </w:p>
        </w:tc>
      </w:tr>
      <w:tr w:rsidR="00004631" w:rsidRPr="008427E2" w:rsidTr="00004631">
        <w:trPr>
          <w:trHeight w:val="675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 xml:space="preserve">PHT1;1 &amp; 4 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Pi-responsive transporters</w:t>
            </w:r>
            <w:r w:rsidR="0097615C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8427E2">
              <w:rPr>
                <w:rFonts w:ascii="Arial" w:eastAsia="Times New Roman" w:hAnsi="Arial" w:cs="Arial"/>
                <w:color w:val="000000"/>
              </w:rPr>
              <w:t>(H</w:t>
            </w:r>
            <w:r w:rsidRPr="008427E2">
              <w:rPr>
                <w:rFonts w:ascii="Arial" w:eastAsia="Times New Roman" w:hAnsi="Arial" w:cs="Arial"/>
                <w:color w:val="000000"/>
                <w:vertAlign w:val="subscript"/>
              </w:rPr>
              <w:t>2</w:t>
            </w:r>
            <w:r w:rsidRPr="008427E2">
              <w:rPr>
                <w:rFonts w:ascii="Arial" w:eastAsia="Times New Roman" w:hAnsi="Arial" w:cs="Arial"/>
                <w:color w:val="000000"/>
              </w:rPr>
              <w:t>PO</w:t>
            </w:r>
            <w:r w:rsidRPr="008427E2">
              <w:rPr>
                <w:rFonts w:ascii="Arial" w:eastAsia="Times New Roman" w:hAnsi="Arial" w:cs="Arial"/>
                <w:color w:val="000000"/>
                <w:vertAlign w:val="subscript"/>
              </w:rPr>
              <w:t>4</w:t>
            </w:r>
            <w:r w:rsidRPr="008427E2">
              <w:rPr>
                <w:rFonts w:ascii="Arial" w:eastAsia="Times New Roman" w:hAnsi="Arial" w:cs="Arial"/>
                <w:color w:val="000000"/>
                <w:vertAlign w:val="superscript"/>
              </w:rPr>
              <w:t>-</w:t>
            </w:r>
            <w:r w:rsidRPr="008427E2">
              <w:rPr>
                <w:rFonts w:ascii="Arial" w:eastAsia="Times New Roman" w:hAnsi="Arial" w:cs="Arial"/>
                <w:color w:val="000000"/>
              </w:rPr>
              <w:t xml:space="preserve"> - H</w:t>
            </w:r>
            <w:r w:rsidRPr="008427E2">
              <w:rPr>
                <w:rFonts w:ascii="Arial" w:eastAsia="Times New Roman" w:hAnsi="Arial" w:cs="Arial"/>
                <w:color w:val="000000"/>
                <w:vertAlign w:val="superscript"/>
              </w:rPr>
              <w:t>+</w:t>
            </w:r>
            <w:r w:rsidRPr="008427E2">
              <w:rPr>
                <w:rFonts w:ascii="Arial" w:eastAsia="Times New Roman" w:hAnsi="Arial" w:cs="Arial"/>
                <w:color w:val="000000"/>
              </w:rPr>
              <w:t xml:space="preserve"> symporter), contribute predominantly to Pi uptake through root epidermis/cortex plasma</w:t>
            </w:r>
            <w:r w:rsidR="0097615C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8427E2">
              <w:rPr>
                <w:rFonts w:ascii="Arial" w:eastAsia="Times New Roman" w:hAnsi="Arial" w:cs="Arial"/>
                <w:color w:val="000000"/>
              </w:rPr>
              <w:t>membranes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004631" w:rsidRPr="008427E2" w:rsidTr="00004631">
        <w:trPr>
          <w:trHeight w:val="3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PHO3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Suc/H+ symporter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  <w:tr w:rsidR="00004631" w:rsidRPr="008427E2" w:rsidTr="00004631">
        <w:trPr>
          <w:trHeight w:val="375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PvPT1, LePT1 &amp; 2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 xml:space="preserve">Pi-responsive transporters 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  <w:tr w:rsidR="00004631" w:rsidRPr="008427E2" w:rsidTr="00004631">
        <w:trPr>
          <w:trHeight w:val="3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LeKC1 &amp; LeHAK5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 xml:space="preserve">Pi-responsive transporters 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K transporters</w:t>
            </w:r>
          </w:p>
        </w:tc>
      </w:tr>
      <w:tr w:rsidR="00004631" w:rsidRPr="008427E2" w:rsidTr="00004631">
        <w:trPr>
          <w:trHeight w:val="375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LeIR1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Pi-responsive transporter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Fe transporter</w:t>
            </w:r>
          </w:p>
        </w:tc>
      </w:tr>
      <w:tr w:rsidR="00004631" w:rsidRPr="008427E2" w:rsidTr="00004631">
        <w:trPr>
          <w:trHeight w:val="66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Pht1;4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Pi-responsive transporter specific for mycorrhiza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i/>
                <w:color w:val="000000"/>
                <w:sz w:val="22"/>
              </w:rPr>
              <w:t>Medicago truncatula</w:t>
            </w:r>
            <w:r w:rsidRPr="008427E2">
              <w:rPr>
                <w:rFonts w:ascii="Calibri" w:eastAsia="Times New Roman" w:hAnsi="Calibri"/>
                <w:color w:val="000000"/>
                <w:sz w:val="22"/>
              </w:rPr>
              <w:t>, with homologues in rice, maize, barley &amp; wheat (Sawers et al. 2008)</w:t>
            </w:r>
          </w:p>
        </w:tc>
      </w:tr>
      <w:tr w:rsidR="00004631" w:rsidRPr="008427E2" w:rsidTr="00004631">
        <w:trPr>
          <w:trHeight w:val="6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Pht1;3,4 &amp; 5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H+-ATPases specific for mycorrhiza, with P1BS promoter motif next to the AM-specific MYCS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eggplant &amp; tobacco (Chen et al. 2011)</w:t>
            </w:r>
          </w:p>
        </w:tc>
      </w:tr>
      <w:tr w:rsidR="00004631" w:rsidRPr="008427E2" w:rsidTr="00004631">
        <w:trPr>
          <w:trHeight w:val="300"/>
        </w:trPr>
        <w:tc>
          <w:tcPr>
            <w:tcW w:w="2376" w:type="dxa"/>
            <w:vMerge w:val="restart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  <w:sz w:val="22"/>
              </w:rPr>
            </w:pPr>
            <w:r w:rsidRPr="008427E2">
              <w:rPr>
                <w:rFonts w:ascii="Arial" w:eastAsia="Times New Roman" w:hAnsi="Arial" w:cs="Arial"/>
                <w:color w:val="000000"/>
                <w:sz w:val="22"/>
              </w:rPr>
              <w:lastRenderedPageBreak/>
              <w:t>Promoter motifs associated with P responsiveness (Nilsson et al. 2010)</w:t>
            </w: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P1BS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PHR1 binding site mentioned above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  <w:tr w:rsidR="00004631" w:rsidRPr="008427E2" w:rsidTr="00004631">
        <w:trPr>
          <w:trHeight w:val="3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W-box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WRKY6 negative regulation of PHO1 mentioned above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  <w:tr w:rsidR="00004631" w:rsidRPr="008427E2" w:rsidTr="00004631">
        <w:trPr>
          <w:trHeight w:val="900"/>
        </w:trPr>
        <w:tc>
          <w:tcPr>
            <w:tcW w:w="2376" w:type="dxa"/>
            <w:vMerge/>
            <w:hideMark/>
          </w:tcPr>
          <w:p w:rsidR="00004631" w:rsidRPr="008427E2" w:rsidRDefault="00004631" w:rsidP="00CE5C05">
            <w:pPr>
              <w:rPr>
                <w:rFonts w:ascii="Arial" w:eastAsia="Times New Roman" w:hAnsi="Arial" w:cs="Arial"/>
                <w:color w:val="000000"/>
                <w:sz w:val="22"/>
              </w:rPr>
            </w:pPr>
          </w:p>
        </w:tc>
        <w:tc>
          <w:tcPr>
            <w:tcW w:w="2127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  <w:r w:rsidRPr="008427E2">
              <w:rPr>
                <w:rFonts w:ascii="Calibri" w:eastAsia="Times New Roman" w:hAnsi="Calibri"/>
                <w:color w:val="000000"/>
                <w:sz w:val="22"/>
              </w:rPr>
              <w:t>PHO elements from yeast found in plants</w:t>
            </w:r>
          </w:p>
        </w:tc>
        <w:tc>
          <w:tcPr>
            <w:tcW w:w="5811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8427E2">
              <w:rPr>
                <w:rFonts w:ascii="Arial" w:eastAsia="Times New Roman" w:hAnsi="Arial" w:cs="Arial"/>
                <w:color w:val="000000"/>
              </w:rPr>
              <w:t>conflicting results on regulation (up-regulated vs repressed)</w:t>
            </w:r>
          </w:p>
        </w:tc>
        <w:tc>
          <w:tcPr>
            <w:tcW w:w="3906" w:type="dxa"/>
            <w:noWrap/>
            <w:hideMark/>
          </w:tcPr>
          <w:p w:rsidR="00004631" w:rsidRPr="008427E2" w:rsidRDefault="00004631" w:rsidP="00CE5C05">
            <w:pPr>
              <w:jc w:val="both"/>
              <w:rPr>
                <w:rFonts w:ascii="Calibri" w:eastAsia="Times New Roman" w:hAnsi="Calibri"/>
                <w:color w:val="000000"/>
                <w:sz w:val="22"/>
              </w:rPr>
            </w:pPr>
          </w:p>
        </w:tc>
      </w:tr>
    </w:tbl>
    <w:p w:rsidR="00004631" w:rsidRPr="008427E2" w:rsidRDefault="00004631" w:rsidP="00004631">
      <w:pPr>
        <w:rPr>
          <w:rFonts w:ascii="Arial" w:hAnsi="Arial" w:cs="Arial"/>
          <w:sz w:val="24"/>
          <w:szCs w:val="24"/>
        </w:rPr>
      </w:pPr>
    </w:p>
    <w:p w:rsidR="00CF5C6B" w:rsidRDefault="00CF5C6B"/>
    <w:sectPr w:rsidR="00CF5C6B" w:rsidSect="000046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631"/>
    <w:rsid w:val="00004631"/>
    <w:rsid w:val="00087686"/>
    <w:rsid w:val="00306E6E"/>
    <w:rsid w:val="00411B90"/>
    <w:rsid w:val="0097615C"/>
    <w:rsid w:val="00BE68FC"/>
    <w:rsid w:val="00C41672"/>
    <w:rsid w:val="00CE71CF"/>
    <w:rsid w:val="00CF5C6B"/>
    <w:rsid w:val="00DB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631"/>
    <w:rPr>
      <w:rFonts w:eastAsia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8F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68F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68F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8F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8F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8F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8F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8F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8F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8F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68F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68FC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8F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8F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8F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8F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8F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8F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E68F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E68F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8F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68F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BE68FC"/>
    <w:rPr>
      <w:b/>
      <w:bCs/>
    </w:rPr>
  </w:style>
  <w:style w:type="character" w:styleId="Emphasis">
    <w:name w:val="Emphasis"/>
    <w:uiPriority w:val="20"/>
    <w:qFormat/>
    <w:rsid w:val="00BE68F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BE68FC"/>
    <w:pPr>
      <w:spacing w:after="0" w:line="240" w:lineRule="auto"/>
    </w:pPr>
    <w:rPr>
      <w:rFonts w:eastAsiaTheme="minorHAnsi" w:cstheme="minorBidi"/>
    </w:rPr>
  </w:style>
  <w:style w:type="paragraph" w:styleId="ListParagraph">
    <w:name w:val="List Paragraph"/>
    <w:basedOn w:val="Normal"/>
    <w:uiPriority w:val="34"/>
    <w:qFormat/>
    <w:rsid w:val="00BE68FC"/>
    <w:pPr>
      <w:ind w:left="720"/>
      <w:contextualSpacing/>
    </w:pPr>
    <w:rPr>
      <w:rFonts w:eastAsia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E68FC"/>
    <w:pPr>
      <w:spacing w:before="200" w:after="0"/>
      <w:ind w:left="360" w:right="360"/>
    </w:pPr>
    <w:rPr>
      <w:rFonts w:eastAsiaTheme="minorHAnsi" w:cstheme="minorBidi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E68F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8FC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Theme="minorHAnsi" w:cstheme="minorBidi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8FC"/>
    <w:rPr>
      <w:b/>
      <w:bCs/>
      <w:i/>
      <w:iCs/>
    </w:rPr>
  </w:style>
  <w:style w:type="character" w:styleId="SubtleEmphasis">
    <w:name w:val="Subtle Emphasis"/>
    <w:uiPriority w:val="19"/>
    <w:qFormat/>
    <w:rsid w:val="00BE68FC"/>
    <w:rPr>
      <w:i/>
      <w:iCs/>
    </w:rPr>
  </w:style>
  <w:style w:type="character" w:styleId="IntenseEmphasis">
    <w:name w:val="Intense Emphasis"/>
    <w:uiPriority w:val="21"/>
    <w:qFormat/>
    <w:rsid w:val="00BE68FC"/>
    <w:rPr>
      <w:b/>
      <w:bCs/>
    </w:rPr>
  </w:style>
  <w:style w:type="character" w:styleId="SubtleReference">
    <w:name w:val="Subtle Reference"/>
    <w:uiPriority w:val="31"/>
    <w:qFormat/>
    <w:rsid w:val="00BE68FC"/>
    <w:rPr>
      <w:smallCaps/>
    </w:rPr>
  </w:style>
  <w:style w:type="character" w:styleId="IntenseReference">
    <w:name w:val="Intense Reference"/>
    <w:uiPriority w:val="32"/>
    <w:qFormat/>
    <w:rsid w:val="00BE68FC"/>
    <w:rPr>
      <w:smallCaps/>
      <w:spacing w:val="5"/>
      <w:u w:val="single"/>
    </w:rPr>
  </w:style>
  <w:style w:type="character" w:styleId="BookTitle">
    <w:name w:val="Book Title"/>
    <w:uiPriority w:val="33"/>
    <w:qFormat/>
    <w:rsid w:val="00BE68F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68FC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004631"/>
    <w:pPr>
      <w:spacing w:after="0" w:line="240" w:lineRule="auto"/>
    </w:pPr>
    <w:rPr>
      <w:rFonts w:eastAsia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631"/>
    <w:rPr>
      <w:rFonts w:eastAsia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8F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68F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68F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8F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8F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8F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8F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8F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8F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8F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E68F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68FC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8F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8F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8F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8F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8F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8F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E68F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E68F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8F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68F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BE68FC"/>
    <w:rPr>
      <w:b/>
      <w:bCs/>
    </w:rPr>
  </w:style>
  <w:style w:type="character" w:styleId="Emphasis">
    <w:name w:val="Emphasis"/>
    <w:uiPriority w:val="20"/>
    <w:qFormat/>
    <w:rsid w:val="00BE68F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BE68FC"/>
    <w:pPr>
      <w:spacing w:after="0" w:line="240" w:lineRule="auto"/>
    </w:pPr>
    <w:rPr>
      <w:rFonts w:eastAsiaTheme="minorHAnsi" w:cstheme="minorBidi"/>
    </w:rPr>
  </w:style>
  <w:style w:type="paragraph" w:styleId="ListParagraph">
    <w:name w:val="List Paragraph"/>
    <w:basedOn w:val="Normal"/>
    <w:uiPriority w:val="34"/>
    <w:qFormat/>
    <w:rsid w:val="00BE68FC"/>
    <w:pPr>
      <w:ind w:left="720"/>
      <w:contextualSpacing/>
    </w:pPr>
    <w:rPr>
      <w:rFonts w:eastAsia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E68FC"/>
    <w:pPr>
      <w:spacing w:before="200" w:after="0"/>
      <w:ind w:left="360" w:right="360"/>
    </w:pPr>
    <w:rPr>
      <w:rFonts w:eastAsiaTheme="minorHAnsi" w:cstheme="minorBidi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E68F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8FC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Theme="minorHAnsi" w:cstheme="minorBidi"/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8FC"/>
    <w:rPr>
      <w:b/>
      <w:bCs/>
      <w:i/>
      <w:iCs/>
    </w:rPr>
  </w:style>
  <w:style w:type="character" w:styleId="SubtleEmphasis">
    <w:name w:val="Subtle Emphasis"/>
    <w:uiPriority w:val="19"/>
    <w:qFormat/>
    <w:rsid w:val="00BE68FC"/>
    <w:rPr>
      <w:i/>
      <w:iCs/>
    </w:rPr>
  </w:style>
  <w:style w:type="character" w:styleId="IntenseEmphasis">
    <w:name w:val="Intense Emphasis"/>
    <w:uiPriority w:val="21"/>
    <w:qFormat/>
    <w:rsid w:val="00BE68FC"/>
    <w:rPr>
      <w:b/>
      <w:bCs/>
    </w:rPr>
  </w:style>
  <w:style w:type="character" w:styleId="SubtleReference">
    <w:name w:val="Subtle Reference"/>
    <w:uiPriority w:val="31"/>
    <w:qFormat/>
    <w:rsid w:val="00BE68FC"/>
    <w:rPr>
      <w:smallCaps/>
    </w:rPr>
  </w:style>
  <w:style w:type="character" w:styleId="IntenseReference">
    <w:name w:val="Intense Reference"/>
    <w:uiPriority w:val="32"/>
    <w:qFormat/>
    <w:rsid w:val="00BE68FC"/>
    <w:rPr>
      <w:smallCaps/>
      <w:spacing w:val="5"/>
      <w:u w:val="single"/>
    </w:rPr>
  </w:style>
  <w:style w:type="character" w:styleId="BookTitle">
    <w:name w:val="Book Title"/>
    <w:uiPriority w:val="33"/>
    <w:qFormat/>
    <w:rsid w:val="00BE68F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68FC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004631"/>
    <w:pPr>
      <w:spacing w:after="0" w:line="240" w:lineRule="auto"/>
    </w:pPr>
    <w:rPr>
      <w:rFonts w:eastAsia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Wiel, Clemens van de</dc:creator>
  <cp:lastModifiedBy>Wiel, Clemens van de</cp:lastModifiedBy>
  <cp:revision>4</cp:revision>
  <dcterms:created xsi:type="dcterms:W3CDTF">2015-09-01T12:57:00Z</dcterms:created>
  <dcterms:modified xsi:type="dcterms:W3CDTF">2015-09-24T12:52:00Z</dcterms:modified>
</cp:coreProperties>
</file>