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73D08A" w14:textId="1E5C4EC1" w:rsidR="005E6B75" w:rsidRPr="002455C6" w:rsidRDefault="005E6B75">
      <w:pPr>
        <w:rPr>
          <w:rStyle w:val="BookTitle"/>
          <w:b w:val="0"/>
        </w:rPr>
      </w:pPr>
      <w:r w:rsidRPr="002455C6">
        <w:rPr>
          <w:rStyle w:val="BookTitle"/>
          <w:b w:val="0"/>
        </w:rPr>
        <w:t>Appendix</w:t>
      </w:r>
      <w:r w:rsidR="00607F70">
        <w:rPr>
          <w:rStyle w:val="BookTitle"/>
          <w:b w:val="0"/>
        </w:rPr>
        <w:t xml:space="preserve"> 1</w:t>
      </w:r>
      <w:r w:rsidR="00014633">
        <w:rPr>
          <w:rStyle w:val="BookTitle"/>
          <w:b w:val="0"/>
        </w:rPr>
        <w:t>: Repertoire sizes and</w:t>
      </w:r>
      <w:r w:rsidRPr="002455C6">
        <w:rPr>
          <w:rStyle w:val="BookTitle"/>
          <w:b w:val="0"/>
        </w:rPr>
        <w:t xml:space="preserve"> learning programs</w:t>
      </w:r>
    </w:p>
    <w:p w14:paraId="452E302C" w14:textId="77777777" w:rsidR="005E6B75" w:rsidRDefault="005E6B75"/>
    <w:tbl>
      <w:tblPr>
        <w:tblW w:w="9435" w:type="dxa"/>
        <w:tblInd w:w="-34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925"/>
        <w:gridCol w:w="1665"/>
        <w:gridCol w:w="1165"/>
        <w:gridCol w:w="1805"/>
        <w:gridCol w:w="1875"/>
      </w:tblGrid>
      <w:tr w:rsidR="00E276FD" w:rsidRPr="005F0FDB" w14:paraId="389AC324" w14:textId="77777777" w:rsidTr="00BF5EEF">
        <w:trPr>
          <w:trHeight w:val="300"/>
        </w:trPr>
        <w:tc>
          <w:tcPr>
            <w:tcW w:w="2925" w:type="dxa"/>
            <w:shd w:val="clear" w:color="auto" w:fill="auto"/>
            <w:noWrap/>
            <w:tcMar>
              <w:top w:w="15" w:type="dxa"/>
              <w:left w:w="15" w:type="dxa"/>
              <w:bottom w:w="0" w:type="dxa"/>
              <w:right w:w="15" w:type="dxa"/>
            </w:tcMar>
            <w:vAlign w:val="bottom"/>
            <w:hideMark/>
          </w:tcPr>
          <w:p w14:paraId="376EAC82" w14:textId="77777777" w:rsidR="00E276FD" w:rsidRPr="005F0FDB" w:rsidRDefault="00E276FD" w:rsidP="005F0FDB">
            <w:pPr>
              <w:rPr>
                <w:b/>
              </w:rPr>
            </w:pPr>
            <w:r w:rsidRPr="005F0FDB">
              <w:rPr>
                <w:b/>
              </w:rPr>
              <w:t>Species</w:t>
            </w:r>
          </w:p>
        </w:tc>
        <w:tc>
          <w:tcPr>
            <w:tcW w:w="1665" w:type="dxa"/>
            <w:shd w:val="clear" w:color="auto" w:fill="auto"/>
            <w:noWrap/>
            <w:tcMar>
              <w:top w:w="15" w:type="dxa"/>
              <w:left w:w="15" w:type="dxa"/>
              <w:bottom w:w="0" w:type="dxa"/>
              <w:right w:w="15" w:type="dxa"/>
            </w:tcMar>
            <w:vAlign w:val="bottom"/>
            <w:hideMark/>
          </w:tcPr>
          <w:p w14:paraId="2BDCBA70" w14:textId="77777777" w:rsidR="00E276FD" w:rsidRPr="005F0FDB" w:rsidRDefault="00E276FD" w:rsidP="005F0FDB">
            <w:pPr>
              <w:rPr>
                <w:b/>
              </w:rPr>
            </w:pPr>
            <w:r w:rsidRPr="005F0FDB">
              <w:rPr>
                <w:b/>
              </w:rPr>
              <w:t>Syllable Repertoire Size</w:t>
            </w:r>
          </w:p>
        </w:tc>
        <w:tc>
          <w:tcPr>
            <w:tcW w:w="1165" w:type="dxa"/>
            <w:vAlign w:val="bottom"/>
          </w:tcPr>
          <w:p w14:paraId="4DE931E7" w14:textId="77777777" w:rsidR="00E276FD" w:rsidRPr="005F0FDB" w:rsidRDefault="00E276FD" w:rsidP="005F0FDB">
            <w:pPr>
              <w:rPr>
                <w:b/>
              </w:rPr>
            </w:pPr>
            <w:r w:rsidRPr="005F0FDB">
              <w:rPr>
                <w:b/>
              </w:rPr>
              <w:t>Reference</w:t>
            </w:r>
          </w:p>
        </w:tc>
        <w:tc>
          <w:tcPr>
            <w:tcW w:w="1805" w:type="dxa"/>
            <w:shd w:val="clear" w:color="auto" w:fill="auto"/>
            <w:noWrap/>
            <w:tcMar>
              <w:top w:w="15" w:type="dxa"/>
              <w:left w:w="15" w:type="dxa"/>
              <w:bottom w:w="0" w:type="dxa"/>
              <w:right w:w="15" w:type="dxa"/>
            </w:tcMar>
            <w:vAlign w:val="bottom"/>
            <w:hideMark/>
          </w:tcPr>
          <w:p w14:paraId="062C553F" w14:textId="77777777" w:rsidR="00E276FD" w:rsidRPr="005F0FDB" w:rsidRDefault="00E276FD" w:rsidP="005F0FDB">
            <w:pPr>
              <w:rPr>
                <w:b/>
              </w:rPr>
            </w:pPr>
            <w:r w:rsidRPr="005F0FDB">
              <w:rPr>
                <w:b/>
              </w:rPr>
              <w:t>Learning Program</w:t>
            </w:r>
          </w:p>
        </w:tc>
        <w:tc>
          <w:tcPr>
            <w:tcW w:w="1875" w:type="dxa"/>
            <w:vAlign w:val="bottom"/>
          </w:tcPr>
          <w:p w14:paraId="6DCEFBB2" w14:textId="77777777" w:rsidR="00E276FD" w:rsidRPr="005F0FDB" w:rsidRDefault="00E276FD" w:rsidP="005F0FDB">
            <w:pPr>
              <w:rPr>
                <w:b/>
              </w:rPr>
            </w:pPr>
            <w:r w:rsidRPr="005F0FDB">
              <w:rPr>
                <w:b/>
              </w:rPr>
              <w:t>Reference</w:t>
            </w:r>
          </w:p>
        </w:tc>
      </w:tr>
      <w:tr w:rsidR="00E276FD" w:rsidRPr="006462D1" w14:paraId="479370DC" w14:textId="77777777" w:rsidTr="00BF5EEF">
        <w:trPr>
          <w:trHeight w:val="300"/>
        </w:trPr>
        <w:tc>
          <w:tcPr>
            <w:tcW w:w="2925" w:type="dxa"/>
            <w:shd w:val="clear" w:color="auto" w:fill="auto"/>
            <w:noWrap/>
            <w:tcMar>
              <w:top w:w="15" w:type="dxa"/>
              <w:left w:w="15" w:type="dxa"/>
              <w:bottom w:w="0" w:type="dxa"/>
              <w:right w:w="15" w:type="dxa"/>
            </w:tcMar>
            <w:vAlign w:val="bottom"/>
          </w:tcPr>
          <w:p w14:paraId="243D1013" w14:textId="77777777" w:rsidR="00E276FD" w:rsidRPr="005F0FDB" w:rsidRDefault="00E276FD" w:rsidP="006462D1">
            <w:pPr>
              <w:rPr>
                <w:i/>
              </w:rPr>
            </w:pPr>
            <w:proofErr w:type="spellStart"/>
            <w:r w:rsidRPr="005F0FDB">
              <w:rPr>
                <w:i/>
              </w:rPr>
              <w:t>Acrocephalus</w:t>
            </w:r>
            <w:proofErr w:type="spellEnd"/>
            <w:r w:rsidRPr="005F0FDB">
              <w:rPr>
                <w:i/>
              </w:rPr>
              <w:t xml:space="preserve"> </w:t>
            </w:r>
            <w:proofErr w:type="spellStart"/>
            <w:r w:rsidRPr="005F0FDB">
              <w:rPr>
                <w:i/>
              </w:rPr>
              <w:t>schoenobaenus</w:t>
            </w:r>
            <w:proofErr w:type="spellEnd"/>
          </w:p>
        </w:tc>
        <w:tc>
          <w:tcPr>
            <w:tcW w:w="1665" w:type="dxa"/>
            <w:shd w:val="clear" w:color="auto" w:fill="auto"/>
            <w:noWrap/>
            <w:tcMar>
              <w:top w:w="15" w:type="dxa"/>
              <w:left w:w="15" w:type="dxa"/>
              <w:bottom w:w="0" w:type="dxa"/>
              <w:right w:w="15" w:type="dxa"/>
            </w:tcMar>
            <w:vAlign w:val="bottom"/>
          </w:tcPr>
          <w:p w14:paraId="559E7421" w14:textId="77777777" w:rsidR="00E276FD" w:rsidRPr="006462D1" w:rsidRDefault="00E276FD" w:rsidP="006462D1">
            <w:r w:rsidRPr="006462D1">
              <w:t>68</w:t>
            </w:r>
          </w:p>
        </w:tc>
        <w:tc>
          <w:tcPr>
            <w:tcW w:w="1165" w:type="dxa"/>
          </w:tcPr>
          <w:p w14:paraId="3AD9FDEA" w14:textId="77777777" w:rsidR="00E276FD" w:rsidRPr="006462D1" w:rsidRDefault="00E276FD" w:rsidP="005829AC">
            <w:r w:rsidRPr="006462D1">
              <w:fldChar w:fldCharType="begin" w:fldLock="1"/>
            </w:r>
            <w:r>
              <w:instrText>ADDIN CSL_CITATION { "citationItems" : [ { "id" : "ITEM-1", "itemData" : { "DOI" : "10.1073/pnas.1102077108", "ISSN" : "0027-8424", "PMID" : "21918109", "abstract" : "Behavioral specializations are frequently associated with expansions of the brain regions controlling them. This principle of proper mass spans sensory, motor, and cognitive abilities and has been observed in a wide variety of vertebrate species. Yet, it is unknown if this concept extrapolates to entire neural pathways or how selection on a behavioral capacity might otherwise shape circuit structure. We investigate these questions by comparing the songs and neuroanatomy of 49 species from 17 families of songbirds, which vary immensely in the number of unique song components they produce and possess a conserved neural network dedicated to this behavior. We find that syllable repertoire size is strongly related to the degree of song motor pathway convergence. Repertoire size is more accurately predicted by the number of neurons in higher motor areas relative to that in their downstream targets than by the overall number of neurons in the song motor pathway. Additionally, the convergence values along serial premotor and primary motor projections account for distinct portions of the behavioral variation. These findings suggest that selection on song has independently shaped different components of this hierarchical pathway, and they elucidate how changes in pathway structure could have underlain elaborations of this learned motor behavior.", "author" : [ { "dropping-particle" : "", "family" : "Moore", "given" : "J M", "non-dropping-particle" : "", "parse-names" : false, "suffix" : "" }, { "dropping-particle" : "", "family" : "Szekely", "given" : "Tamas", "non-dropping-particle" : "", "parse-names" : false, "suffix" : "" }, { "dropping-particle" : "", "family" : "Buki", "given" : "J", "non-dropping-particle" : "", "parse-names" : false, "suffix" : "" }, { "dropping-particle" : "", "family" : "DeVoogd", "given" : "T J", "non-dropping-particle" : "", "parse-names" : false, "suffix" : "" } ], "id" : "ITEM-1", "issued" : { "date-parts" : [ [ "2011" ] ] }, "title" : "Motor pathway convergence predicts syllable repertoire size in oscine birds", "type" : "article-journal" }, "uris" : [ "http://www.mendeley.com/documents/?uuid=5a812c07-5510-482e-b697-323acda9d7a8" ] } ], "mendeley" : { "formattedCitation" : "[1]", "plainTextFormattedCitation" : "[1]", "previouslyFormattedCitation" : "[1]" }, "properties" : { "noteIndex" : 0 }, "schema" : "https://github.com/citation-style-language/schema/raw/master/csl-citation.json" }</w:instrText>
            </w:r>
            <w:r w:rsidRPr="006462D1">
              <w:fldChar w:fldCharType="separate"/>
            </w:r>
            <w:r w:rsidRPr="007207CF">
              <w:rPr>
                <w:noProof/>
              </w:rPr>
              <w:t>[1]</w:t>
            </w:r>
            <w:r w:rsidRPr="006462D1">
              <w:fldChar w:fldCharType="end"/>
            </w:r>
          </w:p>
        </w:tc>
        <w:tc>
          <w:tcPr>
            <w:tcW w:w="1805" w:type="dxa"/>
            <w:shd w:val="clear" w:color="auto" w:fill="auto"/>
            <w:noWrap/>
            <w:tcMar>
              <w:top w:w="15" w:type="dxa"/>
              <w:left w:w="15" w:type="dxa"/>
              <w:bottom w:w="0" w:type="dxa"/>
              <w:right w:w="15" w:type="dxa"/>
            </w:tcMar>
            <w:vAlign w:val="bottom"/>
          </w:tcPr>
          <w:p w14:paraId="57EED160" w14:textId="77777777" w:rsidR="00E276FD" w:rsidRPr="006462D1" w:rsidRDefault="00E276FD" w:rsidP="005829AC">
            <w:r w:rsidRPr="006462D1">
              <w:t xml:space="preserve">Open </w:t>
            </w:r>
          </w:p>
        </w:tc>
        <w:tc>
          <w:tcPr>
            <w:tcW w:w="1875" w:type="dxa"/>
          </w:tcPr>
          <w:p w14:paraId="7FE321C5" w14:textId="77777777" w:rsidR="00E276FD" w:rsidRPr="006462D1" w:rsidRDefault="00E276FD" w:rsidP="001F328E">
            <w:r>
              <w:fldChar w:fldCharType="begin" w:fldLock="1"/>
            </w:r>
            <w:r>
              <w:instrText>ADDIN CSL_CITATION { "citationItems" : [ { "id" : "ITEM-1", "itemData" : { "DOI" : "10.1016/j.anbehav.2007.04.006", "ISBN" : "0003-3472", "ISSN" : "00033472", "abstract" : "The complex song of the male sedge warbler functions mainly in sexual attraction and the evolution of repertoire size is driven primarily by female choice. As male song ceases upon pairing, male-male singing interactions are relatively brief and have not been studied to our knowledge. This study shows that young males in their first breeding season shared significantly more syllables with their nearest neighbour than with their fathers or more distant males. Moreover, daily recordings revealed that rapid learning and modification of syllable repertoires occurred, resulting in a progressive increase in sharing within just a few days. This does not lead to a gradual increase in repertoire size as some syllables are dropped and new ones are acquired. This turnover process allows males to share syllables with their neighbours, whilst repertoire size, known to be important in female choice, remains relatively constant in any one year. Individual males were followed for several years and also showed considerable syllable turnover between years. However, in this case, repertoire size was found to increase between years, the largest increase occurring between the first and second years. We obtained a significant positive correlation between repertoire size and age, suggesting that females choosing males with larger repertoires may gain indirect (genetic) benefits for their offspring, such as good genes for viability. Whilst these results reveal a more flexible picture of repertoire turnover than previously suspected, the relative stability of repertoire size within a season and the increase with age suggests that repertoire size remains a likely target for sexual selection by female choice. ?? 2007 The Association for the Study of Animal Behaviour.", "author" : [ { "dropping-particle" : "", "family" : "Nicholson", "given" : "Joanne S.", "non-dropping-particle" : "", "parse-names" : false, "suffix" : "" }, { "dropping-particle" : "", "family" : "Buchanan", "given" : "Katherine L.", "non-dropping-particle" : "", "parse-names" : false, "suffix" : "" }, { "dropping-particle" : "", "family" : "Marshall", "given" : "Rupert C.", "non-dropping-particle" : "", "parse-names" : false, "suffix" : "" }, { "dropping-particle" : "", "family" : "Catchpole", "given" : "Clive K.", "non-dropping-particle" : "", "parse-names" : false, "suffix" : "" } ], "container-title" : "Animal Behaviour", "id" : "ITEM-1", "issue" : "Kokko 1998", "issued" : { "date-parts" : [ [ "2007" ] ] }, "page" : "1585-1592", "title" : "Song sharing and repertoire size in the sedge warbler, Acrocephalus schoenobaenus: changes within and between years", "type" : "article-journal", "volume" : "74" }, "uris" : [ "http://www.mendeley.com/documents/?uuid=8507ee7a-b80d-4afa-8ae2-f15a980b9925" ] } ], "mendeley" : { "formattedCitation" : "[2]", "plainTextFormattedCitation" : "[2]", "previouslyFormattedCitation" : "[2]" }, "properties" : { "noteIndex" : 0 }, "schema" : "https://github.com/citation-style-language/schema/raw/master/csl-citation.json" }</w:instrText>
            </w:r>
            <w:r>
              <w:fldChar w:fldCharType="separate"/>
            </w:r>
            <w:r w:rsidRPr="001F328E">
              <w:rPr>
                <w:noProof/>
              </w:rPr>
              <w:t>[2]</w:t>
            </w:r>
            <w:r>
              <w:fldChar w:fldCharType="end"/>
            </w:r>
          </w:p>
        </w:tc>
      </w:tr>
      <w:tr w:rsidR="00E276FD" w:rsidRPr="006462D1" w14:paraId="0E0D190D" w14:textId="77777777" w:rsidTr="00BF5EEF">
        <w:trPr>
          <w:trHeight w:val="300"/>
        </w:trPr>
        <w:tc>
          <w:tcPr>
            <w:tcW w:w="2925" w:type="dxa"/>
            <w:shd w:val="clear" w:color="auto" w:fill="auto"/>
            <w:noWrap/>
            <w:tcMar>
              <w:top w:w="15" w:type="dxa"/>
              <w:left w:w="15" w:type="dxa"/>
              <w:bottom w:w="0" w:type="dxa"/>
              <w:right w:w="15" w:type="dxa"/>
            </w:tcMar>
            <w:vAlign w:val="bottom"/>
          </w:tcPr>
          <w:p w14:paraId="7E5D9025" w14:textId="77777777" w:rsidR="00E276FD" w:rsidRPr="005F0FDB" w:rsidRDefault="00E276FD" w:rsidP="006462D1">
            <w:pPr>
              <w:rPr>
                <w:i/>
              </w:rPr>
            </w:pPr>
            <w:proofErr w:type="spellStart"/>
            <w:r w:rsidRPr="005F0FDB">
              <w:rPr>
                <w:i/>
              </w:rPr>
              <w:t>Cardinalis</w:t>
            </w:r>
            <w:proofErr w:type="spellEnd"/>
            <w:r w:rsidRPr="005F0FDB">
              <w:rPr>
                <w:i/>
              </w:rPr>
              <w:t xml:space="preserve"> </w:t>
            </w:r>
            <w:proofErr w:type="spellStart"/>
            <w:r w:rsidRPr="005F0FDB">
              <w:rPr>
                <w:i/>
              </w:rPr>
              <w:t>cardinalis</w:t>
            </w:r>
            <w:proofErr w:type="spellEnd"/>
          </w:p>
        </w:tc>
        <w:tc>
          <w:tcPr>
            <w:tcW w:w="1665" w:type="dxa"/>
            <w:shd w:val="clear" w:color="auto" w:fill="auto"/>
            <w:noWrap/>
            <w:tcMar>
              <w:top w:w="15" w:type="dxa"/>
              <w:left w:w="15" w:type="dxa"/>
              <w:bottom w:w="0" w:type="dxa"/>
              <w:right w:w="15" w:type="dxa"/>
            </w:tcMar>
            <w:vAlign w:val="bottom"/>
          </w:tcPr>
          <w:p w14:paraId="666FCEAE" w14:textId="77777777" w:rsidR="00E276FD" w:rsidRPr="006462D1" w:rsidRDefault="00E276FD" w:rsidP="006462D1">
            <w:r w:rsidRPr="006462D1">
              <w:t>14</w:t>
            </w:r>
          </w:p>
        </w:tc>
        <w:tc>
          <w:tcPr>
            <w:tcW w:w="1165" w:type="dxa"/>
          </w:tcPr>
          <w:p w14:paraId="6A58D122" w14:textId="77777777" w:rsidR="00E276FD" w:rsidRPr="006462D1" w:rsidRDefault="00E276FD" w:rsidP="005829AC">
            <w:r w:rsidRPr="006462D1">
              <w:fldChar w:fldCharType="begin" w:fldLock="1"/>
            </w:r>
            <w:r>
              <w:instrText>ADDIN CSL_CITATION { "citationItems" : [ { "id" : "ITEM-1", "itemData" : { "DOI" : "10.1073/pnas.1102077108", "ISSN" : "0027-8424", "PMID" : "21918109", "abstract" : "Behavioral specializations are frequently associated with expansions of the brain regions controlling them. This principle of proper mass spans sensory, motor, and cognitive abilities and has been observed in a wide variety of vertebrate species. Yet, it is unknown if this concept extrapolates to entire neural pathways or how selection on a behavioral capacity might otherwise shape circuit structure. We investigate these questions by comparing the songs and neuroanatomy of 49 species from 17 families of songbirds, which vary immensely in the number of unique song components they produce and possess a conserved neural network dedicated to this behavior. We find that syllable repertoire size is strongly related to the degree of song motor pathway convergence. Repertoire size is more accurately predicted by the number of neurons in higher motor areas relative to that in their downstream targets than by the overall number of neurons in the song motor pathway. Additionally, the convergence values along serial premotor and primary motor projections account for distinct portions of the behavioral variation. These findings suggest that selection on song has independently shaped different components of this hierarchical pathway, and they elucidate how changes in pathway structure could have underlain elaborations of this learned motor behavior.", "author" : [ { "dropping-particle" : "", "family" : "Moore", "given" : "J M", "non-dropping-particle" : "", "parse-names" : false, "suffix" : "" }, { "dropping-particle" : "", "family" : "Szekely", "given" : "Tamas", "non-dropping-particle" : "", "parse-names" : false, "suffix" : "" }, { "dropping-particle" : "", "family" : "Buki", "given" : "J", "non-dropping-particle" : "", "parse-names" : false, "suffix" : "" }, { "dropping-particle" : "", "family" : "DeVoogd", "given" : "T J", "non-dropping-particle" : "", "parse-names" : false, "suffix" : "" } ], "id" : "ITEM-1", "issued" : { "date-parts" : [ [ "2011" ] ] }, "title" : "Motor pathway convergence predicts syllable repertoire size in oscine birds", "type" : "article-journal" }, "uris" : [ "http://www.mendeley.com/documents/?uuid=5a812c07-5510-482e-b697-323acda9d7a8" ] } ], "mendeley" : { "formattedCitation" : "[1]", "plainTextFormattedCitation" : "[1]", "previouslyFormattedCitation" : "[1]" }, "properties" : { "noteIndex" : 0 }, "schema" : "https://github.com/citation-style-language/schema/raw/master/csl-citation.json" }</w:instrText>
            </w:r>
            <w:r w:rsidRPr="006462D1">
              <w:fldChar w:fldCharType="separate"/>
            </w:r>
            <w:r w:rsidRPr="007207CF">
              <w:rPr>
                <w:noProof/>
              </w:rPr>
              <w:t>[1]</w:t>
            </w:r>
            <w:r w:rsidRPr="006462D1">
              <w:fldChar w:fldCharType="end"/>
            </w:r>
          </w:p>
        </w:tc>
        <w:tc>
          <w:tcPr>
            <w:tcW w:w="1805" w:type="dxa"/>
            <w:shd w:val="clear" w:color="auto" w:fill="auto"/>
            <w:noWrap/>
            <w:tcMar>
              <w:top w:w="15" w:type="dxa"/>
              <w:left w:w="15" w:type="dxa"/>
              <w:bottom w:w="0" w:type="dxa"/>
              <w:right w:w="15" w:type="dxa"/>
            </w:tcMar>
            <w:vAlign w:val="bottom"/>
          </w:tcPr>
          <w:p w14:paraId="6C5C0314" w14:textId="77777777" w:rsidR="00E276FD" w:rsidRPr="006462D1" w:rsidRDefault="00E276FD" w:rsidP="005829AC">
            <w:r w:rsidRPr="006462D1">
              <w:t xml:space="preserve">Closed </w:t>
            </w:r>
          </w:p>
        </w:tc>
        <w:tc>
          <w:tcPr>
            <w:tcW w:w="1875" w:type="dxa"/>
          </w:tcPr>
          <w:p w14:paraId="20EF0E87" w14:textId="77777777" w:rsidR="00E276FD" w:rsidRPr="006462D1" w:rsidRDefault="00E276FD" w:rsidP="006462D1">
            <w:r>
              <w:fldChar w:fldCharType="begin" w:fldLock="1"/>
            </w:r>
            <w:r>
              <w:instrText>ADDIN CSL_CITATION { "citationItems" : [ { "id" : "ITEM-1", "itemData" : { "DOI" : "10.1139/z66-044", "author" : [ { "dropping-particle" : "", "family" : "Lemon", "given" : "Robert E", "non-dropping-particle" : "", "parse-names" : false, "suffix" : "" } ], "container-title" : "Canadian Journal of Zoology", "id" : "ITEM-1", "issue" : "3", "issued" : { "date-parts" : [ [ "1966" ] ] }, "page" : "413-428", "title" : "GEOGRAPHIC VARIATION IN THE SONG OF CARDINALS", "type" : "article-journal", "volume" : "44" }, "uris" : [ "http://www.mendeley.com/documents/?uuid=555145fc-eea9-4326-8fab-3a64bf5e8082" ] } ], "mendeley" : { "formattedCitation" : "[3]", "plainTextFormattedCitation" : "[3]", "previouslyFormattedCitation" : "[3]" }, "properties" : { "noteIndex" : 0 }, "schema" : "https://github.com/citation-style-language/schema/raw/master/csl-citation.json" }</w:instrText>
            </w:r>
            <w:r>
              <w:fldChar w:fldCharType="separate"/>
            </w:r>
            <w:r w:rsidRPr="001F328E">
              <w:rPr>
                <w:noProof/>
              </w:rPr>
              <w:t>[3]</w:t>
            </w:r>
            <w:r>
              <w:fldChar w:fldCharType="end"/>
            </w:r>
          </w:p>
        </w:tc>
      </w:tr>
      <w:tr w:rsidR="00E276FD" w:rsidRPr="006462D1" w14:paraId="0CA00757" w14:textId="77777777" w:rsidTr="00BF5EEF">
        <w:trPr>
          <w:trHeight w:val="300"/>
        </w:trPr>
        <w:tc>
          <w:tcPr>
            <w:tcW w:w="2925" w:type="dxa"/>
            <w:shd w:val="clear" w:color="auto" w:fill="auto"/>
            <w:noWrap/>
            <w:tcMar>
              <w:top w:w="15" w:type="dxa"/>
              <w:left w:w="15" w:type="dxa"/>
              <w:bottom w:w="0" w:type="dxa"/>
              <w:right w:w="15" w:type="dxa"/>
            </w:tcMar>
            <w:vAlign w:val="bottom"/>
          </w:tcPr>
          <w:p w14:paraId="2786D08E" w14:textId="77777777" w:rsidR="00E276FD" w:rsidRPr="005F0FDB" w:rsidRDefault="00E276FD" w:rsidP="006462D1">
            <w:pPr>
              <w:rPr>
                <w:i/>
              </w:rPr>
            </w:pPr>
            <w:proofErr w:type="spellStart"/>
            <w:r w:rsidRPr="005F0FDB">
              <w:rPr>
                <w:i/>
              </w:rPr>
              <w:t>Certhia</w:t>
            </w:r>
            <w:proofErr w:type="spellEnd"/>
            <w:r w:rsidRPr="005F0FDB">
              <w:rPr>
                <w:i/>
              </w:rPr>
              <w:t xml:space="preserve"> </w:t>
            </w:r>
            <w:proofErr w:type="spellStart"/>
            <w:r w:rsidRPr="005F0FDB">
              <w:rPr>
                <w:i/>
              </w:rPr>
              <w:t>familiaris</w:t>
            </w:r>
            <w:proofErr w:type="spellEnd"/>
          </w:p>
        </w:tc>
        <w:tc>
          <w:tcPr>
            <w:tcW w:w="1665" w:type="dxa"/>
            <w:shd w:val="clear" w:color="auto" w:fill="auto"/>
            <w:noWrap/>
            <w:tcMar>
              <w:top w:w="15" w:type="dxa"/>
              <w:left w:w="15" w:type="dxa"/>
              <w:bottom w:w="0" w:type="dxa"/>
              <w:right w:w="15" w:type="dxa"/>
            </w:tcMar>
            <w:vAlign w:val="bottom"/>
          </w:tcPr>
          <w:p w14:paraId="79FBA057" w14:textId="77777777" w:rsidR="00E276FD" w:rsidRPr="006462D1" w:rsidRDefault="00E276FD" w:rsidP="006462D1">
            <w:r w:rsidRPr="006462D1">
              <w:t>5</w:t>
            </w:r>
          </w:p>
        </w:tc>
        <w:tc>
          <w:tcPr>
            <w:tcW w:w="1165" w:type="dxa"/>
          </w:tcPr>
          <w:p w14:paraId="454311C1" w14:textId="77777777" w:rsidR="00E276FD" w:rsidRPr="006462D1" w:rsidRDefault="00E276FD" w:rsidP="005829AC">
            <w:r>
              <w:fldChar w:fldCharType="begin" w:fldLock="1"/>
            </w:r>
            <w:r>
              <w:instrText>ADDIN CSL_CITATION { "citationItems" : [ { "id" : "ITEM-1", "itemData" : { "author" : [ { "dropping-particle" : "", "family" : "Baptista", "given" : "Luis F", "non-dropping-particle" : "", "parse-names" : false, "suffix" : "" }, { "dropping-particle" : "", "family" : "Johnson", "given" : "Robert B", "non-dropping-particle" : "", "parse-names" : false, "suffix" : "" } ], "container-title" : "Journal f{\u00fc}r Ornithologie", "id" : "ITEM-1", "issue" : "2", "issued" : { "date-parts" : [ [ "1982" ] ] }, "page" : "131-144", "publisher" : "Springer", "title" : "Song variation in insular and mainland California brown creepers (Certhia familiaris)", "type" : "article-journal", "volume" : "123" }, "uris" : [ "http://www.mendeley.com/documents/?uuid=9cf3d55c-dea2-4284-9355-9bb67d226325" ] } ], "mendeley" : { "formattedCitation" : "[4]", "plainTextFormattedCitation" : "[4]", "previouslyFormattedCitation" : "[4]" }, "properties" : { "noteIndex" : 0 }, "schema" : "https://github.com/citation-style-language/schema/raw/master/csl-citation.json" }</w:instrText>
            </w:r>
            <w:r>
              <w:fldChar w:fldCharType="separate"/>
            </w:r>
            <w:r w:rsidRPr="0071078D">
              <w:rPr>
                <w:noProof/>
              </w:rPr>
              <w:t>[4]</w:t>
            </w:r>
            <w:r>
              <w:fldChar w:fldCharType="end"/>
            </w:r>
          </w:p>
        </w:tc>
        <w:tc>
          <w:tcPr>
            <w:tcW w:w="1805" w:type="dxa"/>
            <w:shd w:val="clear" w:color="auto" w:fill="auto"/>
            <w:noWrap/>
            <w:tcMar>
              <w:top w:w="15" w:type="dxa"/>
              <w:left w:w="15" w:type="dxa"/>
              <w:bottom w:w="0" w:type="dxa"/>
              <w:right w:w="15" w:type="dxa"/>
            </w:tcMar>
            <w:vAlign w:val="bottom"/>
          </w:tcPr>
          <w:p w14:paraId="390D0589" w14:textId="77777777" w:rsidR="00E276FD" w:rsidRPr="006462D1" w:rsidRDefault="00E276FD" w:rsidP="005829AC">
            <w:r w:rsidRPr="006462D1">
              <w:t xml:space="preserve">Closed </w:t>
            </w:r>
          </w:p>
        </w:tc>
        <w:tc>
          <w:tcPr>
            <w:tcW w:w="1875" w:type="dxa"/>
          </w:tcPr>
          <w:p w14:paraId="439A2C3D" w14:textId="77777777" w:rsidR="00E276FD" w:rsidRPr="006462D1" w:rsidRDefault="00E276FD" w:rsidP="00185968">
            <w:r>
              <w:fldChar w:fldCharType="begin" w:fldLock="1"/>
            </w:r>
            <w:r>
              <w:instrText>ADDIN CSL_CITATION { "citationItems" : [ { "id" : "ITEM-1", "itemData" : { "author" : [ { "dropping-particle" : "", "family" : "Thielcke", "given" : "Gerhard", "non-dropping-particle" : "", "parse-names" : false, "suffix" : "" } ], "container-title" : "Journal of Zoological Systematics and Evolutionary Research", "id" : "ITEM-1", "issue" : "1", "issued" : { "date-parts" : [ [ "1970" ] ] }, "page" : "309-320", "title" : "Lernen von Gesang als m\u00f6glicher Schrittmacher der Evolution", "type" : "article-journal", "volume" : "8" }, "uris" : [ "http://www.mendeley.com/documents/?uuid=5b29cbe8-446c-46b2-ad46-b243e0fe76c1" ] } ], "mendeley" : { "formattedCitation" : "[5]", "plainTextFormattedCitation" : "[5]", "previouslyFormattedCitation" : "[5]" }, "properties" : { "noteIndex" : 0 }, "schema" : "https://github.com/citation-style-language/schema/raw/master/csl-citation.json" }</w:instrText>
            </w:r>
            <w:r>
              <w:fldChar w:fldCharType="separate"/>
            </w:r>
            <w:r w:rsidRPr="0071078D">
              <w:rPr>
                <w:noProof/>
              </w:rPr>
              <w:t>[5]</w:t>
            </w:r>
            <w:r>
              <w:fldChar w:fldCharType="end"/>
            </w:r>
          </w:p>
        </w:tc>
      </w:tr>
      <w:tr w:rsidR="00E276FD" w:rsidRPr="006462D1" w14:paraId="5C4C5DF1" w14:textId="77777777" w:rsidTr="00BF5EEF">
        <w:trPr>
          <w:trHeight w:val="300"/>
        </w:trPr>
        <w:tc>
          <w:tcPr>
            <w:tcW w:w="2925" w:type="dxa"/>
            <w:shd w:val="clear" w:color="auto" w:fill="auto"/>
            <w:noWrap/>
            <w:tcMar>
              <w:top w:w="15" w:type="dxa"/>
              <w:left w:w="15" w:type="dxa"/>
              <w:bottom w:w="0" w:type="dxa"/>
              <w:right w:w="15" w:type="dxa"/>
            </w:tcMar>
            <w:vAlign w:val="bottom"/>
          </w:tcPr>
          <w:p w14:paraId="72464CA6" w14:textId="77777777" w:rsidR="00E276FD" w:rsidRPr="005F0FDB" w:rsidRDefault="00E276FD" w:rsidP="006462D1">
            <w:pPr>
              <w:rPr>
                <w:i/>
              </w:rPr>
            </w:pPr>
            <w:proofErr w:type="spellStart"/>
            <w:r w:rsidRPr="005F0FDB">
              <w:rPr>
                <w:i/>
              </w:rPr>
              <w:t>Dumetella</w:t>
            </w:r>
            <w:proofErr w:type="spellEnd"/>
            <w:r w:rsidRPr="005F0FDB">
              <w:rPr>
                <w:i/>
              </w:rPr>
              <w:t xml:space="preserve"> </w:t>
            </w:r>
            <w:proofErr w:type="spellStart"/>
            <w:r w:rsidRPr="005F0FDB">
              <w:rPr>
                <w:i/>
              </w:rPr>
              <w:t>carolinensis</w:t>
            </w:r>
            <w:proofErr w:type="spellEnd"/>
          </w:p>
        </w:tc>
        <w:tc>
          <w:tcPr>
            <w:tcW w:w="1665" w:type="dxa"/>
            <w:shd w:val="clear" w:color="auto" w:fill="auto"/>
            <w:noWrap/>
            <w:tcMar>
              <w:top w:w="15" w:type="dxa"/>
              <w:left w:w="15" w:type="dxa"/>
              <w:bottom w:w="0" w:type="dxa"/>
              <w:right w:w="15" w:type="dxa"/>
            </w:tcMar>
            <w:vAlign w:val="bottom"/>
          </w:tcPr>
          <w:p w14:paraId="0DF7776A" w14:textId="77777777" w:rsidR="00E276FD" w:rsidRPr="006462D1" w:rsidRDefault="00E276FD" w:rsidP="006462D1">
            <w:r w:rsidRPr="006462D1">
              <w:t>328</w:t>
            </w:r>
          </w:p>
        </w:tc>
        <w:tc>
          <w:tcPr>
            <w:tcW w:w="1165" w:type="dxa"/>
          </w:tcPr>
          <w:p w14:paraId="69ACE1C4" w14:textId="77777777" w:rsidR="00E276FD" w:rsidRPr="006462D1" w:rsidRDefault="00E276FD" w:rsidP="005829AC">
            <w:r w:rsidRPr="006462D1">
              <w:fldChar w:fldCharType="begin" w:fldLock="1"/>
            </w:r>
            <w:r>
              <w:instrText>ADDIN CSL_CITATION { "citationItems" : [ { "id" : "ITEM-1", "itemData" : { "DOI" : "10.1073/pnas.1102077108", "ISSN" : "0027-8424", "PMID" : "21918109", "abstract" : "Behavioral specializations are frequently associated with expansions of the brain regions controlling them. This principle of proper mass spans sensory, motor, and cognitive abilities and has been observed in a wide variety of vertebrate species. Yet, it is unknown if this concept extrapolates to entire neural pathways or how selection on a behavioral capacity might otherwise shape circuit structure. We investigate these questions by comparing the songs and neuroanatomy of 49 species from 17 families of songbirds, which vary immensely in the number of unique song components they produce and possess a conserved neural network dedicated to this behavior. We find that syllable repertoire size is strongly related to the degree of song motor pathway convergence. Repertoire size is more accurately predicted by the number of neurons in higher motor areas relative to that in their downstream targets than by the overall number of neurons in the song motor pathway. Additionally, the convergence values along serial premotor and primary motor projections account for distinct portions of the behavioral variation. These findings suggest that selection on song has independently shaped different components of this hierarchical pathway, and they elucidate how changes in pathway structure could have underlain elaborations of this learned motor behavior.", "author" : [ { "dropping-particle" : "", "family" : "Moore", "given" : "J M", "non-dropping-particle" : "", "parse-names" : false, "suffix" : "" }, { "dropping-particle" : "", "family" : "Szekely", "given" : "Tamas", "non-dropping-particle" : "", "parse-names" : false, "suffix" : "" }, { "dropping-particle" : "", "family" : "Buki", "given" : "J", "non-dropping-particle" : "", "parse-names" : false, "suffix" : "" }, { "dropping-particle" : "", "family" : "DeVoogd", "given" : "T J", "non-dropping-particle" : "", "parse-names" : false, "suffix" : "" } ], "id" : "ITEM-1", "issued" : { "date-parts" : [ [ "2011" ] ] }, "title" : "Motor pathway convergence predicts syllable repertoire size in oscine birds", "type" : "article-journal" }, "uris" : [ "http://www.mendeley.com/documents/?uuid=5a812c07-5510-482e-b697-323acda9d7a8" ] } ], "mendeley" : { "formattedCitation" : "[1]", "plainTextFormattedCitation" : "[1]", "previouslyFormattedCitation" : "[1]" }, "properties" : { "noteIndex" : 0 }, "schema" : "https://github.com/citation-style-language/schema/raw/master/csl-citation.json" }</w:instrText>
            </w:r>
            <w:r w:rsidRPr="006462D1">
              <w:fldChar w:fldCharType="separate"/>
            </w:r>
            <w:r w:rsidRPr="007207CF">
              <w:rPr>
                <w:noProof/>
              </w:rPr>
              <w:t>[1]</w:t>
            </w:r>
            <w:r w:rsidRPr="006462D1">
              <w:fldChar w:fldCharType="end"/>
            </w:r>
          </w:p>
        </w:tc>
        <w:tc>
          <w:tcPr>
            <w:tcW w:w="1805" w:type="dxa"/>
            <w:shd w:val="clear" w:color="auto" w:fill="auto"/>
            <w:noWrap/>
            <w:tcMar>
              <w:top w:w="15" w:type="dxa"/>
              <w:left w:w="15" w:type="dxa"/>
              <w:bottom w:w="0" w:type="dxa"/>
              <w:right w:w="15" w:type="dxa"/>
            </w:tcMar>
            <w:vAlign w:val="bottom"/>
          </w:tcPr>
          <w:p w14:paraId="285E0840" w14:textId="77777777" w:rsidR="00E276FD" w:rsidRPr="006462D1" w:rsidRDefault="00E276FD" w:rsidP="005829AC">
            <w:r w:rsidRPr="006462D1">
              <w:t xml:space="preserve">Open </w:t>
            </w:r>
          </w:p>
        </w:tc>
        <w:tc>
          <w:tcPr>
            <w:tcW w:w="1875" w:type="dxa"/>
          </w:tcPr>
          <w:p w14:paraId="3A6F563E" w14:textId="77777777" w:rsidR="00E276FD" w:rsidRPr="006462D1" w:rsidRDefault="00E276FD" w:rsidP="00185968">
            <w:r>
              <w:fldChar w:fldCharType="begin" w:fldLock="1"/>
            </w:r>
            <w:r>
              <w:instrText>ADDIN CSL_CITATION { "citationItems" : [ { "id" : "ITEM-1", "itemData" : { "abstract" : "Some parameters of Gray Catbird song important in species recognition were identified by playback of altered song to territorial individuals. Playback types included normal song, song played backwards, song in which the order of syllables was randomized and song in which the normal frequency excursion of sound energy versus time was altered. In addition, three parameters were measured from spectrographs of songs from five individuals. Statistical analysis of the responses from 67 individuals indicated that catbirds responded to song composed of sound energy traversing an approximately 4-kHz bandwidth at a characteristic rate. Received 20 July 1976, accepted 7 April 1977.", "author" : [ { "dropping-particle" : "", "family" : "Fletcher", "given" : "Lauriel E", "non-dropping-particle" : "", "parse-names" : false, "suffix" : "" }, { "dropping-particle" : "", "family" : "Smith", "given" : "Douglas G", "non-dropping-particle" : "", "parse-names" : false, "suffix" : "" } ], "container-title" : "Auk", "id" : "ITEM-1", "issue" : "April", "issued" : { "date-parts" : [ [ "1978" ] ] }, "page" : "338-347", "title" : "Some parameters of song important in conspecific recognition  by Gray Catbirds", "type" : "article-journal", "volume" : "95" }, "uris" : [ "http://www.mendeley.com/documents/?uuid=6c962744-9a6f-4a76-a527-a8642bc8336a" ] } ], "mendeley" : { "formattedCitation" : "[6]", "plainTextFormattedCitation" : "[6]", "previouslyFormattedCitation" : "[6]" }, "properties" : { "noteIndex" : 0 }, "schema" : "https://github.com/citation-style-language/schema/raw/master/csl-citation.json" }</w:instrText>
            </w:r>
            <w:r>
              <w:fldChar w:fldCharType="separate"/>
            </w:r>
            <w:r w:rsidRPr="00637CEF">
              <w:rPr>
                <w:noProof/>
              </w:rPr>
              <w:t>[6]</w:t>
            </w:r>
            <w:r>
              <w:fldChar w:fldCharType="end"/>
            </w:r>
          </w:p>
        </w:tc>
      </w:tr>
      <w:tr w:rsidR="00E276FD" w:rsidRPr="006462D1" w14:paraId="0C9ED463" w14:textId="77777777" w:rsidTr="00BF5EEF">
        <w:trPr>
          <w:trHeight w:val="300"/>
        </w:trPr>
        <w:tc>
          <w:tcPr>
            <w:tcW w:w="2925" w:type="dxa"/>
            <w:shd w:val="clear" w:color="auto" w:fill="auto"/>
            <w:noWrap/>
            <w:tcMar>
              <w:top w:w="15" w:type="dxa"/>
              <w:left w:w="15" w:type="dxa"/>
              <w:bottom w:w="0" w:type="dxa"/>
              <w:right w:w="15" w:type="dxa"/>
            </w:tcMar>
            <w:vAlign w:val="bottom"/>
          </w:tcPr>
          <w:p w14:paraId="78BCC316" w14:textId="77777777" w:rsidR="00E276FD" w:rsidRPr="005F0FDB" w:rsidRDefault="00E276FD" w:rsidP="006462D1">
            <w:pPr>
              <w:rPr>
                <w:i/>
              </w:rPr>
            </w:pPr>
            <w:proofErr w:type="spellStart"/>
            <w:r w:rsidRPr="005F0FDB">
              <w:rPr>
                <w:i/>
              </w:rPr>
              <w:t>Ficedula</w:t>
            </w:r>
            <w:proofErr w:type="spellEnd"/>
            <w:r w:rsidRPr="005F0FDB">
              <w:rPr>
                <w:i/>
              </w:rPr>
              <w:t xml:space="preserve"> </w:t>
            </w:r>
            <w:proofErr w:type="spellStart"/>
            <w:r w:rsidRPr="005F0FDB">
              <w:rPr>
                <w:i/>
              </w:rPr>
              <w:t>hypoleuca</w:t>
            </w:r>
            <w:proofErr w:type="spellEnd"/>
          </w:p>
        </w:tc>
        <w:tc>
          <w:tcPr>
            <w:tcW w:w="1665" w:type="dxa"/>
            <w:shd w:val="clear" w:color="auto" w:fill="auto"/>
            <w:noWrap/>
            <w:tcMar>
              <w:top w:w="15" w:type="dxa"/>
              <w:left w:w="15" w:type="dxa"/>
              <w:bottom w:w="0" w:type="dxa"/>
              <w:right w:w="15" w:type="dxa"/>
            </w:tcMar>
            <w:vAlign w:val="bottom"/>
          </w:tcPr>
          <w:p w14:paraId="7C950957" w14:textId="77777777" w:rsidR="00E276FD" w:rsidRPr="006462D1" w:rsidRDefault="00E276FD" w:rsidP="006462D1">
            <w:r w:rsidRPr="006462D1">
              <w:t>10-53</w:t>
            </w:r>
          </w:p>
        </w:tc>
        <w:tc>
          <w:tcPr>
            <w:tcW w:w="1165" w:type="dxa"/>
            <w:vAlign w:val="bottom"/>
          </w:tcPr>
          <w:p w14:paraId="7C94539A" w14:textId="77777777" w:rsidR="00E276FD" w:rsidRPr="006462D1" w:rsidRDefault="00E276FD" w:rsidP="001F328E">
            <w:r w:rsidRPr="006462D1">
              <w:fldChar w:fldCharType="begin" w:fldLock="1"/>
            </w:r>
            <w:r>
              <w:instrText>ADDIN CSL_CITATION { "citationItems" : [ { "id" : "ITEM-1", "itemData" : { "DOI" : "10.1111/j.1439-0310.2010.01864.x", "ISBN" : "1439-0310", "ISSN" : "01791613", "abstract" : "In some songbird species, large song repertoires are advantageous in female attraction, whereas song sharing with neighbours may give an advantage in male\u2013male competition. Open-ended learners, with the ability to memorize new song elements throughout their lives, may learn from territorial neighbours and thus benefit from increasing both repertoire size and song sharing. A distinction needs to be made between true adult song learning, i.e. memorization of novel song ele- ments, and vocal plasticity resulting in changes in the use of previously memorized elements, such as the use of hidden repertoires or increased production of previously rare syllable types. We assessed the ability of adult pied flycatcher Ficedula hypoleuca males to learn previously unheard song elements and to change their song production in response to playback of unfamiliar, conspecific song, emulating a singing neigh- bour. After a 1-week playback treatment, three out of 20 subjects had learned foreign song elements, providing evidence from the wild that pied flycatchers are true open-ended learners. However, the syllable sharing with the playback stimulus repertoires had not changed, and the males\u2019 repertoires had decreased rather than increased. Hence, we did not find support for increased syllable sharing with neighbours or increased repertoire size as functions of adult song learning in pied fly- catchers. Because pied flycatcher song seems to serve mainly for mate attraction, copying of attractive syllable types is a possible alternative function of adult song learning in this species.", "author" : [ { "dropping-particle" : "", "family" : "Eriksen", "given" : "Ane", "non-dropping-particle" : "", "parse-names" : false, "suffix" : "" }, { "dropping-particle" : "", "family" : "Slagsvold", "given" : "Tore", "non-dropping-particle" : "", "parse-names" : false, "suffix" : "" }, { "dropping-particle" : "", "family" : "Lampe", "given" : "Helene M.", "non-dropping-particle" : "", "parse-names" : false, "suffix" : "" } ], "container-title" : "Ethology", "id" : "ITEM-1", "issued" : { "date-parts" : [ [ "2011" ] ] }, "page" : "188-198", "title" : "Vocal Plasticity - are Pied Flycatchers, Ficedula Hypoleuca, Open-Ended Learners?", "type" : "article-journal", "volume" : "117" }, "uris" : [ "http://www.mendeley.com/documents/?uuid=6af45723-73d9-4c2f-8546-b4727fdbbd53" ] } ], "mendeley" : { "formattedCitation" : "[7]", "plainTextFormattedCitation" : "[7]", "previouslyFormattedCitation" : "[7]" }, "properties" : { "noteIndex" : 0 }, "schema" : "https://github.com/citation-style-language/schema/raw/master/csl-citation.json" }</w:instrText>
            </w:r>
            <w:r w:rsidRPr="006462D1">
              <w:fldChar w:fldCharType="separate"/>
            </w:r>
            <w:r w:rsidRPr="00637CEF">
              <w:rPr>
                <w:noProof/>
              </w:rPr>
              <w:t>[7]</w:t>
            </w:r>
            <w:r w:rsidRPr="006462D1">
              <w:fldChar w:fldCharType="end"/>
            </w:r>
          </w:p>
        </w:tc>
        <w:tc>
          <w:tcPr>
            <w:tcW w:w="1805" w:type="dxa"/>
            <w:shd w:val="clear" w:color="auto" w:fill="auto"/>
            <w:noWrap/>
            <w:tcMar>
              <w:top w:w="15" w:type="dxa"/>
              <w:left w:w="15" w:type="dxa"/>
              <w:bottom w:w="0" w:type="dxa"/>
              <w:right w:w="15" w:type="dxa"/>
            </w:tcMar>
            <w:vAlign w:val="bottom"/>
          </w:tcPr>
          <w:p w14:paraId="615824AB" w14:textId="77777777" w:rsidR="00E276FD" w:rsidRPr="006462D1" w:rsidRDefault="00E276FD" w:rsidP="001F328E">
            <w:r w:rsidRPr="006462D1">
              <w:t>O</w:t>
            </w:r>
            <w:r>
              <w:t>pen</w:t>
            </w:r>
          </w:p>
        </w:tc>
        <w:tc>
          <w:tcPr>
            <w:tcW w:w="1875" w:type="dxa"/>
          </w:tcPr>
          <w:p w14:paraId="0D83995A" w14:textId="77777777" w:rsidR="00E276FD" w:rsidRPr="006462D1" w:rsidRDefault="00E276FD" w:rsidP="007207CF">
            <w:r w:rsidRPr="006462D1">
              <w:fldChar w:fldCharType="begin" w:fldLock="1"/>
            </w:r>
            <w:r>
              <w:instrText>ADDIN CSL_CITATION { "citationItems" : [ { "id" : "ITEM-1", "itemData" : { "DOI" : "10.1111/j.1439-0310.2010.01864.x", "ISBN" : "1439-0310", "ISSN" : "01791613", "abstract" : "In some songbird species, large song repertoires are advantageous in female attraction, whereas song sharing with neighbours may give an advantage in male\u2013male competition. Open-ended learners, with the ability to memorize new song elements throughout their lives, may learn from territorial neighbours and thus benefit from increasing both repertoire size and song sharing. A distinction needs to be made between true adult song learning, i.e. memorization of novel song ele- ments, and vocal plasticity resulting in changes in the use of previously memorized elements, such as the use of hidden repertoires or increased production of previously rare syllable types. We assessed the ability of adult pied flycatcher Ficedula hypoleuca males to learn previously unheard song elements and to change their song production in response to playback of unfamiliar, conspecific song, emulating a singing neigh- bour. After a 1-week playback treatment, three out of 20 subjects had learned foreign song elements, providing evidence from the wild that pied flycatchers are true open-ended learners. However, the syllable sharing with the playback stimulus repertoires had not changed, and the males\u2019 repertoires had decreased rather than increased. Hence, we did not find support for increased syllable sharing with neighbours or increased repertoire size as functions of adult song learning in pied fly- catchers. Because pied flycatcher song seems to serve mainly for mate attraction, copying of attractive syllable types is a possible alternative function of adult song learning in this species.", "author" : [ { "dropping-particle" : "", "family" : "Eriksen", "given" : "Ane", "non-dropping-particle" : "", "parse-names" : false, "suffix" : "" }, { "dropping-particle" : "", "family" : "Slagsvold", "given" : "Tore", "non-dropping-particle" : "", "parse-names" : false, "suffix" : "" }, { "dropping-particle" : "", "family" : "Lampe", "given" : "Helene M.", "non-dropping-particle" : "", "parse-names" : false, "suffix" : "" } ], "container-title" : "Ethology", "id" : "ITEM-1", "issued" : { "date-parts" : [ [ "2011" ] ] }, "page" : "188-198", "title" : "Vocal Plasticity - are Pied Flycatchers, Ficedula Hypoleuca, Open-Ended Learners?", "type" : "article-journal", "volume" : "117" }, "uris" : [ "http://www.mendeley.com/documents/?uuid=6af45723-73d9-4c2f-8546-b4727fdbbd53" ] } ], "mendeley" : { "formattedCitation" : "[7]", "plainTextFormattedCitation" : "[7]", "previouslyFormattedCitation" : "[7]" }, "properties" : { "noteIndex" : 0 }, "schema" : "https://github.com/citation-style-language/schema/raw/master/csl-citation.json" }</w:instrText>
            </w:r>
            <w:r w:rsidRPr="006462D1">
              <w:fldChar w:fldCharType="separate"/>
            </w:r>
            <w:r w:rsidRPr="00637CEF">
              <w:rPr>
                <w:noProof/>
              </w:rPr>
              <w:t>[7]</w:t>
            </w:r>
            <w:r w:rsidRPr="006462D1">
              <w:fldChar w:fldCharType="end"/>
            </w:r>
          </w:p>
        </w:tc>
      </w:tr>
      <w:tr w:rsidR="00E276FD" w:rsidRPr="006462D1" w14:paraId="00D868FA" w14:textId="77777777" w:rsidTr="00BF5EEF">
        <w:trPr>
          <w:trHeight w:val="300"/>
        </w:trPr>
        <w:tc>
          <w:tcPr>
            <w:tcW w:w="2925" w:type="dxa"/>
            <w:shd w:val="clear" w:color="auto" w:fill="auto"/>
            <w:noWrap/>
            <w:tcMar>
              <w:top w:w="15" w:type="dxa"/>
              <w:left w:w="15" w:type="dxa"/>
              <w:bottom w:w="0" w:type="dxa"/>
              <w:right w:w="15" w:type="dxa"/>
            </w:tcMar>
            <w:vAlign w:val="bottom"/>
          </w:tcPr>
          <w:p w14:paraId="44468067" w14:textId="77777777" w:rsidR="00E276FD" w:rsidRPr="005F0FDB" w:rsidRDefault="00E276FD" w:rsidP="006462D1">
            <w:pPr>
              <w:rPr>
                <w:i/>
              </w:rPr>
            </w:pPr>
            <w:proofErr w:type="spellStart"/>
            <w:r w:rsidRPr="005F0FDB">
              <w:rPr>
                <w:i/>
              </w:rPr>
              <w:t>Fringilla</w:t>
            </w:r>
            <w:proofErr w:type="spellEnd"/>
            <w:r w:rsidRPr="005F0FDB">
              <w:rPr>
                <w:i/>
              </w:rPr>
              <w:t xml:space="preserve"> </w:t>
            </w:r>
            <w:proofErr w:type="spellStart"/>
            <w:r w:rsidRPr="005F0FDB">
              <w:rPr>
                <w:i/>
              </w:rPr>
              <w:t>coelebs</w:t>
            </w:r>
            <w:proofErr w:type="spellEnd"/>
          </w:p>
        </w:tc>
        <w:tc>
          <w:tcPr>
            <w:tcW w:w="1665" w:type="dxa"/>
            <w:shd w:val="clear" w:color="auto" w:fill="auto"/>
            <w:noWrap/>
            <w:tcMar>
              <w:top w:w="15" w:type="dxa"/>
              <w:left w:w="15" w:type="dxa"/>
              <w:bottom w:w="0" w:type="dxa"/>
              <w:right w:w="15" w:type="dxa"/>
            </w:tcMar>
            <w:vAlign w:val="bottom"/>
          </w:tcPr>
          <w:p w14:paraId="5FB8D039" w14:textId="77777777" w:rsidR="00E276FD" w:rsidRPr="006462D1" w:rsidRDefault="00E276FD" w:rsidP="006462D1">
            <w:r w:rsidRPr="006462D1">
              <w:t>18</w:t>
            </w:r>
          </w:p>
        </w:tc>
        <w:tc>
          <w:tcPr>
            <w:tcW w:w="1165" w:type="dxa"/>
          </w:tcPr>
          <w:p w14:paraId="50190E9F" w14:textId="77777777" w:rsidR="00E276FD" w:rsidRPr="006462D1" w:rsidRDefault="00E276FD" w:rsidP="005829AC">
            <w:r w:rsidRPr="006462D1">
              <w:fldChar w:fldCharType="begin" w:fldLock="1"/>
            </w:r>
            <w:r>
              <w:instrText>ADDIN CSL_CITATION { "citationItems" : [ { "id" : "ITEM-1", "itemData" : { "DOI" : "10.1073/pnas.1102077108", "ISSN" : "0027-8424", "PMID" : "21918109", "abstract" : "Behavioral specializations are frequently associated with expansions of the brain regions controlling them. This principle of proper mass spans sensory, motor, and cognitive abilities and has been observed in a wide variety of vertebrate species. Yet, it is unknown if this concept extrapolates to entire neural pathways or how selection on a behavioral capacity might otherwise shape circuit structure. We investigate these questions by comparing the songs and neuroanatomy of 49 species from 17 families of songbirds, which vary immensely in the number of unique song components they produce and possess a conserved neural network dedicated to this behavior. We find that syllable repertoire size is strongly related to the degree of song motor pathway convergence. Repertoire size is more accurately predicted by the number of neurons in higher motor areas relative to that in their downstream targets than by the overall number of neurons in the song motor pathway. Additionally, the convergence values along serial premotor and primary motor projections account for distinct portions of the behavioral variation. These findings suggest that selection on song has independently shaped different components of this hierarchical pathway, and they elucidate how changes in pathway structure could have underlain elaborations of this learned motor behavior.", "author" : [ { "dropping-particle" : "", "family" : "Moore", "given" : "J M", "non-dropping-particle" : "", "parse-names" : false, "suffix" : "" }, { "dropping-particle" : "", "family" : "Szekely", "given" : "Tamas", "non-dropping-particle" : "", "parse-names" : false, "suffix" : "" }, { "dropping-particle" : "", "family" : "Buki", "given" : "J", "non-dropping-particle" : "", "parse-names" : false, "suffix" : "" }, { "dropping-particle" : "", "family" : "DeVoogd", "given" : "T J", "non-dropping-particle" : "", "parse-names" : false, "suffix" : "" } ], "id" : "ITEM-1", "issued" : { "date-parts" : [ [ "2011" ] ] }, "title" : "Motor pathway convergence predicts syllable repertoire size in oscine birds", "type" : "article-journal" }, "uris" : [ "http://www.mendeley.com/documents/?uuid=5a812c07-5510-482e-b697-323acda9d7a8" ] } ], "mendeley" : { "formattedCitation" : "[1]", "plainTextFormattedCitation" : "[1]", "previouslyFormattedCitation" : "[1]" }, "properties" : { "noteIndex" : 0 }, "schema" : "https://github.com/citation-style-language/schema/raw/master/csl-citation.json" }</w:instrText>
            </w:r>
            <w:r w:rsidRPr="006462D1">
              <w:fldChar w:fldCharType="separate"/>
            </w:r>
            <w:r w:rsidRPr="007207CF">
              <w:rPr>
                <w:noProof/>
              </w:rPr>
              <w:t>[1]</w:t>
            </w:r>
            <w:r w:rsidRPr="006462D1">
              <w:fldChar w:fldCharType="end"/>
            </w:r>
          </w:p>
        </w:tc>
        <w:tc>
          <w:tcPr>
            <w:tcW w:w="1805" w:type="dxa"/>
            <w:shd w:val="clear" w:color="auto" w:fill="auto"/>
            <w:noWrap/>
            <w:tcMar>
              <w:top w:w="15" w:type="dxa"/>
              <w:left w:w="15" w:type="dxa"/>
              <w:bottom w:w="0" w:type="dxa"/>
              <w:right w:w="15" w:type="dxa"/>
            </w:tcMar>
            <w:vAlign w:val="bottom"/>
          </w:tcPr>
          <w:p w14:paraId="6C52C386" w14:textId="77777777" w:rsidR="00E276FD" w:rsidRPr="006462D1" w:rsidRDefault="00E276FD" w:rsidP="005829AC">
            <w:r w:rsidRPr="006462D1">
              <w:t xml:space="preserve">Closed </w:t>
            </w:r>
          </w:p>
        </w:tc>
        <w:tc>
          <w:tcPr>
            <w:tcW w:w="1875" w:type="dxa"/>
          </w:tcPr>
          <w:p w14:paraId="3E23DCBF" w14:textId="77777777" w:rsidR="00E276FD" w:rsidRPr="006462D1" w:rsidRDefault="00E276FD" w:rsidP="0071078D">
            <w:r>
              <w:fldChar w:fldCharType="begin" w:fldLock="1"/>
            </w:r>
            <w:r>
              <w:instrText>ADDIN CSL_CITATION { "citationItems" : [ { "id" : "ITEM-1", "itemData" : { "author" : [ { "dropping-particle" : "", "family" : "Thorpe", "given" : "William H", "non-dropping-particle" : "", "parse-names" : false, "suffix" : "" } ], "container-title" : "Ibis", "id" : "ITEM-1", "issue" : "4", "issued" : { "date-parts" : [ [ "1958" ] ] }, "page" : "535-570", "publisher" : "Wiley Online Library", "title" : "The learning of song patterns by birds, with especial reference to the song of the chaffinch Fringilla coelebs", "type" : "article-journal", "volume" : "100" }, "uris" : [ "http://www.mendeley.com/documents/?uuid=ed14e5f0-6137-4b0c-976e-96087f2dd574" ] } ], "mendeley" : { "formattedCitation" : "[8]", "plainTextFormattedCitation" : "[8]", "previouslyFormattedCitation" : "[8]" }, "properties" : { "noteIndex" : 0 }, "schema" : "https://github.com/citation-style-language/schema/raw/master/csl-citation.json" }</w:instrText>
            </w:r>
            <w:r>
              <w:fldChar w:fldCharType="separate"/>
            </w:r>
            <w:r w:rsidRPr="00637CEF">
              <w:rPr>
                <w:noProof/>
              </w:rPr>
              <w:t>[8]</w:t>
            </w:r>
            <w:r>
              <w:fldChar w:fldCharType="end"/>
            </w:r>
          </w:p>
        </w:tc>
      </w:tr>
      <w:tr w:rsidR="00E276FD" w:rsidRPr="006462D1" w14:paraId="5DC8DEB3" w14:textId="77777777" w:rsidTr="00BF5EEF">
        <w:trPr>
          <w:trHeight w:val="300"/>
        </w:trPr>
        <w:tc>
          <w:tcPr>
            <w:tcW w:w="2925" w:type="dxa"/>
            <w:shd w:val="clear" w:color="auto" w:fill="auto"/>
            <w:noWrap/>
            <w:tcMar>
              <w:top w:w="15" w:type="dxa"/>
              <w:left w:w="15" w:type="dxa"/>
              <w:bottom w:w="0" w:type="dxa"/>
              <w:right w:w="15" w:type="dxa"/>
            </w:tcMar>
            <w:vAlign w:val="bottom"/>
          </w:tcPr>
          <w:p w14:paraId="093FED48" w14:textId="77777777" w:rsidR="00E276FD" w:rsidRPr="005F0FDB" w:rsidRDefault="00E276FD" w:rsidP="006462D1">
            <w:pPr>
              <w:rPr>
                <w:i/>
              </w:rPr>
            </w:pPr>
            <w:proofErr w:type="spellStart"/>
            <w:r w:rsidRPr="005F0FDB">
              <w:rPr>
                <w:i/>
              </w:rPr>
              <w:t>Geothlypis</w:t>
            </w:r>
            <w:proofErr w:type="spellEnd"/>
            <w:r w:rsidRPr="005F0FDB">
              <w:rPr>
                <w:i/>
              </w:rPr>
              <w:t xml:space="preserve"> </w:t>
            </w:r>
            <w:proofErr w:type="spellStart"/>
            <w:r w:rsidRPr="005F0FDB">
              <w:rPr>
                <w:i/>
              </w:rPr>
              <w:t>trichas</w:t>
            </w:r>
            <w:proofErr w:type="spellEnd"/>
          </w:p>
        </w:tc>
        <w:tc>
          <w:tcPr>
            <w:tcW w:w="1665" w:type="dxa"/>
            <w:shd w:val="clear" w:color="auto" w:fill="auto"/>
            <w:noWrap/>
            <w:tcMar>
              <w:top w:w="15" w:type="dxa"/>
              <w:left w:w="15" w:type="dxa"/>
              <w:bottom w:w="0" w:type="dxa"/>
              <w:right w:w="15" w:type="dxa"/>
            </w:tcMar>
            <w:vAlign w:val="bottom"/>
          </w:tcPr>
          <w:p w14:paraId="747E87F2" w14:textId="77777777" w:rsidR="00E276FD" w:rsidRPr="006462D1" w:rsidRDefault="00E276FD" w:rsidP="006462D1">
            <w:r w:rsidRPr="006462D1">
              <w:t>5</w:t>
            </w:r>
          </w:p>
        </w:tc>
        <w:tc>
          <w:tcPr>
            <w:tcW w:w="1165" w:type="dxa"/>
          </w:tcPr>
          <w:p w14:paraId="35323B60" w14:textId="77777777" w:rsidR="00E276FD" w:rsidRPr="006462D1" w:rsidRDefault="00E276FD" w:rsidP="006462D1">
            <w:r w:rsidRPr="006462D1">
              <w:fldChar w:fldCharType="begin" w:fldLock="1"/>
            </w:r>
            <w:r>
              <w:instrText>ADDIN CSL_CITATION { "citationItems" : [ { "id" : "ITEM-1", "itemData" : { "DOI" : "10.1073/pnas.1102077108", "ISSN" : "0027-8424", "PMID" : "21918109", "abstract" : "Behavioral specializations are frequently associated with expansions of the brain regions controlling them. This principle of proper mass spans sensory, motor, and cognitive abilities and has been observed in a wide variety of vertebrate species. Yet, it is unknown if this concept extrapolates to entire neural pathways or how selection on a behavioral capacity might otherwise shape circuit structure. We investigate these questions by comparing the songs and neuroanatomy of 49 species from 17 families of songbirds, which vary immensely in the number of unique song components they produce and possess a conserved neural network dedicated to this behavior. We find that syllable repertoire size is strongly related to the degree of song motor pathway convergence. Repertoire size is more accurately predicted by the number of neurons in higher motor areas relative to that in their downstream targets than by the overall number of neurons in the song motor pathway. Additionally, the convergence values along serial premotor and primary motor projections account for distinct portions of the behavioral variation. These findings suggest that selection on song has independently shaped different components of this hierarchical pathway, and they elucidate how changes in pathway structure could have underlain elaborations of this learned motor behavior.", "author" : [ { "dropping-particle" : "", "family" : "Moore", "given" : "J M", "non-dropping-particle" : "", "parse-names" : false, "suffix" : "" }, { "dropping-particle" : "", "family" : "Szekely", "given" : "Tamas", "non-dropping-particle" : "", "parse-names" : false, "suffix" : "" }, { "dropping-particle" : "", "family" : "Buki", "given" : "J", "non-dropping-particle" : "", "parse-names" : false, "suffix" : "" }, { "dropping-particle" : "", "family" : "DeVoogd", "given" : "T J", "non-dropping-particle" : "", "parse-names" : false, "suffix" : "" } ], "id" : "ITEM-1", "issued" : { "date-parts" : [ [ "2011" ] ] }, "title" : "Motor pathway convergence predicts syllable repertoire size in oscine birds", "type" : "article-journal" }, "uris" : [ "http://www.mendeley.com/documents/?uuid=5a812c07-5510-482e-b697-323acda9d7a8" ] } ], "mendeley" : { "formattedCitation" : "[1]", "plainTextFormattedCitation" : "[1]", "previouslyFormattedCitation" : "[1]" }, "properties" : { "noteIndex" : 0 }, "schema" : "https://github.com/citation-style-language/schema/raw/master/csl-citation.json" }</w:instrText>
            </w:r>
            <w:r w:rsidRPr="006462D1">
              <w:fldChar w:fldCharType="separate"/>
            </w:r>
            <w:r w:rsidRPr="007207CF">
              <w:rPr>
                <w:noProof/>
              </w:rPr>
              <w:t>[1]</w:t>
            </w:r>
            <w:r w:rsidRPr="006462D1">
              <w:fldChar w:fldCharType="end"/>
            </w:r>
          </w:p>
        </w:tc>
        <w:tc>
          <w:tcPr>
            <w:tcW w:w="1805" w:type="dxa"/>
            <w:shd w:val="clear" w:color="auto" w:fill="auto"/>
            <w:noWrap/>
            <w:tcMar>
              <w:top w:w="15" w:type="dxa"/>
              <w:left w:w="15" w:type="dxa"/>
              <w:bottom w:w="0" w:type="dxa"/>
              <w:right w:w="15" w:type="dxa"/>
            </w:tcMar>
            <w:vAlign w:val="bottom"/>
          </w:tcPr>
          <w:p w14:paraId="631C95AF" w14:textId="77777777" w:rsidR="00E276FD" w:rsidRPr="006462D1" w:rsidRDefault="00E276FD" w:rsidP="006462D1">
            <w:r w:rsidRPr="006462D1">
              <w:t xml:space="preserve">Closed </w:t>
            </w:r>
          </w:p>
        </w:tc>
        <w:tc>
          <w:tcPr>
            <w:tcW w:w="1875" w:type="dxa"/>
          </w:tcPr>
          <w:p w14:paraId="5AA7432C" w14:textId="77777777" w:rsidR="00E276FD" w:rsidRPr="006462D1" w:rsidRDefault="00E276FD" w:rsidP="006462D1">
            <w:r>
              <w:fldChar w:fldCharType="begin" w:fldLock="1"/>
            </w:r>
            <w:r>
              <w:instrText>ADDIN CSL_CITATION { "citationItems" : [ { "id" : "ITEM-1", "itemData" : { "author" : [ { "dropping-particle" : "", "family" : "Borror", "given" : "Donald J", "non-dropping-particle" : "", "parse-names" : false, "suffix" : "" } ], "container-title" : "Living Bird", "id" : "ITEM-1", "issued" : { "date-parts" : [ [ "1967" ] ] }, "page" : "141-161", "title" : "Songs of the Yellowthroat", "type" : "article-journal", "volume" : "6" }, "uris" : [ "http://www.mendeley.com/documents/?uuid=afc8d4ea-ed20-4bf3-bf33-682d1cf718a4" ] } ], "mendeley" : { "formattedCitation" : "[9]", "plainTextFormattedCitation" : "[9]", "previouslyFormattedCitation" : "[9]" }, "properties" : { "noteIndex" : 0 }, "schema" : "https://github.com/citation-style-language/schema/raw/master/csl-citation.json" }</w:instrText>
            </w:r>
            <w:r>
              <w:fldChar w:fldCharType="separate"/>
            </w:r>
            <w:r w:rsidRPr="00637CEF">
              <w:rPr>
                <w:noProof/>
              </w:rPr>
              <w:t>[9]</w:t>
            </w:r>
            <w:r>
              <w:fldChar w:fldCharType="end"/>
            </w:r>
          </w:p>
        </w:tc>
      </w:tr>
      <w:tr w:rsidR="00E276FD" w:rsidRPr="006462D1" w14:paraId="4676FC0C" w14:textId="77777777" w:rsidTr="00BF5EEF">
        <w:trPr>
          <w:trHeight w:val="300"/>
        </w:trPr>
        <w:tc>
          <w:tcPr>
            <w:tcW w:w="2925" w:type="dxa"/>
            <w:shd w:val="clear" w:color="auto" w:fill="auto"/>
            <w:noWrap/>
            <w:tcMar>
              <w:top w:w="15" w:type="dxa"/>
              <w:left w:w="15" w:type="dxa"/>
              <w:bottom w:w="0" w:type="dxa"/>
              <w:right w:w="15" w:type="dxa"/>
            </w:tcMar>
            <w:vAlign w:val="bottom"/>
          </w:tcPr>
          <w:p w14:paraId="7E14728F" w14:textId="77777777" w:rsidR="00E276FD" w:rsidRPr="005F0FDB" w:rsidRDefault="00E276FD" w:rsidP="006462D1">
            <w:pPr>
              <w:rPr>
                <w:i/>
              </w:rPr>
            </w:pPr>
            <w:proofErr w:type="spellStart"/>
            <w:r w:rsidRPr="005F0FDB">
              <w:rPr>
                <w:i/>
              </w:rPr>
              <w:t>Hirundo</w:t>
            </w:r>
            <w:proofErr w:type="spellEnd"/>
            <w:r w:rsidRPr="005F0FDB">
              <w:rPr>
                <w:i/>
              </w:rPr>
              <w:t xml:space="preserve"> </w:t>
            </w:r>
            <w:proofErr w:type="spellStart"/>
            <w:r w:rsidRPr="005F0FDB">
              <w:rPr>
                <w:i/>
              </w:rPr>
              <w:t>rustica</w:t>
            </w:r>
            <w:proofErr w:type="spellEnd"/>
          </w:p>
        </w:tc>
        <w:tc>
          <w:tcPr>
            <w:tcW w:w="1665" w:type="dxa"/>
            <w:shd w:val="clear" w:color="auto" w:fill="auto"/>
            <w:noWrap/>
            <w:tcMar>
              <w:top w:w="15" w:type="dxa"/>
              <w:left w:w="15" w:type="dxa"/>
              <w:bottom w:w="0" w:type="dxa"/>
              <w:right w:w="15" w:type="dxa"/>
            </w:tcMar>
            <w:vAlign w:val="bottom"/>
          </w:tcPr>
          <w:p w14:paraId="717BC99D" w14:textId="77777777" w:rsidR="00E276FD" w:rsidRPr="006462D1" w:rsidRDefault="00E276FD" w:rsidP="006462D1">
            <w:r w:rsidRPr="006462D1">
              <w:t>20</w:t>
            </w:r>
          </w:p>
        </w:tc>
        <w:tc>
          <w:tcPr>
            <w:tcW w:w="1165" w:type="dxa"/>
          </w:tcPr>
          <w:p w14:paraId="34F27B01" w14:textId="77777777" w:rsidR="00E276FD" w:rsidRPr="006462D1" w:rsidRDefault="00E276FD" w:rsidP="005829AC">
            <w:r w:rsidRPr="006462D1">
              <w:fldChar w:fldCharType="begin" w:fldLock="1"/>
            </w:r>
            <w:r>
              <w:instrText>ADDIN CSL_CITATION { "citationItems" : [ { "id" : "ITEM-1", "itemData" : { "DOI" : "10.1073/pnas.1102077108", "ISSN" : "0027-8424", "PMID" : "21918109", "abstract" : "Behavioral specializations are frequently associated with expansions of the brain regions controlling them. This principle of proper mass spans sensory, motor, and cognitive abilities and has been observed in a wide variety of vertebrate species. Yet, it is unknown if this concept extrapolates to entire neural pathways or how selection on a behavioral capacity might otherwise shape circuit structure. We investigate these questions by comparing the songs and neuroanatomy of 49 species from 17 families of songbirds, which vary immensely in the number of unique song components they produce and possess a conserved neural network dedicated to this behavior. We find that syllable repertoire size is strongly related to the degree of song motor pathway convergence. Repertoire size is more accurately predicted by the number of neurons in higher motor areas relative to that in their downstream targets than by the overall number of neurons in the song motor pathway. Additionally, the convergence values along serial premotor and primary motor projections account for distinct portions of the behavioral variation. These findings suggest that selection on song has independently shaped different components of this hierarchical pathway, and they elucidate how changes in pathway structure could have underlain elaborations of this learned motor behavior.", "author" : [ { "dropping-particle" : "", "family" : "Moore", "given" : "J M", "non-dropping-particle" : "", "parse-names" : false, "suffix" : "" }, { "dropping-particle" : "", "family" : "Szekely", "given" : "Tamas", "non-dropping-particle" : "", "parse-names" : false, "suffix" : "" }, { "dropping-particle" : "", "family" : "Buki", "given" : "J", "non-dropping-particle" : "", "parse-names" : false, "suffix" : "" }, { "dropping-particle" : "", "family" : "DeVoogd", "given" : "T J", "non-dropping-particle" : "", "parse-names" : false, "suffix" : "" } ], "id" : "ITEM-1", "issued" : { "date-parts" : [ [ "2011" ] ] }, "title" : "Motor pathway convergence predicts syllable repertoire size in oscine birds", "type" : "article-journal" }, "uris" : [ "http://www.mendeley.com/documents/?uuid=5a812c07-5510-482e-b697-323acda9d7a8" ] } ], "mendeley" : { "formattedCitation" : "[1]", "plainTextFormattedCitation" : "[1]", "previouslyFormattedCitation" : "[1]" }, "properties" : { "noteIndex" : 0 }, "schema" : "https://github.com/citation-style-language/schema/raw/master/csl-citation.json" }</w:instrText>
            </w:r>
            <w:r w:rsidRPr="006462D1">
              <w:fldChar w:fldCharType="separate"/>
            </w:r>
            <w:r w:rsidRPr="007207CF">
              <w:rPr>
                <w:noProof/>
              </w:rPr>
              <w:t>[1]</w:t>
            </w:r>
            <w:r w:rsidRPr="006462D1">
              <w:fldChar w:fldCharType="end"/>
            </w:r>
          </w:p>
        </w:tc>
        <w:tc>
          <w:tcPr>
            <w:tcW w:w="1805" w:type="dxa"/>
            <w:shd w:val="clear" w:color="auto" w:fill="auto"/>
            <w:noWrap/>
            <w:tcMar>
              <w:top w:w="15" w:type="dxa"/>
              <w:left w:w="15" w:type="dxa"/>
              <w:bottom w:w="0" w:type="dxa"/>
              <w:right w:w="15" w:type="dxa"/>
            </w:tcMar>
            <w:vAlign w:val="bottom"/>
          </w:tcPr>
          <w:p w14:paraId="5565AFA7" w14:textId="77777777" w:rsidR="00E276FD" w:rsidRPr="006462D1" w:rsidRDefault="00E276FD" w:rsidP="005F0FDB">
            <w:r>
              <w:t>Open (year 2)</w:t>
            </w:r>
            <w:r w:rsidRPr="006462D1">
              <w:t xml:space="preserve"> </w:t>
            </w:r>
          </w:p>
        </w:tc>
        <w:tc>
          <w:tcPr>
            <w:tcW w:w="1875" w:type="dxa"/>
          </w:tcPr>
          <w:p w14:paraId="39106ECA" w14:textId="77777777" w:rsidR="00E276FD" w:rsidRPr="006462D1" w:rsidRDefault="00E276FD" w:rsidP="00DA5307">
            <w:r>
              <w:fldChar w:fldCharType="begin" w:fldLock="1"/>
            </w:r>
            <w:r>
              <w:instrText>ADDIN CSL_CITATION { "citationItems" : [ { "id" : "ITEM-1", "itemData" : { "DOI" : "10.1093/beheco/ari029", "ISBN" : "1045-2249", "ISSN" : "10452249", "abstract" : "Bird song has been hypothesized to evolve, partly, to signal health   status of males, and song features should therefore correlate with   parasite load. Immune function, parasitism, and secondary sexual   characters can, however, differ between age classes, and any apparent   relationship between song and parasite loads can be the result of   systematic age effects. We tested for an age-dependent relationship   between sexually selected characters and measures of parasitism in a   Spanish population of the barn swallow Hirundo rustica. A comparison   across age classes revealed that chewing lice load, song duration, mean   peak amplitude frequency of songs, and tail length differed   significantly between yearlings and adults. In a longitudinal analysis,   we found significant evidence for mean peak amplitude frequency of   songs, tail length and chewing louse parasitism, and a nonsignificant   tendency for song duration to change with age of an individual. We found   a significant association between song duration and chewing louse load   and between hematocrit and peak amplitude frequency of the rattle, the   typical harsh terminal syllable. In tests for associations between song   traits and health status, while controlling for age, age and chewing   louse load were independently related to song duration. We found a   significant relationship between pairing success and song duration,   implying that females may use this song trait in their choice of   parasite-free males. Although the song of the barn swallow may provide   information about both male age and parasite resistance, signaling of   health status appears to be independent of age effects, in accordance   with the theory of parasite-mediated sexual selection, suggesting that   male signals can be used as reliable indicators of parasitism.", "author" : [ { "dropping-particle" : "", "family" : "Garamszegi", "given" : "L\u00e1szl\u00f3 Z.", "non-dropping-particle" : "", "parse-names" : false, "suffix" : "" }, { "dropping-particle" : "", "family" : "Heylen", "given" : "Dieter", "non-dropping-particle" : "", "parse-names" : false, "suffix" : "" }, { "dropping-particle" : "", "family" : "M\u00f8ller", "given" : "Anders P.", "non-dropping-particle" : "", "parse-names" : false, "suffix" : "" }, { "dropping-particle" : "", "family" : "Eens", "given" : "Marcel", "non-dropping-particle" : "", "parse-names" : false, "suffix" : "" }, { "dropping-particle" : "", "family" : "Lope", "given" : "Florentino", "non-dropping-particle" : "De", "parse-names" : false, "suffix" : "" } ], "container-title" : "Behavioral Ecology", "id" : "ITEM-1", "issue" : "February", "issued" : { "date-parts" : [ [ "2005" ] ] }, "page" : "580-591", "title" : "Age-dependent health status and song characteristics in the barn swallow", "type" : "article-journal", "volume" : "16" }, "uris" : [ "http://www.mendeley.com/documents/?uuid=e0359235-ec77-4a75-9393-7cb69859cb77" ] } ], "mendeley" : { "formattedCitation" : "[10]", "plainTextFormattedCitation" : "[10]", "previouslyFormattedCitation" : "[10]" }, "properties" : { "noteIndex" : 0 }, "schema" : "https://github.com/citation-style-language/schema/raw/master/csl-citation.json" }</w:instrText>
            </w:r>
            <w:r>
              <w:fldChar w:fldCharType="separate"/>
            </w:r>
            <w:r w:rsidRPr="00637CEF">
              <w:rPr>
                <w:noProof/>
              </w:rPr>
              <w:t>[10]</w:t>
            </w:r>
            <w:r>
              <w:fldChar w:fldCharType="end"/>
            </w:r>
          </w:p>
        </w:tc>
      </w:tr>
      <w:tr w:rsidR="00E276FD" w:rsidRPr="006462D1" w14:paraId="36133711" w14:textId="77777777" w:rsidTr="00BF5EEF">
        <w:trPr>
          <w:trHeight w:val="300"/>
        </w:trPr>
        <w:tc>
          <w:tcPr>
            <w:tcW w:w="2925" w:type="dxa"/>
            <w:shd w:val="clear" w:color="auto" w:fill="auto"/>
            <w:noWrap/>
            <w:tcMar>
              <w:top w:w="15" w:type="dxa"/>
              <w:left w:w="15" w:type="dxa"/>
              <w:bottom w:w="0" w:type="dxa"/>
              <w:right w:w="15" w:type="dxa"/>
            </w:tcMar>
            <w:vAlign w:val="bottom"/>
          </w:tcPr>
          <w:p w14:paraId="5DB028D5" w14:textId="77777777" w:rsidR="00E276FD" w:rsidRPr="005F0FDB" w:rsidRDefault="00E276FD" w:rsidP="006462D1">
            <w:pPr>
              <w:rPr>
                <w:i/>
              </w:rPr>
            </w:pPr>
            <w:r w:rsidRPr="005F0FDB">
              <w:rPr>
                <w:i/>
              </w:rPr>
              <w:t xml:space="preserve">Junco </w:t>
            </w:r>
            <w:proofErr w:type="spellStart"/>
            <w:r w:rsidRPr="005F0FDB">
              <w:rPr>
                <w:i/>
              </w:rPr>
              <w:t>hyemalis</w:t>
            </w:r>
            <w:proofErr w:type="spellEnd"/>
          </w:p>
        </w:tc>
        <w:tc>
          <w:tcPr>
            <w:tcW w:w="1665" w:type="dxa"/>
            <w:shd w:val="clear" w:color="auto" w:fill="auto"/>
            <w:noWrap/>
            <w:tcMar>
              <w:top w:w="15" w:type="dxa"/>
              <w:left w:w="15" w:type="dxa"/>
              <w:bottom w:w="0" w:type="dxa"/>
              <w:right w:w="15" w:type="dxa"/>
            </w:tcMar>
            <w:vAlign w:val="bottom"/>
          </w:tcPr>
          <w:p w14:paraId="4A1B505D" w14:textId="77777777" w:rsidR="00E276FD" w:rsidRPr="006462D1" w:rsidRDefault="00E276FD" w:rsidP="006462D1">
            <w:r w:rsidRPr="006462D1">
              <w:t>1-2</w:t>
            </w:r>
          </w:p>
        </w:tc>
        <w:tc>
          <w:tcPr>
            <w:tcW w:w="1165" w:type="dxa"/>
          </w:tcPr>
          <w:p w14:paraId="14E6E996" w14:textId="77777777" w:rsidR="00E276FD" w:rsidRPr="006462D1" w:rsidRDefault="00E276FD" w:rsidP="005829AC">
            <w:r>
              <w:fldChar w:fldCharType="begin" w:fldLock="1"/>
            </w:r>
            <w:r>
              <w:instrText>ADDIN CSL_CITATION { "citationItems" : [ { "id" : "ITEM-1", "itemData" : { "DOI" : "10.1006/hbeh.1997.1414", "ISBN" : "0018-506X", "ISSN" : "0018-506X", "PMID" : "9367721", "abstract" : "In passerine birds, song is considered crucial in advertising reproductive and territorial status to conspecifics. Variation in the quality and frequency of song may be influenced by hormonal effects during the individual's development. This variation in turn may affect the function and potency of song. We studied the influence of testosterone on vocal production in first-year male dark-eyed juncos (Junco hyemalis), using subcutaneous silastic implants filled with testosterone. Subjects were visually but not acoustically isolated from one another and after capture had no exposure to female or adult male models. Implants were administered when subjects were in the plastic song phase (i.e., after they had begun to sing but before song was fully crystallized). Control males (C males) received empty implants. Experimental males were of two classes: TI males received one dose of testosterone (a single 10-mm implant), and TII males received two doses. Testosterone implants kept plasma levels high well into the breeding season, whereas in nature, levels normally drop after territorial acquisition and pair formation. Control males sang at higher rates than testosterone-treated males of both classes and had the greatest number of song types. This inhibitory effect of testosterone on vocal production suggests that disturbance of seasonal profiles of testosterone in birds may interfere with the production of species-typical song.", "author" : [ { "dropping-particle" : "", "family" : "Titus", "given" : "R C", "non-dropping-particle" : "", "parse-names" : false, "suffix" : "" }, { "dropping-particle" : "", "family" : "Ketterson", "given" : "E D", "non-dropping-particle" : "", "parse-names" : false, "suffix" : "" }, { "dropping-particle" : "", "family" : "Nolan", "given" : "V", "non-dropping-particle" : "", "parse-names" : false, "suffix" : "" } ], "container-title" : "Hormones and behavior", "id" : "ITEM-1", "issued" : { "date-parts" : [ [ "1997" ] ] }, "page" : "133-140", "title" : "High testosterone prior to song crystallization inhibits singing behavior in captive yearling dark-eyed juncos (Junco hyemalis).", "type" : "article-journal", "volume" : "32" }, "uris" : [ "http://www.mendeley.com/documents/?uuid=6122923c-42cb-482f-b097-236e8c20ec62" ] } ], "mendeley" : { "formattedCitation" : "[11]", "plainTextFormattedCitation" : "[11]", "previouslyFormattedCitation" : "[11]" }, "properties" : { "noteIndex" : 0 }, "schema" : "https://github.com/citation-style-language/schema/raw/master/csl-citation.json" }</w:instrText>
            </w:r>
            <w:r>
              <w:fldChar w:fldCharType="separate"/>
            </w:r>
            <w:r w:rsidRPr="00637CEF">
              <w:rPr>
                <w:noProof/>
              </w:rPr>
              <w:t>[11]</w:t>
            </w:r>
            <w:r>
              <w:fldChar w:fldCharType="end"/>
            </w:r>
          </w:p>
        </w:tc>
        <w:tc>
          <w:tcPr>
            <w:tcW w:w="1805" w:type="dxa"/>
            <w:shd w:val="clear" w:color="auto" w:fill="auto"/>
            <w:noWrap/>
            <w:tcMar>
              <w:top w:w="15" w:type="dxa"/>
              <w:left w:w="15" w:type="dxa"/>
              <w:bottom w:w="0" w:type="dxa"/>
              <w:right w:w="15" w:type="dxa"/>
            </w:tcMar>
            <w:vAlign w:val="bottom"/>
          </w:tcPr>
          <w:p w14:paraId="799BE53F" w14:textId="77777777" w:rsidR="00E276FD" w:rsidRPr="006462D1" w:rsidRDefault="00E276FD" w:rsidP="005829AC">
            <w:r w:rsidRPr="006462D1">
              <w:t xml:space="preserve">Closed </w:t>
            </w:r>
          </w:p>
        </w:tc>
        <w:tc>
          <w:tcPr>
            <w:tcW w:w="1875" w:type="dxa"/>
          </w:tcPr>
          <w:p w14:paraId="6CB6A635" w14:textId="77777777" w:rsidR="00E276FD" w:rsidRPr="006462D1" w:rsidRDefault="00E276FD" w:rsidP="00DA5307">
            <w:r>
              <w:fldChar w:fldCharType="begin" w:fldLock="1"/>
            </w:r>
            <w:r>
              <w:instrText>ADDIN CSL_CITATION { "citationItems" : [ { "id" : "ITEM-1", "itemData" : { "DOI" : "10.1006/hbeh.1997.1414", "ISBN" : "0018-506X", "ISSN" : "0018-506X", "PMID" : "9367721", "abstract" : "In passerine birds, song is considered crucial in advertising reproductive and territorial status to conspecifics. Variation in the quality and frequency of song may be influenced by hormonal effects during the individual's development. This variation in turn may affect the function and potency of song. We studied the influence of testosterone on vocal production in first-year male dark-eyed juncos (Junco hyemalis), using subcutaneous silastic implants filled with testosterone. Subjects were visually but not acoustically isolated from one another and after capture had no exposure to female or adult male models. Implants were administered when subjects were in the plastic song phase (i.e., after they had begun to sing but before song was fully crystallized). Control males (C males) received empty implants. Experimental males were of two classes: TI males received one dose of testosterone (a single 10-mm implant), and TII males received two doses. Testosterone implants kept plasma levels high well into the breeding season, whereas in nature, levels normally drop after territorial acquisition and pair formation. Control males sang at higher rates than testosterone-treated males of both classes and had the greatest number of song types. This inhibitory effect of testosterone on vocal production suggests that disturbance of seasonal profiles of testosterone in birds may interfere with the production of species-typical song.", "author" : [ { "dropping-particle" : "", "family" : "Titus", "given" : "R C", "non-dropping-particle" : "", "parse-names" : false, "suffix" : "" }, { "dropping-particle" : "", "family" : "Ketterson", "given" : "E D", "non-dropping-particle" : "", "parse-names" : false, "suffix" : "" }, { "dropping-particle" : "", "family" : "Nolan", "given" : "V", "non-dropping-particle" : "", "parse-names" : false, "suffix" : "" } ], "container-title" : "Hormones and behavior", "id" : "ITEM-1", "issued" : { "date-parts" : [ [ "1997" ] ] }, "page" : "133-140", "title" : "High testosterone prior to song crystallization inhibits singing behavior in captive yearling dark-eyed juncos (Junco hyemalis).", "type" : "article-journal", "volume" : "32" }, "uris" : [ "http://www.mendeley.com/documents/?uuid=6122923c-42cb-482f-b097-236e8c20ec62" ] } ], "mendeley" : { "formattedCitation" : "[11]", "plainTextFormattedCitation" : "[11]", "previouslyFormattedCitation" : "[11]" }, "properties" : { "noteIndex" : 0 }, "schema" : "https://github.com/citation-style-language/schema/raw/master/csl-citation.json" }</w:instrText>
            </w:r>
            <w:r>
              <w:fldChar w:fldCharType="separate"/>
            </w:r>
            <w:r w:rsidRPr="00637CEF">
              <w:rPr>
                <w:noProof/>
              </w:rPr>
              <w:t>[11]</w:t>
            </w:r>
            <w:r>
              <w:fldChar w:fldCharType="end"/>
            </w:r>
          </w:p>
        </w:tc>
      </w:tr>
      <w:tr w:rsidR="00E276FD" w:rsidRPr="006462D1" w14:paraId="3A5E7C47" w14:textId="77777777" w:rsidTr="00BF5EEF">
        <w:trPr>
          <w:trHeight w:val="300"/>
        </w:trPr>
        <w:tc>
          <w:tcPr>
            <w:tcW w:w="2925" w:type="dxa"/>
            <w:shd w:val="clear" w:color="auto" w:fill="auto"/>
            <w:noWrap/>
            <w:tcMar>
              <w:top w:w="15" w:type="dxa"/>
              <w:left w:w="15" w:type="dxa"/>
              <w:bottom w:w="0" w:type="dxa"/>
              <w:right w:w="15" w:type="dxa"/>
            </w:tcMar>
            <w:vAlign w:val="bottom"/>
          </w:tcPr>
          <w:p w14:paraId="1A344BBD" w14:textId="77777777" w:rsidR="00E276FD" w:rsidRPr="005F0FDB" w:rsidRDefault="00E276FD" w:rsidP="006462D1">
            <w:pPr>
              <w:rPr>
                <w:i/>
              </w:rPr>
            </w:pPr>
            <w:proofErr w:type="spellStart"/>
            <w:r w:rsidRPr="005F0FDB">
              <w:rPr>
                <w:i/>
              </w:rPr>
              <w:t>Locustella</w:t>
            </w:r>
            <w:proofErr w:type="spellEnd"/>
            <w:r w:rsidRPr="005F0FDB">
              <w:rPr>
                <w:i/>
              </w:rPr>
              <w:t xml:space="preserve"> </w:t>
            </w:r>
            <w:proofErr w:type="spellStart"/>
            <w:r w:rsidRPr="005F0FDB">
              <w:rPr>
                <w:i/>
              </w:rPr>
              <w:t>naevia</w:t>
            </w:r>
            <w:proofErr w:type="spellEnd"/>
          </w:p>
        </w:tc>
        <w:tc>
          <w:tcPr>
            <w:tcW w:w="1665" w:type="dxa"/>
            <w:shd w:val="clear" w:color="auto" w:fill="auto"/>
            <w:noWrap/>
            <w:tcMar>
              <w:top w:w="15" w:type="dxa"/>
              <w:left w:w="15" w:type="dxa"/>
              <w:bottom w:w="0" w:type="dxa"/>
              <w:right w:w="15" w:type="dxa"/>
            </w:tcMar>
            <w:vAlign w:val="bottom"/>
          </w:tcPr>
          <w:p w14:paraId="634A4CDA" w14:textId="77777777" w:rsidR="00E276FD" w:rsidRPr="006462D1" w:rsidRDefault="00E276FD" w:rsidP="006462D1">
            <w:r w:rsidRPr="006462D1">
              <w:t>1</w:t>
            </w:r>
          </w:p>
        </w:tc>
        <w:tc>
          <w:tcPr>
            <w:tcW w:w="1165" w:type="dxa"/>
          </w:tcPr>
          <w:p w14:paraId="34733411" w14:textId="77777777" w:rsidR="00E276FD" w:rsidRPr="006462D1" w:rsidRDefault="00E276FD" w:rsidP="007207CF">
            <w:r w:rsidRPr="006462D1">
              <w:fldChar w:fldCharType="begin" w:fldLock="1"/>
            </w:r>
            <w:r>
              <w:instrText>ADDIN CSL_CITATION { "citationItems" : [ { "id" : "ITEM-1", "itemData" : { "DOI" : "10.1073/pnas.1102077108", "ISSN" : "0027-8424", "PMID" : "21918109", "abstract" : "Behavioral specializations are frequently associated with expansions of the brain regions controlling them. This principle of proper mass spans sensory, motor, and cognitive abilities and has been observed in a wide variety of vertebrate species. Yet, it is unknown if this concept extrapolates to entire neural pathways or how selection on a behavioral capacity might otherwise shape circuit structure. We investigate these questions by comparing the songs and neuroanatomy of 49 species from 17 families of songbirds, which vary immensely in the number of unique song components they produce and possess a conserved neural network dedicated to this behavior. We find that syllable repertoire size is strongly related to the degree of song motor pathway convergence. Repertoire size is more accurately predicted by the number of neurons in higher motor areas relative to that in their downstream targets than by the overall number of neurons in the song motor pathway. Additionally, the convergence values along serial premotor and primary motor projections account for distinct portions of the behavioral variation. These findings suggest that selection on song has independently shaped different components of this hierarchical pathway, and they elucidate how changes in pathway structure could have underlain elaborations of this learned motor behavior.", "author" : [ { "dropping-particle" : "", "family" : "Moore", "given" : "J M", "non-dropping-particle" : "", "parse-names" : false, "suffix" : "" }, { "dropping-particle" : "", "family" : "Szekely", "given" : "Tamas", "non-dropping-particle" : "", "parse-names" : false, "suffix" : "" }, { "dropping-particle" : "", "family" : "Buki", "given" : "J", "non-dropping-particle" : "", "parse-names" : false, "suffix" : "" }, { "dropping-particle" : "", "family" : "DeVoogd", "given" : "T J", "non-dropping-particle" : "", "parse-names" : false, "suffix" : "" } ], "id" : "ITEM-1", "issued" : { "date-parts" : [ [ "2011" ] ] }, "title" : "Motor pathway convergence predicts syllable repertoire size in oscine birds", "type" : "article-journal" }, "uris" : [ "http://www.mendeley.com/documents/?uuid=5a812c07-5510-482e-b697-323acda9d7a8" ] } ], "mendeley" : { "formattedCitation" : "[1]", "plainTextFormattedCitation" : "[1]", "previouslyFormattedCitation" : "[1]" }, "properties" : { "noteIndex" : 0 }, "schema" : "https://github.com/citation-style-language/schema/raw/master/csl-citation.json" }</w:instrText>
            </w:r>
            <w:r w:rsidRPr="006462D1">
              <w:fldChar w:fldCharType="separate"/>
            </w:r>
            <w:r w:rsidRPr="007207CF">
              <w:rPr>
                <w:noProof/>
              </w:rPr>
              <w:t>[1]</w:t>
            </w:r>
            <w:r w:rsidRPr="006462D1">
              <w:fldChar w:fldCharType="end"/>
            </w:r>
          </w:p>
        </w:tc>
        <w:tc>
          <w:tcPr>
            <w:tcW w:w="1805" w:type="dxa"/>
            <w:shd w:val="clear" w:color="auto" w:fill="auto"/>
            <w:noWrap/>
            <w:tcMar>
              <w:top w:w="15" w:type="dxa"/>
              <w:left w:w="15" w:type="dxa"/>
              <w:bottom w:w="0" w:type="dxa"/>
              <w:right w:w="15" w:type="dxa"/>
            </w:tcMar>
            <w:vAlign w:val="bottom"/>
          </w:tcPr>
          <w:p w14:paraId="42A14718" w14:textId="77777777" w:rsidR="00E276FD" w:rsidRPr="006462D1" w:rsidRDefault="00E276FD" w:rsidP="007207CF">
            <w:r w:rsidRPr="006462D1">
              <w:t xml:space="preserve">Closed </w:t>
            </w:r>
          </w:p>
        </w:tc>
        <w:tc>
          <w:tcPr>
            <w:tcW w:w="1875" w:type="dxa"/>
          </w:tcPr>
          <w:p w14:paraId="4031322B" w14:textId="77777777" w:rsidR="00E276FD" w:rsidRPr="006462D1" w:rsidRDefault="00E276FD" w:rsidP="006462D1">
            <w:r>
              <w:fldChar w:fldCharType="begin" w:fldLock="1"/>
            </w:r>
            <w:r>
              <w:instrText>ADDIN CSL_CITATION { "citationItems" : [ { "id" : "ITEM-1", "itemData" : { "author" : [ { "dropping-particle" : "", "family" : "Becker", "given" : "PH", "non-dropping-particle" : "", "parse-names" : false, "suffix" : "" } ], "container-title" : "Vogelwarte", "id" : "ITEM-1", "issued" : { "date-parts" : [ [ "1990" ] ] }, "page" : "257-267", "title" : "Song of the grasshopper warbler Locustella naevia in acoustic isolation", "type" : "article-journal", "volume" : "35" }, "uris" : [ "http://www.mendeley.com/documents/?uuid=6c4ec19d-5cbc-4123-966d-91a174905309" ] } ], "mendeley" : { "formattedCitation" : "[12]", "plainTextFormattedCitation" : "[12]", "previouslyFormattedCitation" : "[12]" }, "properties" : { "noteIndex" : 0 }, "schema" : "https://github.com/citation-style-language/schema/raw/master/csl-citation.json" }</w:instrText>
            </w:r>
            <w:r>
              <w:fldChar w:fldCharType="separate"/>
            </w:r>
            <w:r w:rsidRPr="00637CEF">
              <w:rPr>
                <w:noProof/>
              </w:rPr>
              <w:t>[12]</w:t>
            </w:r>
            <w:r>
              <w:fldChar w:fldCharType="end"/>
            </w:r>
          </w:p>
        </w:tc>
      </w:tr>
      <w:tr w:rsidR="00E276FD" w:rsidRPr="0071078D" w14:paraId="6D2AAED2" w14:textId="77777777" w:rsidTr="00BF5EEF">
        <w:trPr>
          <w:trHeight w:val="300"/>
        </w:trPr>
        <w:tc>
          <w:tcPr>
            <w:tcW w:w="2925" w:type="dxa"/>
            <w:shd w:val="clear" w:color="auto" w:fill="auto"/>
            <w:noWrap/>
            <w:tcMar>
              <w:top w:w="15" w:type="dxa"/>
              <w:left w:w="15" w:type="dxa"/>
              <w:bottom w:w="0" w:type="dxa"/>
              <w:right w:w="15" w:type="dxa"/>
            </w:tcMar>
            <w:vAlign w:val="bottom"/>
          </w:tcPr>
          <w:p w14:paraId="55D295C5" w14:textId="77777777" w:rsidR="00E276FD" w:rsidRPr="005F0FDB" w:rsidRDefault="00E276FD" w:rsidP="006462D1">
            <w:pPr>
              <w:rPr>
                <w:i/>
              </w:rPr>
            </w:pPr>
            <w:proofErr w:type="spellStart"/>
            <w:r w:rsidRPr="005F0FDB">
              <w:rPr>
                <w:i/>
              </w:rPr>
              <w:t>Lonchura</w:t>
            </w:r>
            <w:proofErr w:type="spellEnd"/>
            <w:r w:rsidRPr="005F0FDB">
              <w:rPr>
                <w:i/>
              </w:rPr>
              <w:t xml:space="preserve"> </w:t>
            </w:r>
            <w:proofErr w:type="spellStart"/>
            <w:r w:rsidRPr="005F0FDB">
              <w:rPr>
                <w:i/>
              </w:rPr>
              <w:t>oryzivora</w:t>
            </w:r>
            <w:proofErr w:type="spellEnd"/>
          </w:p>
        </w:tc>
        <w:tc>
          <w:tcPr>
            <w:tcW w:w="1665" w:type="dxa"/>
            <w:shd w:val="clear" w:color="auto" w:fill="auto"/>
            <w:noWrap/>
            <w:tcMar>
              <w:top w:w="15" w:type="dxa"/>
              <w:left w:w="15" w:type="dxa"/>
              <w:bottom w:w="0" w:type="dxa"/>
              <w:right w:w="15" w:type="dxa"/>
            </w:tcMar>
            <w:vAlign w:val="bottom"/>
          </w:tcPr>
          <w:p w14:paraId="0AC88894" w14:textId="77777777" w:rsidR="00E276FD" w:rsidRPr="0071078D" w:rsidRDefault="00E276FD" w:rsidP="006462D1">
            <w:r w:rsidRPr="0071078D">
              <w:t>2-8</w:t>
            </w:r>
          </w:p>
        </w:tc>
        <w:tc>
          <w:tcPr>
            <w:tcW w:w="1165" w:type="dxa"/>
          </w:tcPr>
          <w:p w14:paraId="4A2C395B" w14:textId="77777777" w:rsidR="00E276FD" w:rsidRPr="0071078D" w:rsidRDefault="00E276FD" w:rsidP="006462D1">
            <w:r w:rsidRPr="0071078D">
              <w:fldChar w:fldCharType="begin" w:fldLock="1"/>
            </w:r>
            <w:r>
              <w:instrText>ADDIN CSL_CITATION { "citationItems" : [ { "id" : "ITEM-1", "itemData" : { "DOI" : "10.1111/jav.00383", "ISSN" : "09088857", "abstract" : "Birdsong is a sexual signal that serves as an indicator of male quality. Th ere is already abundant evidence that song elaboration refl ects early life-history because early developmental stress aff ects neural development of song control systems, and leaves irreversible adverse eff ects on song phenotypes. Especially in closed-ended vocal learners, song features crystallized early in life are less subject to changes in adulthood. Th is is why less attention has been paid to lifelong song changes in closed-ended learners. However, in the eyes of female birds that gain benefi ts from choosing mates based on male songs, not only past but also current conditions encoded in songs would be meaningful, given that even crystallized songs in closed-ended learners would not be identical in the long term. In this study, we examine within-individual song changes in the Java sparrow Lonchura oryzivora , with the aim of shedding light on the relationship between song and long-term life history. Specifi cally, we compared song length, tempo, and song complexity measures between the point just after song crystallization and around 1 yr later, and also compared those traits between fathers and sons to clarify the eff ect of vocal learning. While it is not surprising that song complexity did not diff er depending on age or between fathers and sons, we found that song length and tempo increased with age. Follow-up analyses have revealed that frequency bandwidth and peak frequency of song notes also elevated with age. Our results show that song performance related to motor skills can be improved even after song crystallization. We also suggest that song performance in closed- ended vocal learners gives a reliable clue for mate choice by refl ecting male quality with aging.", "author" : [ { "dropping-particle" : "", "family" : "Ota", "given" : "Nao", "non-dropping-particle" : "", "parse-names" : false, "suffix" : "" }, { "dropping-particle" : "", "family" : "Soma", "given" : "Masayo", "non-dropping-particle" : "", "parse-names" : false, "suffix" : "" } ], "container-title" : "Journal of Avian Biology", "id" : "ITEM-1", "issue" : "April", "issued" : { "date-parts" : [ [ "2014" ] ] }, "page" : "566-573", "title" : "Age-dependent song changes in a closed-ended vocal learner: Elevation of song performance after song crystallization", "type" : "article-journal" }, "uris" : [ "http://www.mendeley.com/documents/?uuid=01346530-f3a6-4416-9464-0ac8469e341f" ] } ], "mendeley" : { "formattedCitation" : "[13]", "plainTextFormattedCitation" : "[13]", "previouslyFormattedCitation" : "[13]" }, "properties" : { "noteIndex" : 0 }, "schema" : "https://github.com/citation-style-language/schema/raw/master/csl-citation.json" }</w:instrText>
            </w:r>
            <w:r w:rsidRPr="0071078D">
              <w:fldChar w:fldCharType="separate"/>
            </w:r>
            <w:r w:rsidRPr="00637CEF">
              <w:rPr>
                <w:noProof/>
              </w:rPr>
              <w:t>[13]</w:t>
            </w:r>
            <w:r w:rsidRPr="0071078D">
              <w:fldChar w:fldCharType="end"/>
            </w:r>
          </w:p>
        </w:tc>
        <w:tc>
          <w:tcPr>
            <w:tcW w:w="1805" w:type="dxa"/>
            <w:shd w:val="clear" w:color="auto" w:fill="auto"/>
            <w:noWrap/>
            <w:tcMar>
              <w:top w:w="15" w:type="dxa"/>
              <w:left w:w="15" w:type="dxa"/>
              <w:bottom w:w="0" w:type="dxa"/>
              <w:right w:w="15" w:type="dxa"/>
            </w:tcMar>
            <w:vAlign w:val="bottom"/>
          </w:tcPr>
          <w:p w14:paraId="1DA13C9D" w14:textId="77777777" w:rsidR="00E276FD" w:rsidRPr="0071078D" w:rsidRDefault="00E276FD" w:rsidP="006462D1">
            <w:r w:rsidRPr="0071078D">
              <w:t>Closed</w:t>
            </w:r>
          </w:p>
        </w:tc>
        <w:tc>
          <w:tcPr>
            <w:tcW w:w="1875" w:type="dxa"/>
          </w:tcPr>
          <w:p w14:paraId="4D9F23BC" w14:textId="77777777" w:rsidR="00E276FD" w:rsidRPr="0071078D" w:rsidRDefault="00E276FD" w:rsidP="006462D1">
            <w:r w:rsidRPr="0071078D">
              <w:fldChar w:fldCharType="begin" w:fldLock="1"/>
            </w:r>
            <w:r>
              <w:instrText>ADDIN CSL_CITATION { "citationItems" : [ { "id" : "ITEM-1", "itemData" : { "DOI" : "10.1111/jav.00383", "ISSN" : "09088857", "abstract" : "Birdsong is a sexual signal that serves as an indicator of male quality. Th ere is already abundant evidence that song elaboration refl ects early life-history because early developmental stress aff ects neural development of song control systems, and leaves irreversible adverse eff ects on song phenotypes. Especially in closed-ended vocal learners, song features crystallized early in life are less subject to changes in adulthood. Th is is why less attention has been paid to lifelong song changes in closed-ended learners. However, in the eyes of female birds that gain benefi ts from choosing mates based on male songs, not only past but also current conditions encoded in songs would be meaningful, given that even crystallized songs in closed-ended learners would not be identical in the long term. In this study, we examine within-individual song changes in the Java sparrow Lonchura oryzivora , with the aim of shedding light on the relationship between song and long-term life history. Specifi cally, we compared song length, tempo, and song complexity measures between the point just after song crystallization and around 1 yr later, and also compared those traits between fathers and sons to clarify the eff ect of vocal learning. While it is not surprising that song complexity did not diff er depending on age or between fathers and sons, we found that song length and tempo increased with age. Follow-up analyses have revealed that frequency bandwidth and peak frequency of song notes also elevated with age. Our results show that song performance related to motor skills can be improved even after song crystallization. We also suggest that song performance in closed- ended vocal learners gives a reliable clue for mate choice by refl ecting male quality with aging.", "author" : [ { "dropping-particle" : "", "family" : "Ota", "given" : "Nao", "non-dropping-particle" : "", "parse-names" : false, "suffix" : "" }, { "dropping-particle" : "", "family" : "Soma", "given" : "Masayo", "non-dropping-particle" : "", "parse-names" : false, "suffix" : "" } ], "container-title" : "Journal of Avian Biology", "id" : "ITEM-1", "issue" : "April", "issued" : { "date-parts" : [ [ "2014" ] ] }, "page" : "566-573", "title" : "Age-dependent song changes in a closed-ended vocal learner: Elevation of song performance after song crystallization", "type" : "article-journal" }, "uris" : [ "http://www.mendeley.com/documents/?uuid=01346530-f3a6-4416-9464-0ac8469e341f" ] } ], "mendeley" : { "formattedCitation" : "[13]", "plainTextFormattedCitation" : "[13]", "previouslyFormattedCitation" : "[13]" }, "properties" : { "noteIndex" : 0 }, "schema" : "https://github.com/citation-style-language/schema/raw/master/csl-citation.json" }</w:instrText>
            </w:r>
            <w:r w:rsidRPr="0071078D">
              <w:fldChar w:fldCharType="separate"/>
            </w:r>
            <w:r w:rsidRPr="00637CEF">
              <w:rPr>
                <w:noProof/>
              </w:rPr>
              <w:t>[13]</w:t>
            </w:r>
            <w:r w:rsidRPr="0071078D">
              <w:fldChar w:fldCharType="end"/>
            </w:r>
          </w:p>
        </w:tc>
      </w:tr>
      <w:tr w:rsidR="00E276FD" w:rsidRPr="0071078D" w14:paraId="68034A7A" w14:textId="77777777" w:rsidTr="00BF5EEF">
        <w:trPr>
          <w:trHeight w:val="300"/>
        </w:trPr>
        <w:tc>
          <w:tcPr>
            <w:tcW w:w="2925" w:type="dxa"/>
            <w:shd w:val="clear" w:color="auto" w:fill="auto"/>
            <w:noWrap/>
            <w:tcMar>
              <w:top w:w="15" w:type="dxa"/>
              <w:left w:w="15" w:type="dxa"/>
              <w:bottom w:w="0" w:type="dxa"/>
              <w:right w:w="15" w:type="dxa"/>
            </w:tcMar>
            <w:vAlign w:val="bottom"/>
          </w:tcPr>
          <w:p w14:paraId="1981B217" w14:textId="77777777" w:rsidR="00E276FD" w:rsidRPr="005F0FDB" w:rsidRDefault="00E276FD" w:rsidP="006462D1">
            <w:pPr>
              <w:rPr>
                <w:i/>
              </w:rPr>
            </w:pPr>
            <w:proofErr w:type="spellStart"/>
            <w:r w:rsidRPr="005F0FDB">
              <w:rPr>
                <w:i/>
              </w:rPr>
              <w:t>Lonchura</w:t>
            </w:r>
            <w:proofErr w:type="spellEnd"/>
            <w:r w:rsidRPr="005F0FDB">
              <w:rPr>
                <w:i/>
              </w:rPr>
              <w:t xml:space="preserve"> </w:t>
            </w:r>
            <w:proofErr w:type="spellStart"/>
            <w:r w:rsidRPr="005F0FDB">
              <w:rPr>
                <w:i/>
              </w:rPr>
              <w:t>striata</w:t>
            </w:r>
            <w:proofErr w:type="spellEnd"/>
          </w:p>
        </w:tc>
        <w:tc>
          <w:tcPr>
            <w:tcW w:w="1665" w:type="dxa"/>
            <w:shd w:val="clear" w:color="auto" w:fill="auto"/>
            <w:noWrap/>
            <w:tcMar>
              <w:top w:w="15" w:type="dxa"/>
              <w:left w:w="15" w:type="dxa"/>
              <w:bottom w:w="0" w:type="dxa"/>
              <w:right w:w="15" w:type="dxa"/>
            </w:tcMar>
            <w:vAlign w:val="bottom"/>
          </w:tcPr>
          <w:p w14:paraId="1F99E351" w14:textId="77777777" w:rsidR="00E276FD" w:rsidRPr="0071078D" w:rsidRDefault="00E276FD" w:rsidP="006462D1">
            <w:r w:rsidRPr="0071078D">
              <w:t>11</w:t>
            </w:r>
          </w:p>
        </w:tc>
        <w:tc>
          <w:tcPr>
            <w:tcW w:w="1165" w:type="dxa"/>
          </w:tcPr>
          <w:p w14:paraId="6DB24E6C" w14:textId="77777777" w:rsidR="00E276FD" w:rsidRPr="0071078D" w:rsidRDefault="00E276FD" w:rsidP="006462D1">
            <w:r w:rsidRPr="0071078D">
              <w:fldChar w:fldCharType="begin" w:fldLock="1"/>
            </w:r>
            <w:r>
              <w:instrText>ADDIN CSL_CITATION { "citationItems" : [ { "id" : "ITEM-1", "itemData" : { "author" : [ { "dropping-particle" : "", "family" : "Clayton", "given" : "Nicky S", "non-dropping-particle" : "", "parse-names" : false, "suffix" : "" } ], "container-title" : "Ethology", "id" : "ITEM-1", "issue" : "3", "issued" : { "date-parts" : [ [ "1987" ] ] }, "page" : "247-255", "publisher" : "Wiley Online Library", "title" : "Song learning in Bengalese finches: a comparison with zebra finches", "type" : "article-journal", "volume" : "76" }, "uris" : [ "http://www.mendeley.com/documents/?uuid=2664c569-4144-420a-917e-b6d9a8fd4e44" ] } ], "mendeley" : { "formattedCitation" : "[14]", "plainTextFormattedCitation" : "[14]", "previouslyFormattedCitation" : "[14]" }, "properties" : { "noteIndex" : 0 }, "schema" : "https://github.com/citation-style-language/schema/raw/master/csl-citation.json" }</w:instrText>
            </w:r>
            <w:r w:rsidRPr="0071078D">
              <w:fldChar w:fldCharType="separate"/>
            </w:r>
            <w:r w:rsidRPr="00637CEF">
              <w:rPr>
                <w:noProof/>
              </w:rPr>
              <w:t>[14]</w:t>
            </w:r>
            <w:r w:rsidRPr="0071078D">
              <w:fldChar w:fldCharType="end"/>
            </w:r>
          </w:p>
        </w:tc>
        <w:tc>
          <w:tcPr>
            <w:tcW w:w="1805" w:type="dxa"/>
            <w:shd w:val="clear" w:color="auto" w:fill="auto"/>
            <w:noWrap/>
            <w:tcMar>
              <w:top w:w="15" w:type="dxa"/>
              <w:left w:w="15" w:type="dxa"/>
              <w:bottom w:w="0" w:type="dxa"/>
              <w:right w:w="15" w:type="dxa"/>
            </w:tcMar>
            <w:vAlign w:val="bottom"/>
          </w:tcPr>
          <w:p w14:paraId="6C7787AF" w14:textId="77777777" w:rsidR="00E276FD" w:rsidRPr="0071078D" w:rsidRDefault="00E276FD" w:rsidP="006462D1">
            <w:r w:rsidRPr="0071078D">
              <w:t>Closed</w:t>
            </w:r>
          </w:p>
        </w:tc>
        <w:tc>
          <w:tcPr>
            <w:tcW w:w="1875" w:type="dxa"/>
          </w:tcPr>
          <w:p w14:paraId="409D278E" w14:textId="77777777" w:rsidR="00E276FD" w:rsidRPr="0071078D" w:rsidRDefault="00E276FD" w:rsidP="006462D1">
            <w:r w:rsidRPr="0071078D">
              <w:fldChar w:fldCharType="begin" w:fldLock="1"/>
            </w:r>
            <w:r>
              <w:instrText>ADDIN CSL_CITATION { "citationItems" : [ { "id" : "ITEM-1", "itemData" : { "author" : [ { "dropping-particle" : "", "family" : "Clayton", "given" : "Nicky S", "non-dropping-particle" : "", "parse-names" : false, "suffix" : "" } ], "container-title" : "Ethology", "id" : "ITEM-1", "issue" : "3", "issued" : { "date-parts" : [ [ "1987" ] ] }, "page" : "247-255", "publisher" : "Wiley Online Library", "title" : "Song learning in Bengalese finches: a comparison with zebra finches", "type" : "article-journal", "volume" : "76" }, "uris" : [ "http://www.mendeley.com/documents/?uuid=2664c569-4144-420a-917e-b6d9a8fd4e44" ] } ], "mendeley" : { "formattedCitation" : "[14]", "plainTextFormattedCitation" : "[14]", "previouslyFormattedCitation" : "[14]" }, "properties" : { "noteIndex" : 0 }, "schema" : "https://github.com/citation-style-language/schema/raw/master/csl-citation.json" }</w:instrText>
            </w:r>
            <w:r w:rsidRPr="0071078D">
              <w:fldChar w:fldCharType="separate"/>
            </w:r>
            <w:r w:rsidRPr="00637CEF">
              <w:rPr>
                <w:noProof/>
              </w:rPr>
              <w:t>[14]</w:t>
            </w:r>
            <w:r w:rsidRPr="0071078D">
              <w:fldChar w:fldCharType="end"/>
            </w:r>
          </w:p>
        </w:tc>
      </w:tr>
      <w:tr w:rsidR="00E276FD" w:rsidRPr="006462D1" w14:paraId="12C38AE1" w14:textId="77777777" w:rsidTr="00BF5EEF">
        <w:trPr>
          <w:trHeight w:val="300"/>
        </w:trPr>
        <w:tc>
          <w:tcPr>
            <w:tcW w:w="2925" w:type="dxa"/>
            <w:shd w:val="clear" w:color="auto" w:fill="auto"/>
            <w:noWrap/>
            <w:tcMar>
              <w:top w:w="15" w:type="dxa"/>
              <w:left w:w="15" w:type="dxa"/>
              <w:bottom w:w="0" w:type="dxa"/>
              <w:right w:w="15" w:type="dxa"/>
            </w:tcMar>
            <w:vAlign w:val="bottom"/>
          </w:tcPr>
          <w:p w14:paraId="614D06A1" w14:textId="77777777" w:rsidR="00E276FD" w:rsidRPr="005F0FDB" w:rsidRDefault="00E276FD" w:rsidP="006462D1">
            <w:pPr>
              <w:rPr>
                <w:i/>
              </w:rPr>
            </w:pPr>
            <w:proofErr w:type="spellStart"/>
            <w:r w:rsidRPr="005F0FDB">
              <w:rPr>
                <w:i/>
              </w:rPr>
              <w:t>Luscinia</w:t>
            </w:r>
            <w:proofErr w:type="spellEnd"/>
            <w:r w:rsidRPr="005F0FDB">
              <w:rPr>
                <w:i/>
              </w:rPr>
              <w:t xml:space="preserve"> </w:t>
            </w:r>
            <w:proofErr w:type="spellStart"/>
            <w:r w:rsidRPr="005F0FDB">
              <w:rPr>
                <w:i/>
              </w:rPr>
              <w:t>megarhynchos</w:t>
            </w:r>
            <w:proofErr w:type="spellEnd"/>
          </w:p>
        </w:tc>
        <w:tc>
          <w:tcPr>
            <w:tcW w:w="1665" w:type="dxa"/>
            <w:shd w:val="clear" w:color="auto" w:fill="auto"/>
            <w:noWrap/>
            <w:tcMar>
              <w:top w:w="15" w:type="dxa"/>
              <w:left w:w="15" w:type="dxa"/>
              <w:bottom w:w="0" w:type="dxa"/>
              <w:right w:w="15" w:type="dxa"/>
            </w:tcMar>
            <w:vAlign w:val="bottom"/>
          </w:tcPr>
          <w:p w14:paraId="6304464C" w14:textId="77777777" w:rsidR="00E276FD" w:rsidRPr="006462D1" w:rsidRDefault="00E276FD" w:rsidP="006462D1">
            <w:r w:rsidRPr="006462D1">
              <w:t>1160</w:t>
            </w:r>
          </w:p>
        </w:tc>
        <w:tc>
          <w:tcPr>
            <w:tcW w:w="1165" w:type="dxa"/>
          </w:tcPr>
          <w:p w14:paraId="3609BC75" w14:textId="77777777" w:rsidR="00E276FD" w:rsidRPr="006462D1" w:rsidRDefault="00E276FD" w:rsidP="007207CF">
            <w:r w:rsidRPr="006462D1">
              <w:fldChar w:fldCharType="begin" w:fldLock="1"/>
            </w:r>
            <w:r>
              <w:instrText>ADDIN CSL_CITATION { "citationItems" : [ { "id" : "ITEM-1", "itemData" : { "DOI" : "10.1073/pnas.1102077108", "ISSN" : "0027-8424", "PMID" : "21918109", "abstract" : "Behavioral specializations are frequently associated with expansions of the brain regions controlling them. This principle of proper mass spans sensory, motor, and cognitive abilities and has been observed in a wide variety of vertebrate species. Yet, it is unknown if this concept extrapolates to entire neural pathways or how selection on a behavioral capacity might otherwise shape circuit structure. We investigate these questions by comparing the songs and neuroanatomy of 49 species from 17 families of songbirds, which vary immensely in the number of unique song components they produce and possess a conserved neural network dedicated to this behavior. We find that syllable repertoire size is strongly related to the degree of song motor pathway convergence. Repertoire size is more accurately predicted by the number of neurons in higher motor areas relative to that in their downstream targets than by the overall number of neurons in the song motor pathway. Additionally, the convergence values along serial premotor and primary motor projections account for distinct portions of the behavioral variation. These findings suggest that selection on song has independently shaped different components of this hierarchical pathway, and they elucidate how changes in pathway structure could have underlain elaborations of this learned motor behavior.", "author" : [ { "dropping-particle" : "", "family" : "Moore", "given" : "J M", "non-dropping-particle" : "", "parse-names" : false, "suffix" : "" }, { "dropping-particle" : "", "family" : "Szekely", "given" : "Tamas", "non-dropping-particle" : "", "parse-names" : false, "suffix" : "" }, { "dropping-particle" : "", "family" : "Buki", "given" : "J", "non-dropping-particle" : "", "parse-names" : false, "suffix" : "" }, { "dropping-particle" : "", "family" : "DeVoogd", "given" : "T J", "non-dropping-particle" : "", "parse-names" : false, "suffix" : "" } ], "id" : "ITEM-1", "issued" : { "date-parts" : [ [ "2011" ] ] }, "title" : "Motor pathway convergence predicts syllable repertoire size in oscine birds", "type" : "article-journal" }, "uris" : [ "http://www.mendeley.com/documents/?uuid=5a812c07-5510-482e-b697-323acda9d7a8" ] } ], "mendeley" : { "formattedCitation" : "[1]", "plainTextFormattedCitation" : "[1]", "previouslyFormattedCitation" : "[1]" }, "properties" : { "noteIndex" : 0 }, "schema" : "https://github.com/citation-style-language/schema/raw/master/csl-citation.json" }</w:instrText>
            </w:r>
            <w:r w:rsidRPr="006462D1">
              <w:fldChar w:fldCharType="separate"/>
            </w:r>
            <w:r w:rsidRPr="007207CF">
              <w:rPr>
                <w:noProof/>
              </w:rPr>
              <w:t>[1]</w:t>
            </w:r>
            <w:r w:rsidRPr="006462D1">
              <w:fldChar w:fldCharType="end"/>
            </w:r>
          </w:p>
        </w:tc>
        <w:tc>
          <w:tcPr>
            <w:tcW w:w="1805" w:type="dxa"/>
            <w:shd w:val="clear" w:color="auto" w:fill="auto"/>
            <w:noWrap/>
            <w:tcMar>
              <w:top w:w="15" w:type="dxa"/>
              <w:left w:w="15" w:type="dxa"/>
              <w:bottom w:w="0" w:type="dxa"/>
              <w:right w:w="15" w:type="dxa"/>
            </w:tcMar>
            <w:vAlign w:val="bottom"/>
          </w:tcPr>
          <w:p w14:paraId="2E8FAF18" w14:textId="77777777" w:rsidR="00E276FD" w:rsidRPr="006462D1" w:rsidRDefault="00E276FD" w:rsidP="007207CF">
            <w:r>
              <w:t>Open (year 2)</w:t>
            </w:r>
          </w:p>
        </w:tc>
        <w:tc>
          <w:tcPr>
            <w:tcW w:w="1875" w:type="dxa"/>
          </w:tcPr>
          <w:p w14:paraId="593CF659" w14:textId="77777777" w:rsidR="00E276FD" w:rsidRPr="006462D1" w:rsidRDefault="00E276FD" w:rsidP="00837A0F">
            <w:r>
              <w:fldChar w:fldCharType="begin" w:fldLock="1"/>
            </w:r>
            <w:r>
              <w:instrText>ADDIN CSL_CITATION { "citationItems" : [ { "id" : "ITEM-1", "itemData" : { "DOI" : "10.1111/j.1439-0310.2006.01283.x", "ISBN" : "1439-0310", "ISSN" : "01791613", "abstract" : "Abstract Based on the assumptions that birdsong indicates male quality and that quality is related to age, one might expect older birds to signal their age. That is, in addition to actual body condition, at least some song features should vary with age, presumably towards more complexity. We investigated this issue by comparing repertoire sizes of free-ranging common nightingale males in their first breeding season with those of older males. Nightingales are a good model species as they are open-ended learners, where song acquisition is not confined to an early sensitive period of learning. Moreover, nightingales develop an extraordinarily large song-type repertoire (approx. 180 different song types per male), and differences in repertoire size among males are pronounced. We analysed repertoire characteristics of the nocturnal song of nine nightingales in their first breeding season and compared them with the songs of nine older males. The repertoire size of older males was on average 53% larger than that of yearlings. When analysing two song categories of nightingales, whistle and non-whistle songs separately, we found similar results. Our findings show marked differences in repertoire size between age categories, suggesting that this song feature may reflect a male's age. We discuss those mechanisms that may constrain the development of larger repertoires in first-year males. Whether repertoire sizes are crucial for female mate choice or in vocal interactions among conspecific males remains open to further investigations", "author" : [ { "dropping-particle" : "", "family" : "Kiefer", "given" : "Sarah", "non-dropping-particle" : "", "parse-names" : false, "suffix" : "" }, { "dropping-particle" : "", "family" : "Spiess", "given" : "Anne", "non-dropping-particle" : "", "parse-names" : false, "suffix" : "" }, { "dropping-particle" : "", "family" : "Kipper", "given" : "Silke", "non-dropping-particle" : "", "parse-names" : false, "suffix" : "" }, { "dropping-particle" : "", "family" : "Mundry", "given" : "Roger", "non-dropping-particle" : "", "parse-names" : false, "suffix" : "" }, { "dropping-particle" : "", "family" : "Sommer", "given" : "Christina", "non-dropping-particle" : "", "parse-names" : false, "suffix" : "" }, { "dropping-particle" : "", "family" : "Hultsch", "given" : "Henrike", "non-dropping-particle" : "", "parse-names" : false, "suffix" : "" }, { "dropping-particle" : "", "family" : "Todt", "given" : "Dietmar", "non-dropping-particle" : "", "parse-names" : false, "suffix" : "" } ], "container-title" : "Ethology", "id" : "ITEM-1", "issued" : { "date-parts" : [ [ "2006" ] ] }, "page" : "1217-1224", "title" : "First-year common nightingales (Luscinia megarhynchos) have smaller song-type repertoire sizes than older males", "type" : "article-journal", "volume" : "112" }, "uris" : [ "http://www.mendeley.com/documents/?uuid=a4d030f5-843d-408b-9427-f944043093b2" ] } ], "mendeley" : { "formattedCitation" : "[15]", "plainTextFormattedCitation" : "[15]", "previouslyFormattedCitation" : "[15]" }, "properties" : { "noteIndex" : 0 }, "schema" : "https://github.com/citation-style-language/schema/raw/master/csl-citation.json" }</w:instrText>
            </w:r>
            <w:r>
              <w:fldChar w:fldCharType="separate"/>
            </w:r>
            <w:r w:rsidRPr="00637CEF">
              <w:rPr>
                <w:noProof/>
              </w:rPr>
              <w:t>[15]</w:t>
            </w:r>
            <w:r>
              <w:fldChar w:fldCharType="end"/>
            </w:r>
          </w:p>
        </w:tc>
      </w:tr>
      <w:tr w:rsidR="00E276FD" w:rsidRPr="0071078D" w14:paraId="1B4D5DD8" w14:textId="77777777" w:rsidTr="00BF5EEF">
        <w:trPr>
          <w:trHeight w:val="300"/>
        </w:trPr>
        <w:tc>
          <w:tcPr>
            <w:tcW w:w="2925" w:type="dxa"/>
            <w:shd w:val="clear" w:color="auto" w:fill="auto"/>
            <w:noWrap/>
            <w:tcMar>
              <w:top w:w="15" w:type="dxa"/>
              <w:left w:w="15" w:type="dxa"/>
              <w:bottom w:w="0" w:type="dxa"/>
              <w:right w:w="15" w:type="dxa"/>
            </w:tcMar>
            <w:vAlign w:val="bottom"/>
          </w:tcPr>
          <w:p w14:paraId="72B38558" w14:textId="77777777" w:rsidR="00E276FD" w:rsidRPr="005F0FDB" w:rsidRDefault="00E276FD" w:rsidP="006462D1">
            <w:pPr>
              <w:rPr>
                <w:i/>
              </w:rPr>
            </w:pPr>
            <w:proofErr w:type="spellStart"/>
            <w:r w:rsidRPr="005F0FDB">
              <w:rPr>
                <w:i/>
              </w:rPr>
              <w:t>Melospiza</w:t>
            </w:r>
            <w:proofErr w:type="spellEnd"/>
            <w:r w:rsidRPr="005F0FDB">
              <w:rPr>
                <w:i/>
              </w:rPr>
              <w:t xml:space="preserve"> </w:t>
            </w:r>
            <w:proofErr w:type="spellStart"/>
            <w:r w:rsidRPr="005F0FDB">
              <w:rPr>
                <w:i/>
              </w:rPr>
              <w:t>georgiana</w:t>
            </w:r>
            <w:proofErr w:type="spellEnd"/>
          </w:p>
        </w:tc>
        <w:tc>
          <w:tcPr>
            <w:tcW w:w="1665" w:type="dxa"/>
            <w:shd w:val="clear" w:color="auto" w:fill="auto"/>
            <w:noWrap/>
            <w:tcMar>
              <w:top w:w="15" w:type="dxa"/>
              <w:left w:w="15" w:type="dxa"/>
              <w:bottom w:w="0" w:type="dxa"/>
              <w:right w:w="15" w:type="dxa"/>
            </w:tcMar>
            <w:vAlign w:val="bottom"/>
          </w:tcPr>
          <w:p w14:paraId="6C0F763B" w14:textId="77777777" w:rsidR="00E276FD" w:rsidRPr="0071078D" w:rsidRDefault="00E276FD" w:rsidP="006462D1">
            <w:r w:rsidRPr="0071078D">
              <w:t>3 (1-5)</w:t>
            </w:r>
          </w:p>
        </w:tc>
        <w:tc>
          <w:tcPr>
            <w:tcW w:w="1165" w:type="dxa"/>
          </w:tcPr>
          <w:p w14:paraId="2837999D" w14:textId="77777777" w:rsidR="00E276FD" w:rsidRPr="0071078D" w:rsidRDefault="00E276FD" w:rsidP="00837A0F">
            <w:r w:rsidRPr="0071078D">
              <w:fldChar w:fldCharType="begin" w:fldLock="1"/>
            </w:r>
            <w:r>
              <w:instrText>ADDIN CSL_CITATION { "citationItems" : [ { "id" : "ITEM-1", "itemData" : { "ISBN" : "0004-8038", "abstract" : "16 male swamp sparrows trained with recorded songs in infancy were recorded on a weekly basis throughout the process of song development. Analyses of the 15,000 recorded songs provided the basis for a 7-stage classification of the steps in song ontogeny, with the 4 major divisions of subsong, subplastic song, plastic song, and full song. The individually isolated males all followed a basically similar developmental progression through the 7 stages of song development. Accounts of other species suggest that the pattern seen in the swamp sparrow is a rather general one. The abrupt reduction of song duration and its variability was a marker for the crystallization of plastic song into full song. At this time, there was also a reduction in the number of syllable types used and the number of parts/song. Swamp sparrows produced considerably more syllable types in plastic song than necessary to generate the normal, species-specific song. (31 ref)", "author" : [ { "dropping-particle" : "", "family" : "Marler", "given" : "P", "non-dropping-particle" : "", "parse-names" : false, "suffix" : "" }, { "dropping-particle" : "", "family" : "Peters", "given" : "S", "non-dropping-particle" : "", "parse-names" : false, "suffix" : "" } ], "container-title" : "The Auk", "id" : "ITEM-1", "issue" : "July", "issued" : { "date-parts" : [ [ "1982" ] ] }, "page" : "446-458", "title" : "Structural changes in song ontogeny in the swamp sparrow Melospiza georgiana", "type" : "article-journal", "volume" : "99" }, "uris" : [ "http://www.mendeley.com/documents/?uuid=70033d2b-d5df-42ec-900e-9f0857405dd9" ] } ], "mendeley" : { "formattedCitation" : "[16]", "plainTextFormattedCitation" : "[16]", "previouslyFormattedCitation" : "[16]" }, "properties" : { "noteIndex" : 0 }, "schema" : "https://github.com/citation-style-language/schema/raw/master/csl-citation.json" }</w:instrText>
            </w:r>
            <w:r w:rsidRPr="0071078D">
              <w:fldChar w:fldCharType="separate"/>
            </w:r>
            <w:r w:rsidRPr="00637CEF">
              <w:rPr>
                <w:noProof/>
              </w:rPr>
              <w:t>[16]</w:t>
            </w:r>
            <w:r w:rsidRPr="0071078D">
              <w:fldChar w:fldCharType="end"/>
            </w:r>
          </w:p>
        </w:tc>
        <w:tc>
          <w:tcPr>
            <w:tcW w:w="1805" w:type="dxa"/>
            <w:shd w:val="clear" w:color="auto" w:fill="auto"/>
            <w:noWrap/>
            <w:tcMar>
              <w:top w:w="15" w:type="dxa"/>
              <w:left w:w="15" w:type="dxa"/>
              <w:bottom w:w="0" w:type="dxa"/>
              <w:right w:w="15" w:type="dxa"/>
            </w:tcMar>
            <w:vAlign w:val="bottom"/>
          </w:tcPr>
          <w:p w14:paraId="780CF054" w14:textId="77777777" w:rsidR="00E276FD" w:rsidRPr="0071078D" w:rsidRDefault="00E276FD" w:rsidP="00837A0F">
            <w:r w:rsidRPr="0071078D">
              <w:t xml:space="preserve">Closed </w:t>
            </w:r>
          </w:p>
        </w:tc>
        <w:tc>
          <w:tcPr>
            <w:tcW w:w="1875" w:type="dxa"/>
          </w:tcPr>
          <w:p w14:paraId="236CAD9E" w14:textId="77777777" w:rsidR="00E276FD" w:rsidRPr="0071078D" w:rsidRDefault="00E276FD" w:rsidP="006462D1">
            <w:r w:rsidRPr="0071078D">
              <w:fldChar w:fldCharType="begin" w:fldLock="1"/>
            </w:r>
            <w:r>
              <w:instrText>ADDIN CSL_CITATION { "citationItems" : [ { "id" : "ITEM-1", "itemData" : { "ISBN" : "0004-8038", "abstract" : "16 male swamp sparrows trained with recorded songs in infancy were recorded on a weekly basis throughout the process of song development. Analyses of the 15,000 recorded songs provided the basis for a 7-stage classification of the steps in song ontogeny, with the 4 major divisions of subsong, subplastic song, plastic song, and full song. The individually isolated males all followed a basically similar developmental progression through the 7 stages of song development. Accounts of other species suggest that the pattern seen in the swamp sparrow is a rather general one. The abrupt reduction of song duration and its variability was a marker for the crystallization of plastic song into full song. At this time, there was also a reduction in the number of syllable types used and the number of parts/song. Swamp sparrows produced considerably more syllable types in plastic song than necessary to generate the normal, species-specific song. (31 ref)", "author" : [ { "dropping-particle" : "", "family" : "Marler", "given" : "P", "non-dropping-particle" : "", "parse-names" : false, "suffix" : "" }, { "dropping-particle" : "", "family" : "Peters", "given" : "S", "non-dropping-particle" : "", "parse-names" : false, "suffix" : "" } ], "container-title" : "The Auk", "id" : "ITEM-1", "issue" : "July", "issued" : { "date-parts" : [ [ "1982" ] ] }, "page" : "446-458", "title" : "Structural changes in song ontogeny in the swamp sparrow Melospiza georgiana", "type" : "article-journal", "volume" : "99" }, "uris" : [ "http://www.mendeley.com/documents/?uuid=70033d2b-d5df-42ec-900e-9f0857405dd9" ] } ], "mendeley" : { "formattedCitation" : "[16]", "plainTextFormattedCitation" : "[16]", "previouslyFormattedCitation" : "[16]" }, "properties" : { "noteIndex" : 0 }, "schema" : "https://github.com/citation-style-language/schema/raw/master/csl-citation.json" }</w:instrText>
            </w:r>
            <w:r w:rsidRPr="0071078D">
              <w:fldChar w:fldCharType="separate"/>
            </w:r>
            <w:r w:rsidRPr="00637CEF">
              <w:rPr>
                <w:noProof/>
              </w:rPr>
              <w:t>[16]</w:t>
            </w:r>
            <w:r w:rsidRPr="0071078D">
              <w:fldChar w:fldCharType="end"/>
            </w:r>
          </w:p>
        </w:tc>
      </w:tr>
      <w:tr w:rsidR="00E276FD" w:rsidRPr="006462D1" w14:paraId="2C1CF5B2" w14:textId="77777777" w:rsidTr="00BF5EEF">
        <w:trPr>
          <w:trHeight w:val="300"/>
        </w:trPr>
        <w:tc>
          <w:tcPr>
            <w:tcW w:w="2925" w:type="dxa"/>
            <w:shd w:val="clear" w:color="auto" w:fill="auto"/>
            <w:noWrap/>
            <w:tcMar>
              <w:top w:w="15" w:type="dxa"/>
              <w:left w:w="15" w:type="dxa"/>
              <w:bottom w:w="0" w:type="dxa"/>
              <w:right w:w="15" w:type="dxa"/>
            </w:tcMar>
            <w:vAlign w:val="bottom"/>
          </w:tcPr>
          <w:p w14:paraId="0215D9F9" w14:textId="77777777" w:rsidR="00E276FD" w:rsidRPr="005F0FDB" w:rsidRDefault="00E276FD" w:rsidP="006462D1">
            <w:pPr>
              <w:rPr>
                <w:i/>
              </w:rPr>
            </w:pPr>
            <w:proofErr w:type="spellStart"/>
            <w:r w:rsidRPr="005F0FDB">
              <w:rPr>
                <w:i/>
              </w:rPr>
              <w:t>Melospiza</w:t>
            </w:r>
            <w:proofErr w:type="spellEnd"/>
            <w:r w:rsidRPr="005F0FDB">
              <w:rPr>
                <w:i/>
              </w:rPr>
              <w:t xml:space="preserve"> </w:t>
            </w:r>
            <w:proofErr w:type="spellStart"/>
            <w:r w:rsidRPr="005F0FDB">
              <w:rPr>
                <w:i/>
              </w:rPr>
              <w:t>melodia</w:t>
            </w:r>
            <w:proofErr w:type="spellEnd"/>
          </w:p>
        </w:tc>
        <w:tc>
          <w:tcPr>
            <w:tcW w:w="1665" w:type="dxa"/>
            <w:shd w:val="clear" w:color="auto" w:fill="auto"/>
            <w:noWrap/>
            <w:tcMar>
              <w:top w:w="15" w:type="dxa"/>
              <w:left w:w="15" w:type="dxa"/>
              <w:bottom w:w="0" w:type="dxa"/>
              <w:right w:w="15" w:type="dxa"/>
            </w:tcMar>
            <w:vAlign w:val="bottom"/>
          </w:tcPr>
          <w:p w14:paraId="1B57E945" w14:textId="77777777" w:rsidR="00E276FD" w:rsidRPr="0071078D" w:rsidRDefault="00E276FD" w:rsidP="006462D1">
            <w:r w:rsidRPr="0071078D">
              <w:t>38</w:t>
            </w:r>
          </w:p>
        </w:tc>
        <w:tc>
          <w:tcPr>
            <w:tcW w:w="1165" w:type="dxa"/>
          </w:tcPr>
          <w:p w14:paraId="169CBE4F" w14:textId="77777777" w:rsidR="00E276FD" w:rsidRPr="0071078D" w:rsidRDefault="00E276FD" w:rsidP="00837A0F">
            <w:r w:rsidRPr="0071078D">
              <w:fldChar w:fldCharType="begin" w:fldLock="1"/>
            </w:r>
            <w:r w:rsidRPr="0071078D">
              <w:instrText>ADDIN CSL_CITATION { "citationItems" : [ { "id" : "ITEM-1", "itemData" : { "DOI" : "10.1073/pnas.1102077108", "ISSN" : "0027-8424", "PMID" : "21918109", "abstract" : "Behavioral specializations are frequently associated with expansions of the brain regions controlling them. This principle of proper mass spans sensory, motor, and cognitive abilities and has been observed in a wide variety of vertebrate species. Yet, it is unknown if this concept extrapolates to entire neural pathways or how selection on a behavioral capacity might otherwise shape circuit structure. We investigate these questions by comparing the songs and neuroanatomy of 49 species from 17 families of songbirds, which vary immensely in the number of unique song components they produce and possess a conserved neural network dedicated to this behavior. We find that syllable repertoire size is strongly related to the degree of song motor pathway convergence. Repertoire size is more accurately predicted by the number of neurons in higher motor areas relative to that in their downstream targets than by the overall number of neurons in the song motor pathway. Additionally, the convergence values along serial premotor and primary motor projections account for distinct portions of the behavioral variation. These findings suggest that selection on song has independently shaped different components of this hierarchical pathway, and they elucidate how changes in pathway structure could have underlain elaborations of this learned motor behavior.", "author" : [ { "dropping-particle" : "", "family" : "Moore", "given" : "J M", "non-dropping-particle" : "", "parse-names" : false, "suffix" : "" }, { "dropping-particle" : "", "family" : "Szekely", "given" : "Tamas", "non-dropping-particle" : "", "parse-names" : false, "suffix" : "" }, { "dropping-particle" : "", "family" : "Buki", "given" : "J", "non-dropping-particle" : "", "parse-names" : false, "suffix" : "" }, { "dropping-particle" : "", "family" : "DeVoogd", "given" : "T J", "non-dropping-particle" : "", "parse-names" : false, "suffix" : "" } ], "id" : "ITEM-1", "issued" : { "date-parts" : [ [ "2011" ] ] }, "title" : "Motor pathway convergence predicts syllable repertoire size in oscine birds", "type" : "article-journal" }, "uris" : [ "http://www.mendeley.com/documents/?uuid=5a812c07-5510-482e-b697-323acda9d7a8" ] } ], "mendeley" : { "formattedCitation" : "[1]", "plainTextFormattedCitation" : "[1]", "previouslyFormattedCitation" : "[1]" }, "properties" : { "noteIndex" : 0 }, "schema" : "https://github.com/citation-style-language/schema/raw/master/csl-citation.json" }</w:instrText>
            </w:r>
            <w:r w:rsidRPr="0071078D">
              <w:fldChar w:fldCharType="separate"/>
            </w:r>
            <w:r w:rsidRPr="0071078D">
              <w:rPr>
                <w:noProof/>
              </w:rPr>
              <w:t>[1]</w:t>
            </w:r>
            <w:r w:rsidRPr="0071078D">
              <w:fldChar w:fldCharType="end"/>
            </w:r>
          </w:p>
        </w:tc>
        <w:tc>
          <w:tcPr>
            <w:tcW w:w="1805" w:type="dxa"/>
            <w:shd w:val="clear" w:color="auto" w:fill="auto"/>
            <w:noWrap/>
            <w:tcMar>
              <w:top w:w="15" w:type="dxa"/>
              <w:left w:w="15" w:type="dxa"/>
              <w:bottom w:w="0" w:type="dxa"/>
              <w:right w:w="15" w:type="dxa"/>
            </w:tcMar>
            <w:vAlign w:val="bottom"/>
          </w:tcPr>
          <w:p w14:paraId="163D96B2" w14:textId="77777777" w:rsidR="00E276FD" w:rsidRPr="0071078D" w:rsidRDefault="00E276FD" w:rsidP="00837A0F">
            <w:r w:rsidRPr="0071078D">
              <w:t xml:space="preserve">Closed </w:t>
            </w:r>
          </w:p>
        </w:tc>
        <w:tc>
          <w:tcPr>
            <w:tcW w:w="1875" w:type="dxa"/>
          </w:tcPr>
          <w:p w14:paraId="53CAF4C4" w14:textId="77777777" w:rsidR="00E276FD" w:rsidRPr="0071078D" w:rsidRDefault="00E276FD" w:rsidP="006462D1">
            <w:r w:rsidRPr="0071078D">
              <w:fldChar w:fldCharType="begin" w:fldLock="1"/>
            </w:r>
            <w:r>
              <w:instrText>ADDIN CSL_CITATION { "citationItems" : [ { "id" : "ITEM-1", "itemData" : { "DOI" : "10.1046/j.1439-0310.2002.00752.x", "ISBN" : "0179-1613", "ISSN" : "01791613", "PMID" : "1061", "abstract" : "To understand fully the function of vocal learning, it is important to know when, during an individual's lifetime, learning occurs. Songbirds are generally categorized into two groups with respect to their adult song learning ability. 'Open-ended' song learners are able to learn to produce new songs in adulthood, whereas 'age-limited' song learners can only acquire songs during their first year of life. Researchers have long assumed that certain oscine species are open-ended or age-limited song learners, but the evidence to date has been inadequate to test these assumptions for most species. We tested the hypothesis that song sparrows (Melospiza melodia) are age-limited song learners who do not alter their song repertoires in adulthood by examining the song repertoires of 24 color-banded males who were fully recorded in two, three or four different years. We compared sonagrams of the song types produced by males in different years and looked for any changes in repertoire composition (i.e. added or dropped song types). With few exceptions, males produced song repertoires that were identical in every year they were recorded. The exceptions (four males who did not produce one of their song types during one recording session) were all cases in which we believe that we missed recording a song type that a male did indeed have, not that the males dropped a song type. The finding that adult males do not alter the composition of their song repertoires provides strong evidence that song sparrows are age-limited song learners. Although it is possible that song sparrows make subtle within-song type changes across years, such changes would not necessarily constitute new song learning.", "author" : [ { "dropping-particle" : "", "family" : "Nordby", "given" : "J. Cully", "non-dropping-particle" : "", "parse-names" : false, "suffix" : "" }, { "dropping-particle" : "", "family" : "Campbell", "given" : "S. Elizabeth", "non-dropping-particle" : "", "parse-names" : false, "suffix" : "" }, { "dropping-particle" : "", "family" : "Beecher", "given" : "Michael D.", "non-dropping-particle" : "", "parse-names" : false, "suffix" : "" } ], "container-title" : "Ethology", "id" : "ITEM-1", "issued" : { "date-parts" : [ [ "2002" ] ] }, "page" : "39-50", "title" : "Adult song sparrows do not alter their song repertoires", "type" : "article-journal", "volume" : "108" }, "uris" : [ "http://www.mendeley.com/documents/?uuid=6c87b938-d21a-4059-8b4a-146ccdcba6e1" ] } ], "mendeley" : { "formattedCitation" : "[17]", "plainTextFormattedCitation" : "[17]", "previouslyFormattedCitation" : "[17]" }, "properties" : { "noteIndex" : 0 }, "schema" : "https://github.com/citation-style-language/schema/raw/master/csl-citation.json" }</w:instrText>
            </w:r>
            <w:r w:rsidRPr="0071078D">
              <w:fldChar w:fldCharType="separate"/>
            </w:r>
            <w:r w:rsidRPr="00637CEF">
              <w:rPr>
                <w:noProof/>
              </w:rPr>
              <w:t>[17]</w:t>
            </w:r>
            <w:r w:rsidRPr="0071078D">
              <w:fldChar w:fldCharType="end"/>
            </w:r>
          </w:p>
        </w:tc>
      </w:tr>
      <w:tr w:rsidR="00E276FD" w:rsidRPr="006462D1" w14:paraId="3D38219E" w14:textId="77777777" w:rsidTr="00BF5EEF">
        <w:trPr>
          <w:trHeight w:val="300"/>
        </w:trPr>
        <w:tc>
          <w:tcPr>
            <w:tcW w:w="2925" w:type="dxa"/>
            <w:shd w:val="clear" w:color="auto" w:fill="auto"/>
            <w:noWrap/>
            <w:tcMar>
              <w:top w:w="15" w:type="dxa"/>
              <w:left w:w="15" w:type="dxa"/>
              <w:bottom w:w="0" w:type="dxa"/>
              <w:right w:w="15" w:type="dxa"/>
            </w:tcMar>
            <w:vAlign w:val="bottom"/>
          </w:tcPr>
          <w:p w14:paraId="6E0A761E" w14:textId="77777777" w:rsidR="00E276FD" w:rsidRPr="005F0FDB" w:rsidRDefault="00E276FD" w:rsidP="006462D1">
            <w:pPr>
              <w:rPr>
                <w:i/>
              </w:rPr>
            </w:pPr>
            <w:proofErr w:type="spellStart"/>
            <w:r w:rsidRPr="005F0FDB">
              <w:rPr>
                <w:i/>
              </w:rPr>
              <w:t>Mimus</w:t>
            </w:r>
            <w:proofErr w:type="spellEnd"/>
            <w:r w:rsidRPr="005F0FDB">
              <w:rPr>
                <w:i/>
              </w:rPr>
              <w:t xml:space="preserve"> </w:t>
            </w:r>
            <w:proofErr w:type="spellStart"/>
            <w:r w:rsidRPr="005F0FDB">
              <w:rPr>
                <w:i/>
              </w:rPr>
              <w:t>polyglottos</w:t>
            </w:r>
            <w:proofErr w:type="spellEnd"/>
          </w:p>
        </w:tc>
        <w:tc>
          <w:tcPr>
            <w:tcW w:w="1665" w:type="dxa"/>
            <w:shd w:val="clear" w:color="auto" w:fill="auto"/>
            <w:noWrap/>
            <w:tcMar>
              <w:top w:w="15" w:type="dxa"/>
              <w:left w:w="15" w:type="dxa"/>
              <w:bottom w:w="0" w:type="dxa"/>
              <w:right w:w="15" w:type="dxa"/>
            </w:tcMar>
            <w:vAlign w:val="bottom"/>
          </w:tcPr>
          <w:p w14:paraId="22624F8A" w14:textId="77777777" w:rsidR="00E276FD" w:rsidRPr="006462D1" w:rsidRDefault="00E276FD" w:rsidP="006462D1">
            <w:r w:rsidRPr="006462D1">
              <w:t>216</w:t>
            </w:r>
          </w:p>
        </w:tc>
        <w:tc>
          <w:tcPr>
            <w:tcW w:w="1165" w:type="dxa"/>
          </w:tcPr>
          <w:p w14:paraId="309237AD" w14:textId="77777777" w:rsidR="00E276FD" w:rsidRPr="006462D1" w:rsidRDefault="00E276FD" w:rsidP="00837A0F">
            <w:r w:rsidRPr="006462D1">
              <w:fldChar w:fldCharType="begin" w:fldLock="1"/>
            </w:r>
            <w:r>
              <w:instrText>ADDIN CSL_CITATION { "citationItems" : [ { "id" : "ITEM-1", "itemData" : { "DOI" : "10.1073/pnas.1102077108", "ISSN" : "0027-8424", "PMID" : "21918109", "abstract" : "Behavioral specializations are frequently associated with expansions of the brain regions controlling them. This principle of proper mass spans sensory, motor, and cognitive abilities and has been observed in a wide variety of vertebrate species. Yet, it is unknown if this concept extrapolates to entire neural pathways or how selection on a behavioral capacity might otherwise shape circuit structure. We investigate these questions by comparing the songs and neuroanatomy of 49 species from 17 families of songbirds, which vary immensely in the number of unique song components they produce and possess a conserved neural network dedicated to this behavior. We find that syllable repertoire size is strongly related to the degree of song motor pathway convergence. Repertoire size is more accurately predicted by the number of neurons in higher motor areas relative to that in their downstream targets than by the overall number of neurons in the song motor pathway. Additionally, the convergence values along serial premotor and primary motor projections account for distinct portions of the behavioral variation. These findings suggest that selection on song has independently shaped different components of this hierarchical pathway, and they elucidate how changes in pathway structure could have underlain elaborations of this learned motor behavior.", "author" : [ { "dropping-particle" : "", "family" : "Moore", "given" : "J M", "non-dropping-particle" : "", "parse-names" : false, "suffix" : "" }, { "dropping-particle" : "", "family" : "Szekely", "given" : "Tamas", "non-dropping-particle" : "", "parse-names" : false, "suffix" : "" }, { "dropping-particle" : "", "family" : "Buki", "given" : "J", "non-dropping-particle" : "", "parse-names" : false, "suffix" : "" }, { "dropping-particle" : "", "family" : "DeVoogd", "given" : "T J", "non-dropping-particle" : "", "parse-names" : false, "suffix" : "" } ], "id" : "ITEM-1", "issued" : { "date-parts" : [ [ "2011" ] ] }, "title" : "Motor pathway convergence predicts syllable repertoire size in oscine birds", "type" : "article-journal" }, "uris" : [ "http://www.mendeley.com/documents/?uuid=5a812c07-5510-482e-b697-323acda9d7a8" ] } ], "mendeley" : { "formattedCitation" : "[1]", "plainTextFormattedCitation" : "[1]", "previouslyFormattedCitation" : "[1]" }, "properties" : { "noteIndex" : 0 }, "schema" : "https://github.com/citation-style-language/schema/raw/master/csl-citation.json" }</w:instrText>
            </w:r>
            <w:r w:rsidRPr="006462D1">
              <w:fldChar w:fldCharType="separate"/>
            </w:r>
            <w:r w:rsidRPr="007207CF">
              <w:rPr>
                <w:noProof/>
              </w:rPr>
              <w:t>[1]</w:t>
            </w:r>
            <w:r w:rsidRPr="006462D1">
              <w:fldChar w:fldCharType="end"/>
            </w:r>
          </w:p>
        </w:tc>
        <w:tc>
          <w:tcPr>
            <w:tcW w:w="1805" w:type="dxa"/>
            <w:shd w:val="clear" w:color="auto" w:fill="auto"/>
            <w:noWrap/>
            <w:tcMar>
              <w:top w:w="15" w:type="dxa"/>
              <w:left w:w="15" w:type="dxa"/>
              <w:bottom w:w="0" w:type="dxa"/>
              <w:right w:w="15" w:type="dxa"/>
            </w:tcMar>
            <w:vAlign w:val="bottom"/>
          </w:tcPr>
          <w:p w14:paraId="746EB9D1" w14:textId="77777777" w:rsidR="00E276FD" w:rsidRPr="006462D1" w:rsidRDefault="00E276FD" w:rsidP="00837A0F">
            <w:r w:rsidRPr="006462D1">
              <w:t xml:space="preserve">Open </w:t>
            </w:r>
          </w:p>
        </w:tc>
        <w:tc>
          <w:tcPr>
            <w:tcW w:w="1875" w:type="dxa"/>
          </w:tcPr>
          <w:p w14:paraId="56DB7C30" w14:textId="77777777" w:rsidR="00E276FD" w:rsidRPr="006462D1" w:rsidRDefault="00E276FD" w:rsidP="00DA5307">
            <w:r>
              <w:fldChar w:fldCharType="begin" w:fldLock="1"/>
            </w:r>
            <w:r>
              <w:instrText>ADDIN CSL_CITATION { "citationItems" : [ { "id" : "ITEM-1", "itemData" : { "author" : [ { "dropping-particle" : "", "family" : "Howard", "given" : "Richard D", "non-dropping-particle" : "", "parse-names" : false, "suffix" : "" } ], "container-title" : "Evolution", "id" : "ITEM-1", "issue" : "3", "issued" : { "date-parts" : [ [ "1974" ] ] }, "page" : "428-438", "title" : "The Influence of Sexual Selection and Interspecific Competition on Mockingbird Song (Mimus polyglottos)", "type" : "article-journal", "volume" : "28" }, "uris" : [ "http://www.mendeley.com/documents/?uuid=ddca130d-dff7-4e6c-ae8e-c55ee8d8e6b5" ] } ], "mendeley" : { "formattedCitation" : "[18]", "plainTextFormattedCitation" : "[18]", "previouslyFormattedCitation" : "[18]" }, "properties" : { "noteIndex" : 0 }, "schema" : "https://github.com/citation-style-language/schema/raw/master/csl-citation.json" }</w:instrText>
            </w:r>
            <w:r>
              <w:fldChar w:fldCharType="separate"/>
            </w:r>
            <w:r w:rsidRPr="00637CEF">
              <w:rPr>
                <w:noProof/>
              </w:rPr>
              <w:t>[18]</w:t>
            </w:r>
            <w:r>
              <w:fldChar w:fldCharType="end"/>
            </w:r>
          </w:p>
        </w:tc>
      </w:tr>
      <w:tr w:rsidR="00E276FD" w:rsidRPr="006462D1" w14:paraId="41BC0BDE" w14:textId="77777777" w:rsidTr="00BF5EEF">
        <w:trPr>
          <w:trHeight w:val="300"/>
        </w:trPr>
        <w:tc>
          <w:tcPr>
            <w:tcW w:w="2925" w:type="dxa"/>
            <w:shd w:val="clear" w:color="auto" w:fill="auto"/>
            <w:noWrap/>
            <w:tcMar>
              <w:top w:w="15" w:type="dxa"/>
              <w:left w:w="15" w:type="dxa"/>
              <w:bottom w:w="0" w:type="dxa"/>
              <w:right w:w="15" w:type="dxa"/>
            </w:tcMar>
            <w:vAlign w:val="bottom"/>
          </w:tcPr>
          <w:p w14:paraId="2D6E7E9F" w14:textId="77777777" w:rsidR="00E276FD" w:rsidRPr="005F0FDB" w:rsidRDefault="00E276FD" w:rsidP="006462D1">
            <w:pPr>
              <w:rPr>
                <w:i/>
              </w:rPr>
            </w:pPr>
            <w:proofErr w:type="spellStart"/>
            <w:r w:rsidRPr="005F0FDB">
              <w:rPr>
                <w:i/>
              </w:rPr>
              <w:t>Molothrus</w:t>
            </w:r>
            <w:proofErr w:type="spellEnd"/>
            <w:r w:rsidRPr="005F0FDB">
              <w:rPr>
                <w:i/>
              </w:rPr>
              <w:t xml:space="preserve"> </w:t>
            </w:r>
            <w:proofErr w:type="spellStart"/>
            <w:r w:rsidRPr="005F0FDB">
              <w:rPr>
                <w:i/>
              </w:rPr>
              <w:t>ater</w:t>
            </w:r>
            <w:proofErr w:type="spellEnd"/>
          </w:p>
        </w:tc>
        <w:tc>
          <w:tcPr>
            <w:tcW w:w="1665" w:type="dxa"/>
            <w:shd w:val="clear" w:color="auto" w:fill="auto"/>
            <w:noWrap/>
            <w:tcMar>
              <w:top w:w="15" w:type="dxa"/>
              <w:left w:w="15" w:type="dxa"/>
              <w:bottom w:w="0" w:type="dxa"/>
              <w:right w:w="15" w:type="dxa"/>
            </w:tcMar>
            <w:vAlign w:val="bottom"/>
          </w:tcPr>
          <w:p w14:paraId="02FC5389" w14:textId="77777777" w:rsidR="00E276FD" w:rsidRPr="006462D1" w:rsidRDefault="00E276FD" w:rsidP="006462D1">
            <w:r w:rsidRPr="006462D1">
              <w:t>15</w:t>
            </w:r>
          </w:p>
        </w:tc>
        <w:tc>
          <w:tcPr>
            <w:tcW w:w="1165" w:type="dxa"/>
          </w:tcPr>
          <w:p w14:paraId="251D63F8" w14:textId="77777777" w:rsidR="00E276FD" w:rsidRPr="006462D1" w:rsidRDefault="00E276FD" w:rsidP="00837A0F">
            <w:r w:rsidRPr="006462D1">
              <w:fldChar w:fldCharType="begin" w:fldLock="1"/>
            </w:r>
            <w:r>
              <w:instrText>ADDIN CSL_CITATION { "citationItems" : [ { "id" : "ITEM-1", "itemData" : { "DOI" : "10.1073/pnas.1102077108", "ISSN" : "0027-8424", "PMID" : "21918109", "abstract" : "Behavioral specializations are frequently associated with expansions of the brain regions controlling them. This principle of proper mass spans sensory, motor, and cognitive abilities and has been observed in a wide variety of vertebrate species. Yet, it is unknown if this concept extrapolates to entire neural pathways or how selection on a behavioral capacity might otherwise shape circuit structure. We investigate these questions by comparing the songs and neuroanatomy of 49 species from 17 families of songbirds, which vary immensely in the number of unique song components they produce and possess a conserved neural network dedicated to this behavior. We find that syllable repertoire size is strongly related to the degree of song motor pathway convergence. Repertoire size is more accurately predicted by the number of neurons in higher motor areas relative to that in their downstream targets than by the overall number of neurons in the song motor pathway. Additionally, the convergence values along serial premotor and primary motor projections account for distinct portions of the behavioral variation. These findings suggest that selection on song has independently shaped different components of this hierarchical pathway, and they elucidate how changes in pathway structure could have underlain elaborations of this learned motor behavior.", "author" : [ { "dropping-particle" : "", "family" : "Moore", "given" : "J M", "non-dropping-particle" : "", "parse-names" : false, "suffix" : "" }, { "dropping-particle" : "", "family" : "Szekely", "given" : "Tamas", "non-dropping-particle" : "", "parse-names" : false, "suffix" : "" }, { "dropping-particle" : "", "family" : "Buki", "given" : "J", "non-dropping-particle" : "", "parse-names" : false, "suffix" : "" }, { "dropping-particle" : "", "family" : "DeVoogd", "given" : "T J", "non-dropping-particle" : "", "parse-names" : false, "suffix" : "" } ], "id" : "ITEM-1", "issued" : { "date-parts" : [ [ "2011" ] ] }, "title" : "Motor pathway convergence predicts syllable repertoire size in oscine birds", "type" : "article-journal" }, "uris" : [ "http://www.mendeley.com/documents/?uuid=5a812c07-5510-482e-b697-323acda9d7a8" ] } ], "mendeley" : { "formattedCitation" : "[1]", "plainTextFormattedCitation" : "[1]", "previouslyFormattedCitation" : "[1]" }, "properties" : { "noteIndex" : 0 }, "schema" : "https://github.com/citation-style-language/schema/raw/master/csl-citation.json" }</w:instrText>
            </w:r>
            <w:r w:rsidRPr="006462D1">
              <w:fldChar w:fldCharType="separate"/>
            </w:r>
            <w:r w:rsidRPr="007207CF">
              <w:rPr>
                <w:noProof/>
              </w:rPr>
              <w:t>[1]</w:t>
            </w:r>
            <w:r w:rsidRPr="006462D1">
              <w:fldChar w:fldCharType="end"/>
            </w:r>
          </w:p>
        </w:tc>
        <w:tc>
          <w:tcPr>
            <w:tcW w:w="1805" w:type="dxa"/>
            <w:shd w:val="clear" w:color="auto" w:fill="auto"/>
            <w:noWrap/>
            <w:tcMar>
              <w:top w:w="15" w:type="dxa"/>
              <w:left w:w="15" w:type="dxa"/>
              <w:bottom w:w="0" w:type="dxa"/>
              <w:right w:w="15" w:type="dxa"/>
            </w:tcMar>
            <w:vAlign w:val="bottom"/>
          </w:tcPr>
          <w:p w14:paraId="7390F995" w14:textId="77777777" w:rsidR="00E276FD" w:rsidRPr="006462D1" w:rsidRDefault="00E276FD" w:rsidP="005F0FDB">
            <w:r>
              <w:t>Closed (d</w:t>
            </w:r>
            <w:r w:rsidRPr="006462D1">
              <w:t>elayed</w:t>
            </w:r>
            <w:r>
              <w:t>)</w:t>
            </w:r>
          </w:p>
        </w:tc>
        <w:tc>
          <w:tcPr>
            <w:tcW w:w="1875" w:type="dxa"/>
          </w:tcPr>
          <w:p w14:paraId="1BC3CDD4" w14:textId="77777777" w:rsidR="00E276FD" w:rsidRPr="006462D1" w:rsidRDefault="00E276FD" w:rsidP="006462D1">
            <w:r>
              <w:fldChar w:fldCharType="begin" w:fldLock="1"/>
            </w:r>
            <w:r>
              <w:instrText>ADDIN CSL_CITATION { "citationItems" : [ { "id" : "ITEM-1", "itemData" : { "DOI" : "10.1006/anbe.2001.1951", "ISBN" : "0003-3472", "ISSN" : "00033472", "abstract" : "The timing and extent of early exposure to conspecific song can have critical influence on subsequent male vocal development in songbirds. Opportunities to memorize local song models may vary among populations depending on local ecological conditions that determine the length of the breeding season. In populations with comparatively short breeding seasons, such as northern or high-elevation populations, restricted access to local songs may delay development in a large proportion of juveniles. Previous studies have described extreme examples of delayed development in high-elevation populations of brown-headed cowbirds, Molothrus titer, in the Sierra Nevada of California, U.S.A. In the current study, we determined that delayed development also occurs in a low-elevation population located at a more northerly latitude than those in the Sierra. We recorded two kinds of songs from yearling and adult males who had been given testosterone (testosterone increased song output but did not change the nature of songs in males' repertoires) soon after being trapped at two adjacent sites in New York state, U.S.A. The average size of 'perched' song repertoires of 17 yearlings was significantly smaller than that of 20 local adults (2.8 versus 4.6 types, respectively) and yearlings generally lacked the shared songs typically found in adult repertoires. Only 40% of yearlings trapped at one site produced the correct local dialect 'flight whistle' compared with 91.7% of adults. These results strongly suggest that juvenile access to local songs is also restricted in this population and that delayed vocal development is widespread in cowbirds. In addition, these findings indicate that reliance on field recordings may underestimate adult-yearling differences in vocal competency in cowbirds because yearlings that sing readily in nature may not be representative of yearlings in general, a result that may also apply to other songbird species. 2002 The Association for the Study of Animal Behaviour.", "author" : [ { "dropping-particle" : "", "family" : "O'Loghlen", "given" : "a L", "non-dropping-particle" : "", "parse-names" : false, "suffix" : "" }, { "dropping-particle" : "", "family" : "Rothstein", "given" : "S I", "non-dropping-particle" : "", "parse-names" : false, "suffix" : "" } ], "container-title" : "Animal Behaviour", "id" : "ITEM-1", "issue" : "Kroodsma 1996", "issued" : { "date-parts" : [ [ "2002" ] ] }, "page" : "475-486", "title" : "Ecological effects on song learning: delayed development is widespread in wild populations of brown-headed cowbirds", "type" : "article-journal", "volume" : "63" }, "uris" : [ "http://www.mendeley.com/documents/?uuid=ca260b75-24c9-49e2-a77a-72ab2a5a74a7" ] } ], "mendeley" : { "formattedCitation" : "[19]", "plainTextFormattedCitation" : "[19]", "previouslyFormattedCitation" : "[19]" }, "properties" : { "noteIndex" : 0 }, "schema" : "https://github.com/citation-style-language/schema/raw/master/csl-citation.json" }</w:instrText>
            </w:r>
            <w:r>
              <w:fldChar w:fldCharType="separate"/>
            </w:r>
            <w:r w:rsidRPr="00637CEF">
              <w:rPr>
                <w:noProof/>
              </w:rPr>
              <w:t>[19]</w:t>
            </w:r>
            <w:r>
              <w:fldChar w:fldCharType="end"/>
            </w:r>
          </w:p>
        </w:tc>
      </w:tr>
      <w:tr w:rsidR="00E276FD" w:rsidRPr="006462D1" w14:paraId="666513CA" w14:textId="77777777" w:rsidTr="00BF5EEF">
        <w:trPr>
          <w:trHeight w:val="300"/>
        </w:trPr>
        <w:tc>
          <w:tcPr>
            <w:tcW w:w="2925" w:type="dxa"/>
            <w:shd w:val="clear" w:color="auto" w:fill="auto"/>
            <w:noWrap/>
            <w:tcMar>
              <w:top w:w="15" w:type="dxa"/>
              <w:left w:w="15" w:type="dxa"/>
              <w:bottom w:w="0" w:type="dxa"/>
              <w:right w:w="15" w:type="dxa"/>
            </w:tcMar>
            <w:vAlign w:val="bottom"/>
          </w:tcPr>
          <w:p w14:paraId="662012EC" w14:textId="77777777" w:rsidR="00E276FD" w:rsidRPr="005F0FDB" w:rsidRDefault="00E276FD" w:rsidP="006462D1">
            <w:pPr>
              <w:rPr>
                <w:i/>
              </w:rPr>
            </w:pPr>
            <w:proofErr w:type="spellStart"/>
            <w:r w:rsidRPr="005F0FDB">
              <w:rPr>
                <w:i/>
              </w:rPr>
              <w:t>Parus</w:t>
            </w:r>
            <w:proofErr w:type="spellEnd"/>
            <w:r w:rsidRPr="005F0FDB">
              <w:rPr>
                <w:i/>
              </w:rPr>
              <w:t xml:space="preserve"> major</w:t>
            </w:r>
          </w:p>
        </w:tc>
        <w:tc>
          <w:tcPr>
            <w:tcW w:w="1665" w:type="dxa"/>
            <w:shd w:val="clear" w:color="auto" w:fill="auto"/>
            <w:noWrap/>
            <w:tcMar>
              <w:top w:w="15" w:type="dxa"/>
              <w:left w:w="15" w:type="dxa"/>
              <w:bottom w:w="0" w:type="dxa"/>
              <w:right w:w="15" w:type="dxa"/>
            </w:tcMar>
            <w:vAlign w:val="bottom"/>
          </w:tcPr>
          <w:p w14:paraId="7782C850" w14:textId="77777777" w:rsidR="00E276FD" w:rsidRPr="006462D1" w:rsidRDefault="00E276FD" w:rsidP="006462D1">
            <w:r w:rsidRPr="006462D1">
              <w:t>10</w:t>
            </w:r>
          </w:p>
        </w:tc>
        <w:tc>
          <w:tcPr>
            <w:tcW w:w="1165" w:type="dxa"/>
            <w:vAlign w:val="bottom"/>
          </w:tcPr>
          <w:p w14:paraId="6F4BAA6F" w14:textId="77777777" w:rsidR="00E276FD" w:rsidRPr="006462D1" w:rsidRDefault="00E276FD" w:rsidP="00837A0F">
            <w:r w:rsidRPr="006462D1">
              <w:fldChar w:fldCharType="begin" w:fldLock="1"/>
            </w:r>
            <w:r>
              <w:instrText>ADDIN CSL_CITATION { "citationItems" : [ { "id" : "ITEM-1", "itemData" : { "DOI" : "10.1371/journal.pone.0016003", "ISBN" : "1932-6203", "ISSN" : "19326203", "PMID" : "21264212", "abstract" : "There is a remarkable diversity of song-learning strategies in songbirds. Establishing whether a species is closed- or open-ended is important to be able to interpret functional and evolutionary consequences of variation in repertoire size. Most of our knowledge regarding the timing of vocal learning is based on laboratory studies, despite the fact that these may not always replicate the complex ecological and social interactions experienced by birds in the wild. Given that field studies cannot provide the experimental control of laboratory studies, it may not be surprising that species such as the great tit that were initially assumed to be closed-ended learners have later been suggested to be open-ended learners. By using an established colour-ringed population, by following a standardized recording protocol, and by taking into account the species' song ecology (using only recordings obtained during peak of singing at dawn), we replicated two previous studies to assess song repertoire learning and flexibility in adult wild great tits elicited by social interactions. First, we performed a playback experiment to test repertoire plasticity elicited by novel versus own songs. Additionally, in a longitudinal study, we followed 30 males in two consecutive years and analysed whether new neighbours influenced any change in the repertoire. Contrary to the previous studies, song repertoire size and composition were found to be highly repeatable both between years and after confrontation with a novel song. Our results suggest that great tits are closed-ended learners and that their song repertoire probably does not change during adulthood. Methodological differences that may have led to an underestimation of the repertoires or population differences may explain the discrepancy in results with previous studies. We argue that a rigorous and standardized assessment of the repertoire is essential when studying age- or playback-induced changes in repertoire size and composition under field conditions.", "author" : [ { "dropping-particle" : "", "family" : "Rivera-Gutierrez", "given" : "Hector F.", "non-dropping-particle" : "", "parse-names" : false, "suffix" : "" }, { "dropping-particle" : "", "family" : "Pinxten", "given" : "Rianne", "non-dropping-particle" : "", "parse-names" : false, "suffix" : "" }, { "dropping-particle" : "", "family" : "Eens", "given" : "Marcel", "non-dropping-particle" : "", "parse-names" : false, "suffix" : "" } ], "container-title" : "PLoS ONE", "id" : "ITEM-1", "issue" : "1", "issued" : { "date-parts" : [ [ "2011" ] ] }, "page" : "1-8", "title" : "Difficulties when assessing birdsong learning programmes under field conditions: A re-evaluation of song repertoire flexibility in the great tit", "type" : "article-journal", "volume" : "6" }, "uris" : [ "http://www.mendeley.com/documents/?uuid=cf76483e-2088-43d9-b8d3-aa259ba28e9c" ] } ], "mendeley" : { "formattedCitation" : "[20]", "plainTextFormattedCitation" : "[20]", "previouslyFormattedCitation" : "[20]" }, "properties" : { "noteIndex" : 0 }, "schema" : "https://github.com/citation-style-language/schema/raw/master/csl-citation.json" }</w:instrText>
            </w:r>
            <w:r w:rsidRPr="006462D1">
              <w:fldChar w:fldCharType="separate"/>
            </w:r>
            <w:r w:rsidRPr="00637CEF">
              <w:rPr>
                <w:noProof/>
              </w:rPr>
              <w:t>[20]</w:t>
            </w:r>
            <w:r w:rsidRPr="006462D1">
              <w:fldChar w:fldCharType="end"/>
            </w:r>
          </w:p>
        </w:tc>
        <w:tc>
          <w:tcPr>
            <w:tcW w:w="1805" w:type="dxa"/>
            <w:shd w:val="clear" w:color="auto" w:fill="auto"/>
            <w:noWrap/>
            <w:tcMar>
              <w:top w:w="15" w:type="dxa"/>
              <w:left w:w="15" w:type="dxa"/>
              <w:bottom w:w="0" w:type="dxa"/>
              <w:right w:w="15" w:type="dxa"/>
            </w:tcMar>
            <w:vAlign w:val="bottom"/>
          </w:tcPr>
          <w:p w14:paraId="44D64A74" w14:textId="77777777" w:rsidR="00E276FD" w:rsidRPr="005E6B75" w:rsidRDefault="00E276FD" w:rsidP="00837A0F">
            <w:r w:rsidRPr="005E6B75">
              <w:t xml:space="preserve">Closed </w:t>
            </w:r>
          </w:p>
        </w:tc>
        <w:tc>
          <w:tcPr>
            <w:tcW w:w="1875" w:type="dxa"/>
            <w:vAlign w:val="bottom"/>
          </w:tcPr>
          <w:p w14:paraId="6BF30DCB" w14:textId="36DB1952" w:rsidR="00E276FD" w:rsidRPr="005E6B75" w:rsidRDefault="00E276FD" w:rsidP="006462D1">
            <w:r w:rsidRPr="005E6B75">
              <w:fldChar w:fldCharType="begin" w:fldLock="1"/>
            </w:r>
            <w:r>
              <w:instrText>ADDIN CSL_CITATION { "citationItems" : [ { "id" : "ITEM-1", "itemData" : { "DOI" : "10.1371/journal.pone.0016003", "ISBN" : "1932-6203", "ISSN" : "19326203", "PMID" : "21264212", "abstract" : "There is a remarkable diversity of song-learning strategies in songbirds. Establishing whether a species is closed- or open-ended is important to be able to interpret functional and evolutionary consequences of variation in repertoire size. Most of our knowledge regarding the timing of vocal learning is based on laboratory studies, despite the fact that these may not always replicate the complex ecological and social interactions experienced by birds in the wild. Given that field studies cannot provide the experimental control of laboratory studies, it may not be surprising that species such as the great tit that were initially assumed to be closed-ended learners have later been suggested to be open-ended learners. By using an established colour-ringed population, by following a standardized recording protocol, and by taking into account the species' song ecology (using only recordings obtained during peak of singing at dawn), we replicated two previous studies to assess song repertoire learning and flexibility in adult wild great tits elicited by social interactions. First, we performed a playback experiment to test repertoire plasticity elicited by novel versus own songs. Additionally, in a longitudinal study, we followed 30 males in two consecutive years and analysed whether new neighbours influenced any change in the repertoire. Contrary to the previous studies, song repertoire size and composition were found to be highly repeatable both between years and after confrontation with a novel song. Our results suggest that great tits are closed-ended learners and that their song repertoire probably does not change during adulthood. Methodological differences that may have led to an underestimation of the repertoires or population differences may explain the discrepancy in results with previous studies. We argue that a rigorous and standardized assessment of the repertoire is essential when studying age- or playback-induced changes in repertoire size and composition under field conditions.", "author" : [ { "dropping-particle" : "", "family" : "Rivera-Gutierrez", "given" : "Hector F.", "non-dropping-particle" : "", "parse-names" : false, "suffix" : "" }, { "dropping-particle" : "", "family" : "Pinxten", "given" : "Rianne", "non-dropping-particle" : "", "parse-names" : false, "suffix" : "" }, { "dropping-particle" : "", "family" : "Eens", "given" : "Marcel", "non-dropping-particle" : "", "parse-names" : false, "suffix" : "" } ], "container-title" : "PLoS ONE", "id" : "ITEM-1", "issue" : "1", "issued" : { "date-parts" : [ [ "2011" ] ] }, "page" : "1-8", "title" : "Difficulties when assessing birdsong learning programmes under field conditions: A re-evaluation of song repertoire flexibility in the great tit", "type" : "article-journal", "volume" : "6" }, "uris" : [ "http://www.mendeley.com/documents/?uuid=cf76483e-2088-43d9-b8d3-aa259ba28e9c" ] } ], "mendeley" : { "formattedCitation" : "[20]", "plainTextFormattedCitation" : "[20]", "previouslyFormattedCitation" : "[20]" }, "properties" : { "noteIndex" : 0 }, "schema" : "https://github.com/citation-style-language/schema/raw/master/csl-citation.json" }</w:instrText>
            </w:r>
            <w:r w:rsidRPr="005E6B75">
              <w:fldChar w:fldCharType="separate"/>
            </w:r>
            <w:r w:rsidRPr="00637CEF">
              <w:rPr>
                <w:noProof/>
              </w:rPr>
              <w:t>[20]</w:t>
            </w:r>
            <w:r w:rsidRPr="005E6B75">
              <w:fldChar w:fldCharType="end"/>
            </w:r>
            <w:r w:rsidR="00E27392">
              <w:t xml:space="preserve"> (</w:t>
            </w:r>
            <w:proofErr w:type="gramStart"/>
            <w:r w:rsidR="00E27392">
              <w:t>debated</w:t>
            </w:r>
            <w:proofErr w:type="gramEnd"/>
            <w:r w:rsidR="00E27392">
              <w:t xml:space="preserve">: </w:t>
            </w:r>
            <w:r w:rsidR="00E27392">
              <w:fldChar w:fldCharType="begin" w:fldLock="1"/>
            </w:r>
            <w:r w:rsidR="00E27392">
              <w:instrText>ADDIN CSL_CITATION { "citationItems" : [ { "id" : "ITEM-1", "itemData" : { "author" : [ { "dropping-particle" : "", "family" : "Mcgregor", "given" : "Peter K", "non-dropping-particle" : "", "parse-names" : false, "suffix" : "" }, { "dropping-particle" : "", "family" : "Krebs", "given" : "John R", "non-dropping-particle" : "", "parse-names" : false, "suffix" : "" } ], "container-title" : "Behaviour", "id" : "ITEM-1", "issue" : "2", "issued" : { "date-parts" : [ [ "1982" ] ] }, "page" : "126-152", "publisher" : "Brill", "title" : "Song types in a population of great tits (Parus major): their distribution, abundance and acquisition by individuals", "type" : "article-journal", "volume" : "79" }, "uris" : [ "http://www.mendeley.com/documents/?uuid=d2f12290-884f-463b-8179-4cf9466e8dca" ] }, { "id" : "ITEM-2", "itemData" : { "author" : [ { "dropping-particle" : "", "family" : "McGregor", "given" : "Peter K", "non-dropping-particle" : "", "parse-names" : false, "suffix" : "" }, { "dropping-particle" : "", "family" : "Krebs", "given" : "John R", "non-dropping-particle" : "", "parse-names" : false, "suffix" : "" } ], "container-title" : "Behaviour", "id" : "ITEM-2", "issue" : "1", "issued" : { "date-parts" : [ [ "1989" ] ] }, "page" : "139-159", "publisher" : "Brill", "title" : "Song learning in adult great tits (Parus major): effects of neighbours", "type" : "article-journal", "volume" : "108" }, "uris" : [ "http://www.mendeley.com/documents/?uuid=c7930244-553f-481c-93a6-207caa991267" ] }, { "id" : "ITEM-3", "itemData" : { "DOI" : "10.1016/j.anbehav.2008.09.023", "ISBN" : "0003-3472", "ISSN" : "00033472", "abstract" : "In many bird species, song repertoire characteristics play an important role in intersexual competition and intrasexual attraction. Studies on the importance of having a large repertoire typically assume the available song types as a fixed trait. However, repertoire composition may be flexible. We explored the effects of playbacks on the composition and use of the song type repertoire in great tits, Parus major. Playbacks simulate a nearby competitor male, vocally advertising territoriality. We compared the effects of novel song types with two control groups, one in which we played back one of the song types from the repertoire of the focal individual, and one without playback. The repertoire size for individual great tits of actively used song types remained more or less constant, but playbacks led to a significant turnover in repertoire composition over a relatively short period (about a week). The repertoire assessment across three experimental phases led to significantly larger accumulated repertoires compared to the more traditional short-term assessment method. The appearance of new song types was especially prominent among birds treated with a novel song type, suggesting the process is socially mediated. None of the 'new' song types were accurate copies of the novel unfamiliar song types played back. We discuss the potential origin of these 'new' song types and the impact of repertoire plasticity on signal value for sexual selection. ?? 2008 The Association for the Study of Animal Behaviour.", "author" : [ { "dropping-particle" : "", "family" : "Franco", "given" : "Padu", "non-dropping-particle" : "", "parse-names" : false, "suffix" : "" }, { "dropping-particle" : "", "family" : "Slabbekoorn", "given" : "Hans", "non-dropping-particle" : "", "parse-names" : false, "suffix" : "" } ], "container-title" : "Animal Behaviour", "id" : "ITEM-3", "issue" : "1", "issued" : { "date-parts" : [ [ "2009" ] ] }, "page" : "261-269", "publisher" : "Elsevier Ltd", "title" : "Repertoire size and composition in great tits: a flexibility test using playbacks", "type" : "article-journal", "volume" : "77" }, "uris" : [ "http://www.mendeley.com/documents/?uuid=09ee294b-d16e-4bda-9694-31e36658bcde" ] } ], "mendeley" : { "formattedCitation" : "[21]\u2013[23]", "plainTextFormattedCitation" : "[21]\u2013[23]" }, "properties" : { "noteIndex" : 0 }, "schema" : "https://github.com/citation-style-language/schema/raw/master/csl-citation.json" }</w:instrText>
            </w:r>
            <w:r w:rsidR="00E27392">
              <w:fldChar w:fldCharType="separate"/>
            </w:r>
            <w:r w:rsidR="00E27392" w:rsidRPr="00E27392">
              <w:rPr>
                <w:noProof/>
              </w:rPr>
              <w:t>[21]–[23]</w:t>
            </w:r>
            <w:r w:rsidR="00E27392">
              <w:fldChar w:fldCharType="end"/>
            </w:r>
            <w:r w:rsidR="00E27392">
              <w:t>)</w:t>
            </w:r>
          </w:p>
        </w:tc>
      </w:tr>
      <w:tr w:rsidR="00E276FD" w:rsidRPr="006462D1" w14:paraId="2734B66C" w14:textId="77777777" w:rsidTr="00BF5EEF">
        <w:trPr>
          <w:trHeight w:val="300"/>
        </w:trPr>
        <w:tc>
          <w:tcPr>
            <w:tcW w:w="2925" w:type="dxa"/>
            <w:shd w:val="clear" w:color="auto" w:fill="auto"/>
            <w:noWrap/>
            <w:tcMar>
              <w:top w:w="15" w:type="dxa"/>
              <w:left w:w="15" w:type="dxa"/>
              <w:bottom w:w="0" w:type="dxa"/>
              <w:right w:w="15" w:type="dxa"/>
            </w:tcMar>
            <w:vAlign w:val="bottom"/>
          </w:tcPr>
          <w:p w14:paraId="4EB50DB7" w14:textId="77777777" w:rsidR="00E276FD" w:rsidRPr="005F0FDB" w:rsidRDefault="00E276FD" w:rsidP="006462D1">
            <w:pPr>
              <w:rPr>
                <w:i/>
              </w:rPr>
            </w:pPr>
            <w:proofErr w:type="spellStart"/>
            <w:r w:rsidRPr="005F0FDB">
              <w:rPr>
                <w:i/>
              </w:rPr>
              <w:t>Passerina</w:t>
            </w:r>
            <w:proofErr w:type="spellEnd"/>
            <w:r w:rsidRPr="005F0FDB">
              <w:rPr>
                <w:i/>
              </w:rPr>
              <w:t xml:space="preserve"> </w:t>
            </w:r>
            <w:proofErr w:type="spellStart"/>
            <w:r w:rsidRPr="005F0FDB">
              <w:rPr>
                <w:i/>
              </w:rPr>
              <w:t>cyanea</w:t>
            </w:r>
            <w:proofErr w:type="spellEnd"/>
          </w:p>
        </w:tc>
        <w:tc>
          <w:tcPr>
            <w:tcW w:w="1665" w:type="dxa"/>
            <w:shd w:val="clear" w:color="auto" w:fill="auto"/>
            <w:noWrap/>
            <w:tcMar>
              <w:top w:w="15" w:type="dxa"/>
              <w:left w:w="15" w:type="dxa"/>
              <w:bottom w:w="0" w:type="dxa"/>
              <w:right w:w="15" w:type="dxa"/>
            </w:tcMar>
            <w:vAlign w:val="bottom"/>
          </w:tcPr>
          <w:p w14:paraId="12DBFD73" w14:textId="77777777" w:rsidR="00E276FD" w:rsidRPr="006462D1" w:rsidRDefault="00E276FD" w:rsidP="006462D1">
            <w:r w:rsidRPr="006462D1">
              <w:t>8</w:t>
            </w:r>
          </w:p>
        </w:tc>
        <w:tc>
          <w:tcPr>
            <w:tcW w:w="1165" w:type="dxa"/>
          </w:tcPr>
          <w:p w14:paraId="1C96E1B2" w14:textId="77777777" w:rsidR="00E276FD" w:rsidRPr="006462D1" w:rsidRDefault="00E276FD" w:rsidP="00837A0F">
            <w:r w:rsidRPr="006462D1">
              <w:fldChar w:fldCharType="begin" w:fldLock="1"/>
            </w:r>
            <w:r>
              <w:instrText>ADDIN CSL_CITATION { "citationItems" : [ { "id" : "ITEM-1", "itemData" : { "DOI" : "10.1073/pnas.1102077108", "ISSN" : "0027-8424", "PMID" : "21918109", "abstract" : "Behavioral specializations are frequently associated with expansions of the brain regions controlling them. This principle of proper mass spans sensory, motor, and cognitive abilities and has been observed in a wide variety of vertebrate species. Yet, it is unknown if this concept extrapolates to entire neural pathways or how selection on a behavioral capacity might otherwise shape circuit structure. We investigate these questions by comparing the songs and neuroanatomy of 49 species from 17 families of songbirds, which vary immensely in the number of unique song components they produce and possess a conserved neural network dedicated to this behavior. We find that syllable repertoire size is strongly related to the degree of song motor pathway convergence. Repertoire size is more accurately predicted by the number of neurons in higher motor areas relative to that in their downstream targets than by the overall number of neurons in the song motor pathway. Additionally, the convergence values along serial premotor and primary motor projections account for distinct portions of the behavioral variation. These findings suggest that selection on song has independently shaped different components of this hierarchical pathway, and they elucidate how changes in pathway structure could have underlain elaborations of this learned motor behavior.", "author" : [ { "dropping-particle" : "", "family" : "Moore", "given" : "J M", "non-dropping-particle" : "", "parse-names" : false, "suffix" : "" }, { "dropping-particle" : "", "family" : "Szekely", "given" : "Tamas", "non-dropping-particle" : "", "parse-names" : false, "suffix" : "" }, { "dropping-particle" : "", "family" : "Buki", "given" : "J", "non-dropping-particle" : "", "parse-names" : false, "suffix" : "" }, { "dropping-particle" : "", "family" : "DeVoogd", "given" : "T J", "non-dropping-particle" : "", "parse-names" : false, "suffix" : "" } ], "id" : "ITEM-1", "issued" : { "date-parts" : [ [ "2011" ] ] }, "title" : "Motor pathway convergence predicts syllable repertoire size in oscine birds", "type" : "article-journal" }, "uris" : [ "http://www.mendeley.com/documents/?uuid=5a812c07-5510-482e-b697-323acda9d7a8" ] } ], "mendeley" : { "formattedCitation" : "[1]", "plainTextFormattedCitation" : "[1]", "previouslyFormattedCitation" : "[1]" }, "properties" : { "noteIndex" : 0 }, "schema" : "https://github.com/citation-style-language/schema/raw/master/csl-citation.json" }</w:instrText>
            </w:r>
            <w:r w:rsidRPr="006462D1">
              <w:fldChar w:fldCharType="separate"/>
            </w:r>
            <w:r w:rsidRPr="007207CF">
              <w:rPr>
                <w:noProof/>
              </w:rPr>
              <w:t>[1]</w:t>
            </w:r>
            <w:r w:rsidRPr="006462D1">
              <w:fldChar w:fldCharType="end"/>
            </w:r>
          </w:p>
        </w:tc>
        <w:tc>
          <w:tcPr>
            <w:tcW w:w="1805" w:type="dxa"/>
            <w:shd w:val="clear" w:color="auto" w:fill="auto"/>
            <w:noWrap/>
            <w:tcMar>
              <w:top w:w="15" w:type="dxa"/>
              <w:left w:w="15" w:type="dxa"/>
              <w:bottom w:w="0" w:type="dxa"/>
              <w:right w:w="15" w:type="dxa"/>
            </w:tcMar>
            <w:vAlign w:val="bottom"/>
          </w:tcPr>
          <w:p w14:paraId="635D36FD" w14:textId="77777777" w:rsidR="00E276FD" w:rsidRPr="006462D1" w:rsidRDefault="00E276FD" w:rsidP="00837A0F">
            <w:r>
              <w:t>Closed (d</w:t>
            </w:r>
            <w:r w:rsidRPr="006462D1">
              <w:t>elayed</w:t>
            </w:r>
            <w:r>
              <w:t>)</w:t>
            </w:r>
          </w:p>
        </w:tc>
        <w:tc>
          <w:tcPr>
            <w:tcW w:w="1875" w:type="dxa"/>
          </w:tcPr>
          <w:p w14:paraId="0A137323" w14:textId="56995BAD" w:rsidR="00E276FD" w:rsidRPr="006462D1" w:rsidRDefault="00E276FD" w:rsidP="006462D1">
            <w:r>
              <w:fldChar w:fldCharType="begin" w:fldLock="1"/>
            </w:r>
            <w:r w:rsidR="00E27392">
              <w:instrText>ADDIN CSL_CITATION { "citationItems" : [ { "id" : "ITEM-1", "itemData" : { "author" : [ { "dropping-particle" : "", "family" : "Payne", "given" : "Robert B", "non-dropping-particle" : "", "parse-names" : false, "suffix" : "" } ], "container-title" : "Ecology", "id" : "ITEM-1", "issued" : { "date-parts" : [ [ "1982" ] ] }, "page" : "401-411", "publisher" : "JSTOR", "title" : "Ecological consequences of song matching: breeding success and intraspecific song mimicry in indigo buntings", "type" : "article-journal" }, "uris" : [ "http://www.mendeley.com/documents/?uuid=ba89323d-46de-450a-9ae8-bbef9b5077dd" ] } ], "mendeley" : { "formattedCitation" : "[24]", "plainTextFormattedCitation" : "[24]", "previouslyFormattedCitation" : "[21]" }, "properties" : { "noteIndex" : 0 }, "schema" : "https://github.com/citation-style-language/schema/raw/master/csl-citation.json" }</w:instrText>
            </w:r>
            <w:r>
              <w:fldChar w:fldCharType="separate"/>
            </w:r>
            <w:r w:rsidR="00E27392" w:rsidRPr="00E27392">
              <w:rPr>
                <w:noProof/>
              </w:rPr>
              <w:t>[24]</w:t>
            </w:r>
            <w:r>
              <w:fldChar w:fldCharType="end"/>
            </w:r>
          </w:p>
        </w:tc>
      </w:tr>
      <w:tr w:rsidR="00E276FD" w:rsidRPr="006462D1" w14:paraId="4EE62851" w14:textId="77777777" w:rsidTr="00BF5EEF">
        <w:trPr>
          <w:trHeight w:val="300"/>
        </w:trPr>
        <w:tc>
          <w:tcPr>
            <w:tcW w:w="2925" w:type="dxa"/>
            <w:shd w:val="clear" w:color="auto" w:fill="auto"/>
            <w:noWrap/>
            <w:tcMar>
              <w:top w:w="15" w:type="dxa"/>
              <w:left w:w="15" w:type="dxa"/>
              <w:bottom w:w="0" w:type="dxa"/>
              <w:right w:w="15" w:type="dxa"/>
            </w:tcMar>
            <w:vAlign w:val="bottom"/>
          </w:tcPr>
          <w:p w14:paraId="2C470342" w14:textId="77777777" w:rsidR="00E276FD" w:rsidRPr="005F0FDB" w:rsidRDefault="00E276FD" w:rsidP="006462D1">
            <w:pPr>
              <w:rPr>
                <w:i/>
              </w:rPr>
            </w:pPr>
            <w:proofErr w:type="spellStart"/>
            <w:r w:rsidRPr="00637CEF">
              <w:rPr>
                <w:i/>
              </w:rPr>
              <w:t>Phoenicurus</w:t>
            </w:r>
            <w:proofErr w:type="spellEnd"/>
            <w:r w:rsidRPr="00637CEF">
              <w:rPr>
                <w:i/>
              </w:rPr>
              <w:t xml:space="preserve"> </w:t>
            </w:r>
            <w:proofErr w:type="spellStart"/>
            <w:r w:rsidRPr="00637CEF">
              <w:rPr>
                <w:i/>
              </w:rPr>
              <w:t>ochruros</w:t>
            </w:r>
            <w:proofErr w:type="spellEnd"/>
          </w:p>
        </w:tc>
        <w:tc>
          <w:tcPr>
            <w:tcW w:w="1665" w:type="dxa"/>
            <w:shd w:val="clear" w:color="auto" w:fill="auto"/>
            <w:noWrap/>
            <w:tcMar>
              <w:top w:w="15" w:type="dxa"/>
              <w:left w:w="15" w:type="dxa"/>
              <w:bottom w:w="0" w:type="dxa"/>
              <w:right w:w="15" w:type="dxa"/>
            </w:tcMar>
            <w:vAlign w:val="bottom"/>
          </w:tcPr>
          <w:p w14:paraId="3B54D364" w14:textId="77777777" w:rsidR="00E276FD" w:rsidRPr="006462D1" w:rsidRDefault="00E276FD" w:rsidP="006462D1">
            <w:r>
              <w:t>5</w:t>
            </w:r>
          </w:p>
        </w:tc>
        <w:tc>
          <w:tcPr>
            <w:tcW w:w="1165" w:type="dxa"/>
          </w:tcPr>
          <w:p w14:paraId="403E8A0E" w14:textId="77777777" w:rsidR="00E276FD" w:rsidRDefault="00E276FD" w:rsidP="0083353E">
            <w:r>
              <w:fldChar w:fldCharType="begin" w:fldLock="1"/>
            </w:r>
            <w:r>
              <w:instrText>ADDIN CSL_CITATION { "citationItems" : [ { "id" : "ITEM-1", "itemData" : { "DOI" : "10.1073/pnas.1102077108", "ISSN" : "0027-8424", "PMID" : "21918109", "abstract" : "Behavioral specializations are frequently associated with expansions of the brain regions controlling them. This principle of proper mass spans sensory, motor, and cognitive abilities and has been observed in a wide variety of vertebrate species. Yet, it is unknown if this concept extrapolates to entire neural pathways or how selection on a behavioral capacity might otherwise shape circuit structure. We investigate these questions by comparing the songs and neuroanatomy of 49 species from 17 families of songbirds, which vary immensely in the number of unique song components they produce and possess a conserved neural network dedicated to this behavior. We find that syllable repertoire size is strongly related to the degree of song motor pathway convergence. Repertoire size is more accurately predicted by the number of neurons in higher motor areas relative to that in their downstream targets than by the overall number of neurons in the song motor pathway. Additionally, the convergence values along serial premotor and primary motor projections account for distinct portions of the behavioral variation. These findings suggest that selection on song has independently shaped different components of this hierarchical pathway, and they elucidate how changes in pathway structure could have underlain elaborations of this learned motor behavior.", "author" : [ { "dropping-particle" : "", "family" : "Moore", "given" : "J M", "non-dropping-particle" : "", "parse-names" : false, "suffix" : "" }, { "dropping-particle" : "", "family" : "Szekely", "given" : "Tamas", "non-dropping-particle" : "", "parse-names" : false, "suffix" : "" }, { "dropping-particle" : "", "family" : "Buki", "given" : "J", "non-dropping-particle" : "", "parse-names" : false, "suffix" : "" }, { "dropping-particle" : "", "family" : "DeVoogd", "given" : "T J", "non-dropping-particle" : "", "parse-names" : false, "suffix" : "" } ], "id" : "ITEM-1", "issued" : { "date-parts" : [ [ "2011" ] ] }, "title" : "Motor pathway convergence predicts syllable repertoire size in oscine birds", "type" : "article-journal" }, "uris" : [ "http://www.mendeley.com/documents/?uuid=5a812c07-5510-482e-b697-323acda9d7a8" ] } ], "mendeley" : { "formattedCitation" : "[1]", "plainTextFormattedCitation" : "[1]", "previouslyFormattedCitation" : "[1]" }, "properties" : { "noteIndex" : 0 }, "schema" : "https://github.com/citation-style-language/schema/raw/master/csl-citation.json" }</w:instrText>
            </w:r>
            <w:r>
              <w:fldChar w:fldCharType="separate"/>
            </w:r>
            <w:r w:rsidRPr="00637CEF">
              <w:rPr>
                <w:noProof/>
              </w:rPr>
              <w:t>[1]</w:t>
            </w:r>
            <w:r>
              <w:fldChar w:fldCharType="end"/>
            </w:r>
          </w:p>
        </w:tc>
        <w:tc>
          <w:tcPr>
            <w:tcW w:w="1805" w:type="dxa"/>
            <w:shd w:val="clear" w:color="auto" w:fill="auto"/>
            <w:noWrap/>
            <w:tcMar>
              <w:top w:w="15" w:type="dxa"/>
              <w:left w:w="15" w:type="dxa"/>
              <w:bottom w:w="0" w:type="dxa"/>
              <w:right w:w="15" w:type="dxa"/>
            </w:tcMar>
            <w:vAlign w:val="bottom"/>
          </w:tcPr>
          <w:p w14:paraId="3A43160D" w14:textId="77777777" w:rsidR="00E276FD" w:rsidRPr="006462D1" w:rsidRDefault="00E276FD" w:rsidP="0083353E">
            <w:r>
              <w:t>Closed</w:t>
            </w:r>
          </w:p>
        </w:tc>
        <w:tc>
          <w:tcPr>
            <w:tcW w:w="1875" w:type="dxa"/>
          </w:tcPr>
          <w:p w14:paraId="3AB1B7D5" w14:textId="582106FE" w:rsidR="00E276FD" w:rsidRDefault="00E276FD" w:rsidP="006462D1">
            <w:r>
              <w:fldChar w:fldCharType="begin" w:fldLock="1"/>
            </w:r>
            <w:r w:rsidR="00E27392">
              <w:instrText>ADDIN CSL_CITATION { "citationItems" : [ { "id" : "ITEM-1", "itemData" : { "DOI" : "10.1163/1568539X-00003129", "ISSN" : "0005-7959", "author" : [ { "dropping-particle" : "", "family" : "Ravaux", "given" : "Lucie", "non-dropping-particle" : "", "parse-names" : false, "suffix" : "" }, { "dropping-particle" : "", "family" : "Moreau", "given" : "Aur\u00e9lien", "non-dropping-particle" : "", "parse-names" : false, "suffix" : "" }, { "dropping-particle" : "", "family" : "Mathevon", "given" : "Nicolas", "non-dropping-particle" : "", "parse-names" : false, "suffix" : "" }, { "dropping-particle" : "", "family" : "Bonckaert", "given" : "Wim", "non-dropping-particle" : "", "parse-names" : false, "suffix" : "" }, { "dropping-particle" : "", "family" : "Draganoiu", "given" : "Tudor I.", "non-dropping-particle" : "", "parse-names" : false, "suffix" : "" } ], "container-title" : "Behaviour", "id" : "ITEM-1", "issued" : { "date-parts" : [ [ "2014" ] ] }, "page" : "435-453", "title" : "Song stability and neighbour recognition in a migratory songbird, the black redstart", "type" : "article-journal", "volume" : "151" }, "uris" : [ "http://www.mendeley.com/documents/?uuid=faa224f3-d93b-41bd-baa4-a2a7fce56c92" ] } ], "mendeley" : { "formattedCitation" : "[25]", "plainTextFormattedCitation" : "[25]", "previouslyFormattedCitation" : "[22]" }, "properties" : { "noteIndex" : 0 }, "schema" : "https://github.com/citation-style-language/schema/raw/master/csl-citation.json" }</w:instrText>
            </w:r>
            <w:r>
              <w:fldChar w:fldCharType="separate"/>
            </w:r>
            <w:r w:rsidR="00E27392" w:rsidRPr="00E27392">
              <w:rPr>
                <w:noProof/>
              </w:rPr>
              <w:t>[25]</w:t>
            </w:r>
            <w:r>
              <w:fldChar w:fldCharType="end"/>
            </w:r>
          </w:p>
        </w:tc>
      </w:tr>
      <w:tr w:rsidR="00E276FD" w:rsidRPr="006462D1" w14:paraId="1951FCDA" w14:textId="77777777" w:rsidTr="00BF5EEF">
        <w:trPr>
          <w:trHeight w:val="300"/>
        </w:trPr>
        <w:tc>
          <w:tcPr>
            <w:tcW w:w="2925" w:type="dxa"/>
            <w:shd w:val="clear" w:color="auto" w:fill="auto"/>
            <w:noWrap/>
            <w:tcMar>
              <w:top w:w="15" w:type="dxa"/>
              <w:left w:w="15" w:type="dxa"/>
              <w:bottom w:w="0" w:type="dxa"/>
              <w:right w:w="15" w:type="dxa"/>
            </w:tcMar>
            <w:vAlign w:val="bottom"/>
          </w:tcPr>
          <w:p w14:paraId="6EA57F45" w14:textId="77777777" w:rsidR="00E276FD" w:rsidRPr="005F0FDB" w:rsidRDefault="00E276FD" w:rsidP="006462D1">
            <w:pPr>
              <w:rPr>
                <w:i/>
              </w:rPr>
            </w:pPr>
            <w:proofErr w:type="spellStart"/>
            <w:r w:rsidRPr="005F0FDB">
              <w:rPr>
                <w:i/>
              </w:rPr>
              <w:t>Phylloscopus</w:t>
            </w:r>
            <w:proofErr w:type="spellEnd"/>
            <w:r w:rsidRPr="005F0FDB">
              <w:rPr>
                <w:i/>
              </w:rPr>
              <w:t xml:space="preserve"> </w:t>
            </w:r>
            <w:proofErr w:type="spellStart"/>
            <w:r w:rsidRPr="005F0FDB">
              <w:rPr>
                <w:i/>
              </w:rPr>
              <w:t>collybita</w:t>
            </w:r>
            <w:proofErr w:type="spellEnd"/>
          </w:p>
        </w:tc>
        <w:tc>
          <w:tcPr>
            <w:tcW w:w="1665" w:type="dxa"/>
            <w:shd w:val="clear" w:color="auto" w:fill="auto"/>
            <w:noWrap/>
            <w:tcMar>
              <w:top w:w="15" w:type="dxa"/>
              <w:left w:w="15" w:type="dxa"/>
              <w:bottom w:w="0" w:type="dxa"/>
              <w:right w:w="15" w:type="dxa"/>
            </w:tcMar>
            <w:vAlign w:val="bottom"/>
          </w:tcPr>
          <w:p w14:paraId="5E105DB8" w14:textId="77777777" w:rsidR="00E276FD" w:rsidRPr="006462D1" w:rsidRDefault="00E276FD" w:rsidP="006462D1">
            <w:r w:rsidRPr="006462D1">
              <w:t>2</w:t>
            </w:r>
          </w:p>
        </w:tc>
        <w:tc>
          <w:tcPr>
            <w:tcW w:w="1165" w:type="dxa"/>
          </w:tcPr>
          <w:p w14:paraId="34E84C2A" w14:textId="330B1389" w:rsidR="00E276FD" w:rsidRPr="006462D1" w:rsidRDefault="00E276FD" w:rsidP="0083353E">
            <w:r>
              <w:fldChar w:fldCharType="begin" w:fldLock="1"/>
            </w:r>
            <w:r w:rsidR="00E27392">
              <w:instrText>ADDIN CSL_CITATION { "citationItems" : [ { "id" : "ITEM-1", "itemData" : { "author" : [ { "dropping-particle" : "", "family" : "Simms", "given" : "E.", "non-dropping-particle" : "", "parse-names" : false, "suffix" : "" } ], "id" : "ITEM-1", "issued" : { "date-parts" : [ [ "1985" ] ] }, "publisher" : "Collins", "publisher-place" : "London", "title" : "British warblers", "type" : "book" }, "uris" : [ "http://www.mendeley.com/documents/?uuid=9a58b65d-c036-4e71-bff6-76ea63a65036" ] } ], "mendeley" : { "formattedCitation" : "[26]", "plainTextFormattedCitation" : "[26]", "previouslyFormattedCitation" : "[23]" }, "properties" : { "noteIndex" : 0 }, "schema" : "https://github.com/citation-style-language/schema/raw/master/csl-citation.json" }</w:instrText>
            </w:r>
            <w:r>
              <w:fldChar w:fldCharType="separate"/>
            </w:r>
            <w:r w:rsidR="00E27392" w:rsidRPr="00E27392">
              <w:rPr>
                <w:noProof/>
              </w:rPr>
              <w:t>[26]</w:t>
            </w:r>
            <w:r>
              <w:fldChar w:fldCharType="end"/>
            </w:r>
          </w:p>
        </w:tc>
        <w:tc>
          <w:tcPr>
            <w:tcW w:w="1805" w:type="dxa"/>
            <w:shd w:val="clear" w:color="auto" w:fill="auto"/>
            <w:noWrap/>
            <w:tcMar>
              <w:top w:w="15" w:type="dxa"/>
              <w:left w:w="15" w:type="dxa"/>
              <w:bottom w:w="0" w:type="dxa"/>
              <w:right w:w="15" w:type="dxa"/>
            </w:tcMar>
            <w:vAlign w:val="bottom"/>
          </w:tcPr>
          <w:p w14:paraId="4EBEA573" w14:textId="77777777" w:rsidR="00E276FD" w:rsidRPr="006462D1" w:rsidRDefault="00E276FD" w:rsidP="0083353E">
            <w:r w:rsidRPr="006462D1">
              <w:t xml:space="preserve">Closed </w:t>
            </w:r>
          </w:p>
        </w:tc>
        <w:tc>
          <w:tcPr>
            <w:tcW w:w="1875" w:type="dxa"/>
          </w:tcPr>
          <w:p w14:paraId="02DDFD7B" w14:textId="20032CCF" w:rsidR="00E276FD" w:rsidRPr="006462D1" w:rsidRDefault="00E276FD" w:rsidP="006462D1">
            <w:r>
              <w:fldChar w:fldCharType="begin" w:fldLock="1"/>
            </w:r>
            <w:r w:rsidR="00E27392">
              <w:instrText>ADDIN CSL_CITATION { "citationItems" : [ { "id" : "ITEM-1", "itemData" : { "author" : [ { "dropping-particle" : "", "family" : "Thielcke", "given" : "Gerhard", "non-dropping-particle" : "", "parse-names" : false, "suffix" : "" }, { "dropping-particle" : "", "family" : "Zimmer", "given" : "Ute", "non-dropping-particle" : "", "parse-names" : false, "suffix" : "" } ], "container-title" : "Ethology", "id" : "ITEM-1", "issue" : "3", "issued" : { "date-parts" : [ [ "1986" ] ] }, "page" : "191-196", "publisher" : "Wiley Online Library", "title" : "Early experience determines the song of the chiffchaff (Phylloscopus collybita)", "type" : "article-journal", "volume" : "73" }, "uris" : [ "http://www.mendeley.com/documents/?uuid=46836052-af5f-424e-8cd7-9c6343346f0d" ] } ], "mendeley" : { "formattedCitation" : "[27]", "plainTextFormattedCitation" : "[27]", "previouslyFormattedCitation" : "[24]" }, "properties" : { "noteIndex" : 0 }, "schema" : "https://github.com/citation-style-language/schema/raw/master/csl-citation.json" }</w:instrText>
            </w:r>
            <w:r>
              <w:fldChar w:fldCharType="separate"/>
            </w:r>
            <w:r w:rsidR="00E27392" w:rsidRPr="00E27392">
              <w:rPr>
                <w:noProof/>
              </w:rPr>
              <w:t>[27]</w:t>
            </w:r>
            <w:r>
              <w:fldChar w:fldCharType="end"/>
            </w:r>
          </w:p>
        </w:tc>
      </w:tr>
      <w:tr w:rsidR="00E276FD" w:rsidRPr="006462D1" w14:paraId="67E7A84E" w14:textId="77777777" w:rsidTr="00BF5EEF">
        <w:trPr>
          <w:trHeight w:val="300"/>
        </w:trPr>
        <w:tc>
          <w:tcPr>
            <w:tcW w:w="2925" w:type="dxa"/>
            <w:shd w:val="clear" w:color="auto" w:fill="auto"/>
            <w:noWrap/>
            <w:tcMar>
              <w:top w:w="15" w:type="dxa"/>
              <w:left w:w="15" w:type="dxa"/>
              <w:bottom w:w="0" w:type="dxa"/>
              <w:right w:w="15" w:type="dxa"/>
            </w:tcMar>
            <w:vAlign w:val="bottom"/>
          </w:tcPr>
          <w:p w14:paraId="795DEE44" w14:textId="77777777" w:rsidR="00E276FD" w:rsidRPr="005F0FDB" w:rsidRDefault="00E276FD" w:rsidP="006462D1">
            <w:pPr>
              <w:rPr>
                <w:i/>
              </w:rPr>
            </w:pPr>
            <w:proofErr w:type="spellStart"/>
            <w:r w:rsidRPr="005F0FDB">
              <w:rPr>
                <w:i/>
              </w:rPr>
              <w:t>Phylloscopus</w:t>
            </w:r>
            <w:proofErr w:type="spellEnd"/>
            <w:r w:rsidRPr="005F0FDB">
              <w:rPr>
                <w:i/>
              </w:rPr>
              <w:t xml:space="preserve"> </w:t>
            </w:r>
            <w:proofErr w:type="spellStart"/>
            <w:r w:rsidRPr="005F0FDB">
              <w:rPr>
                <w:i/>
              </w:rPr>
              <w:t>trochilus</w:t>
            </w:r>
            <w:proofErr w:type="spellEnd"/>
          </w:p>
        </w:tc>
        <w:tc>
          <w:tcPr>
            <w:tcW w:w="1665" w:type="dxa"/>
            <w:shd w:val="clear" w:color="auto" w:fill="auto"/>
            <w:noWrap/>
            <w:tcMar>
              <w:top w:w="15" w:type="dxa"/>
              <w:left w:w="15" w:type="dxa"/>
              <w:bottom w:w="0" w:type="dxa"/>
              <w:right w:w="15" w:type="dxa"/>
            </w:tcMar>
            <w:vAlign w:val="bottom"/>
          </w:tcPr>
          <w:p w14:paraId="238AAAF4" w14:textId="77777777" w:rsidR="00E276FD" w:rsidRPr="006462D1" w:rsidRDefault="00E276FD" w:rsidP="006462D1">
            <w:r w:rsidRPr="006462D1">
              <w:t>80</w:t>
            </w:r>
          </w:p>
        </w:tc>
        <w:tc>
          <w:tcPr>
            <w:tcW w:w="1165" w:type="dxa"/>
          </w:tcPr>
          <w:p w14:paraId="19CD1D0C" w14:textId="191E10A3" w:rsidR="00E276FD" w:rsidRPr="006462D1" w:rsidRDefault="00E276FD" w:rsidP="0083353E">
            <w:r>
              <w:fldChar w:fldCharType="begin" w:fldLock="1"/>
            </w:r>
            <w:r w:rsidR="00E27392">
              <w:instrText>ADDIN CSL_CITATION { "citationItems" : [ { "id" : "ITEM-1", "itemData" : { "DOI" : "10.2307/3676129", "ISSN" : "0030-5693", "abstract" : "During territorial combats the songs of the Willow Warbler male change in a number of parameters from \"spontaneous\" singing heard in undisturbed situations. The song become shorter, muter and somewhat lower pitched. There is also heard a special type of song (the A-song) which is characterized by the introduction of a special syllable type in the beginning of each song. Although there is a considerable inter-individual variation between songs recorded both in undisturbed and agonistic situations the A-song is shared between all studied territorial males (n = 6). There is also a close temporal connection between A-song and overt attack behaviour from the singer indicating that A-song transmit a message of an increased likelihood that the singer will attack his opponent. During a series of play-back trials when territorial males were exposed either to recordings of 'spontaneous\" song types or A-songs there was a marked tendency to approach the speaker as a response to spontaneous songs while A-songs instead evoked tendencies to withdraw. Thus, a test male responds to A-song and other song types in a manner which indicates that the message of an increased likelihood of an attack, following the former has been received.", "author" : [ { "dropping-particle" : "", "family" : "J\u00e4rvi", "given" : "Torbj\u00f6rn", "non-dropping-particle" : "", "parse-names" : false, "suffix" : "" }, { "dropping-particle" : "", "family" : "Rades\u00e4ter", "given" : "Tommy", "non-dropping-particle" : "", "parse-names" : false, "suffix" : "" }, { "dropping-particle" : "", "family" : "Jakobsson", "given" : "Sven", "non-dropping-particle" : "", "parse-names" : false, "suffix" : "" } ], "container-title" : "Ornis Scandinavica", "id" : "ITEM-1", "issue" : "3", "issued" : { "date-parts" : [ [ "1980" ] ] }, "page" : "236-242", "title" : "The song of the willow warbler Phylloscopus trochilus with special reference to singing behaviour in agonistic situations", "type" : "article-journal", "volume" : "11" }, "uris" : [ "http://www.mendeley.com/documents/?uuid=b12827bb-26ed-4c09-8332-a27916abe0bb" ] } ], "mendeley" : { "formattedCitation" : "[28]", "plainTextFormattedCitation" : "[28]", "previouslyFormattedCitation" : "[25]" }, "properties" : { "noteIndex" : 0 }, "schema" : "https://github.com/citation-style-language/schema/raw/master/csl-citation.json" }</w:instrText>
            </w:r>
            <w:r>
              <w:fldChar w:fldCharType="separate"/>
            </w:r>
            <w:r w:rsidR="00E27392" w:rsidRPr="00E27392">
              <w:rPr>
                <w:noProof/>
              </w:rPr>
              <w:t>[28]</w:t>
            </w:r>
            <w:r>
              <w:fldChar w:fldCharType="end"/>
            </w:r>
          </w:p>
        </w:tc>
        <w:tc>
          <w:tcPr>
            <w:tcW w:w="1805" w:type="dxa"/>
            <w:shd w:val="clear" w:color="auto" w:fill="auto"/>
            <w:noWrap/>
            <w:tcMar>
              <w:top w:w="15" w:type="dxa"/>
              <w:left w:w="15" w:type="dxa"/>
              <w:bottom w:w="0" w:type="dxa"/>
              <w:right w:w="15" w:type="dxa"/>
            </w:tcMar>
            <w:vAlign w:val="bottom"/>
          </w:tcPr>
          <w:p w14:paraId="6CE016FF" w14:textId="77777777" w:rsidR="00E276FD" w:rsidRPr="006462D1" w:rsidRDefault="00E276FD" w:rsidP="0083353E">
            <w:r>
              <w:t>Open (year 2)</w:t>
            </w:r>
          </w:p>
        </w:tc>
        <w:tc>
          <w:tcPr>
            <w:tcW w:w="1875" w:type="dxa"/>
          </w:tcPr>
          <w:p w14:paraId="6BDF12F8" w14:textId="4D19A544" w:rsidR="00E276FD" w:rsidRPr="006462D1" w:rsidRDefault="00E276FD" w:rsidP="006462D1">
            <w:r>
              <w:fldChar w:fldCharType="begin" w:fldLock="1"/>
            </w:r>
            <w:r w:rsidR="00E27392">
              <w:instrText>ADDIN CSL_CITATION { "citationItems" : [ { "id" : "ITEM-1", "itemData" : { "DOI" : "10.1006/anbe.2001.1812", "ISBN" : "0003-3472", "ISSN" : "00033472", "abstract" : "Theory predicts that sexually selected characters should be condition dependent if they are to be used as honest signals of male quality. One consequence of this dependence is that young and older males will differ in the expression of these characters. Many bird song characteristics, such as repertoire size or song length, are considered to have evolved through sexual selection. Consistent with this, several studies have shown that repertoire size increases with age. However, many of these studies used cross-sectional methods, comparing song characteristics in different age classes. This approach has the disadvantage that differential survival related to song can confound the data, emphasizing or hiding individual changes. To avoid this we combined a cross-sectional with a longitudinal analysis, where the same cohort is compared at different ages, to study how song characteristics change with age in the willow warbler. The longitudinal analysis showed that song repertoire size (the set of different song elements) and element rate (number of elements produced divided by song duration) increased between the first and second year. The cross-sectional analysis gave similar results, but there were no changes in element rate. From these results we can infer that the development of several song characteristics is costly in this species. The different results provided by the two methods for element rate suggest a negative correlation between element rate and the probability of survival. The discrepancy between the methods implies that cross-sectional methods can provide erroneous conclusions in the study of changes with age in bird song.", "author" : [ { "dropping-particle" : "", "family" : "Gil", "given" : "Diego", "non-dropping-particle" : "", "parse-names" : false, "suffix" : "" }, { "dropping-particle" : "", "family" : "Cobb", "given" : "James L.S.", "non-dropping-particle" : "", "parse-names" : false, "suffix" : "" }, { "dropping-particle" : "", "family" : "Slater", "given" : "Peter J.B.", "non-dropping-particle" : "", "parse-names" : false, "suffix" : "" } ], "container-title" : "Animal Behaviour", "id" : "ITEM-1", "issued" : { "date-parts" : [ [ "2001" ] ] }, "page" : "689-694", "title" : "Song characteristics are age dependent in the willow warbler, Phylloscopus trochilus", "type" : "article-journal", "volume" : "62" }, "uris" : [ "http://www.mendeley.com/documents/?uuid=cace412d-f27b-4753-821b-7f5ea2b6ae2d" ] } ], "mendeley" : { "formattedCitation" : "[29]", "plainTextFormattedCitation" : "[29]", "previouslyFormattedCitation" : "[26]" }, "properties" : { "noteIndex" : 0 }, "schema" : "https://github.com/citation-style-language/schema/raw/master/csl-citation.json" }</w:instrText>
            </w:r>
            <w:r>
              <w:fldChar w:fldCharType="separate"/>
            </w:r>
            <w:r w:rsidR="00E27392" w:rsidRPr="00E27392">
              <w:rPr>
                <w:noProof/>
              </w:rPr>
              <w:t>[29]</w:t>
            </w:r>
            <w:r>
              <w:fldChar w:fldCharType="end"/>
            </w:r>
          </w:p>
        </w:tc>
      </w:tr>
      <w:tr w:rsidR="00E276FD" w:rsidRPr="006462D1" w14:paraId="2ADB8DDD" w14:textId="77777777" w:rsidTr="00BF5EEF">
        <w:trPr>
          <w:trHeight w:val="300"/>
        </w:trPr>
        <w:tc>
          <w:tcPr>
            <w:tcW w:w="2925" w:type="dxa"/>
            <w:shd w:val="clear" w:color="auto" w:fill="auto"/>
            <w:noWrap/>
            <w:tcMar>
              <w:top w:w="15" w:type="dxa"/>
              <w:left w:w="15" w:type="dxa"/>
              <w:bottom w:w="0" w:type="dxa"/>
              <w:right w:w="15" w:type="dxa"/>
            </w:tcMar>
            <w:vAlign w:val="bottom"/>
          </w:tcPr>
          <w:p w14:paraId="3D30AE0C" w14:textId="77777777" w:rsidR="00E276FD" w:rsidRPr="005F0FDB" w:rsidRDefault="00E276FD" w:rsidP="006462D1">
            <w:pPr>
              <w:rPr>
                <w:i/>
              </w:rPr>
            </w:pPr>
            <w:proofErr w:type="spellStart"/>
            <w:r w:rsidRPr="005F0FDB">
              <w:rPr>
                <w:i/>
              </w:rPr>
              <w:t>Pipilo</w:t>
            </w:r>
            <w:proofErr w:type="spellEnd"/>
            <w:r w:rsidRPr="005F0FDB">
              <w:rPr>
                <w:i/>
              </w:rPr>
              <w:t xml:space="preserve"> </w:t>
            </w:r>
            <w:proofErr w:type="spellStart"/>
            <w:r w:rsidRPr="005F0FDB">
              <w:rPr>
                <w:i/>
              </w:rPr>
              <w:t>erythrophthalmus</w:t>
            </w:r>
            <w:proofErr w:type="spellEnd"/>
          </w:p>
        </w:tc>
        <w:tc>
          <w:tcPr>
            <w:tcW w:w="1665" w:type="dxa"/>
            <w:shd w:val="clear" w:color="auto" w:fill="auto"/>
            <w:noWrap/>
            <w:tcMar>
              <w:top w:w="15" w:type="dxa"/>
              <w:left w:w="15" w:type="dxa"/>
              <w:bottom w:w="0" w:type="dxa"/>
              <w:right w:w="15" w:type="dxa"/>
            </w:tcMar>
            <w:vAlign w:val="bottom"/>
          </w:tcPr>
          <w:p w14:paraId="0F91E9EA" w14:textId="77777777" w:rsidR="00E276FD" w:rsidRPr="006462D1" w:rsidRDefault="00E276FD" w:rsidP="006462D1">
            <w:r w:rsidRPr="006462D1">
              <w:t>15 (8-28)</w:t>
            </w:r>
          </w:p>
        </w:tc>
        <w:tc>
          <w:tcPr>
            <w:tcW w:w="1165" w:type="dxa"/>
          </w:tcPr>
          <w:p w14:paraId="6BC76A88" w14:textId="23601F93" w:rsidR="00E276FD" w:rsidRPr="006462D1" w:rsidRDefault="00E276FD" w:rsidP="006E046F">
            <w:r>
              <w:fldChar w:fldCharType="begin" w:fldLock="1"/>
            </w:r>
            <w:r w:rsidR="00E27392">
              <w:instrText>ADDIN CSL_CITATION { "citationItems" : [ { "id" : "ITEM-1", "itemData" : { "ISBN" : "0270-6474 (Print)\\r0270-6474 (Linking)", "ISSN" : "0270-6474", "PMID" : "2027052", "abstract" : "Seasonal variation in the size of song nuclei in the brains of male songbirds may be related to the ability to learn to sing new songs as adults. This hypothesis was tested with the rufous-sided towhee (Pipilo erythrophthalmus), a species in which song repertoires are stable after 1 yr of life. Towhees were hand raised in the laboratory and tutored with normal towhee songs. After song repertoires were recorded at 1 yr of age, photoperiods were manipulated so that 10 male towhees experienced short days and 10 males experienced long days. Circulating hormone concentrations and anatomical attributes of song nuclei were then measured. Photoperiod-related differences in the song nuclei of these towhees were as large as those seen in \"open-ended learners\" (i.e., species that continue to learn new songs as adults). Seasonal changes of the adult song system may thus occur without disrupting existing song repertoires and without the development of new songs. The synaptic plasticity provided by such seasonal variation, however, may enable song learning by adult birds.", "author" : [ { "dropping-particle" : "", "family" : "Brenowitz", "given" : "E a", "non-dropping-particle" : "", "parse-names" : false, "suffix" : "" }, { "dropping-particle" : "", "family" : "Nalls", "given" : "B", "non-dropping-particle" : "", "parse-names" : false, "suffix" : "" }, { "dropping-particle" : "", "family" : "Wingfield", "given" : "J C", "non-dropping-particle" : "", "parse-names" : false, "suffix" : "" }, { "dropping-particle" : "", "family" : "Kroodsma", "given" : "D E", "non-dropping-particle" : "", "parse-names" : false, "suffix" : "" } ], "container-title" : "The Journal of neuroscience : the official journal of the Society for Neuroscience", "id" : "ITEM-1", "issue" : "May", "issued" : { "date-parts" : [ [ "1991" ] ] }, "page" : "1367-1374", "title" : "Seasonal changes in avian song nuclei without seasonal changes in song repertoire.", "type" : "article-journal", "volume" : "11" }, "uris" : [ "http://www.mendeley.com/documents/?uuid=95b4b98f-be52-4831-bfe8-5326e07a4c84" ] } ], "mendeley" : { "formattedCitation" : "[30]", "plainTextFormattedCitation" : "[30]", "previouslyFormattedCitation" : "[27]" }, "properties" : { "noteIndex" : 0 }, "schema" : "https://github.com/citation-style-language/schema/raw/master/csl-citation.json" }</w:instrText>
            </w:r>
            <w:r>
              <w:fldChar w:fldCharType="separate"/>
            </w:r>
            <w:r w:rsidR="00E27392" w:rsidRPr="00E27392">
              <w:rPr>
                <w:noProof/>
              </w:rPr>
              <w:t>[30]</w:t>
            </w:r>
            <w:r>
              <w:fldChar w:fldCharType="end"/>
            </w:r>
          </w:p>
        </w:tc>
        <w:tc>
          <w:tcPr>
            <w:tcW w:w="1805" w:type="dxa"/>
            <w:shd w:val="clear" w:color="auto" w:fill="auto"/>
            <w:noWrap/>
            <w:tcMar>
              <w:top w:w="15" w:type="dxa"/>
              <w:left w:w="15" w:type="dxa"/>
              <w:bottom w:w="0" w:type="dxa"/>
              <w:right w:w="15" w:type="dxa"/>
            </w:tcMar>
            <w:vAlign w:val="bottom"/>
          </w:tcPr>
          <w:p w14:paraId="5C4EC9E8" w14:textId="77777777" w:rsidR="00E276FD" w:rsidRPr="006462D1" w:rsidRDefault="00E276FD" w:rsidP="006E046F">
            <w:r w:rsidRPr="006462D1">
              <w:t xml:space="preserve">Closed </w:t>
            </w:r>
          </w:p>
        </w:tc>
        <w:tc>
          <w:tcPr>
            <w:tcW w:w="1875" w:type="dxa"/>
          </w:tcPr>
          <w:p w14:paraId="55A4B5B4" w14:textId="5C13D610" w:rsidR="00E276FD" w:rsidRPr="006462D1" w:rsidRDefault="00E276FD" w:rsidP="006462D1">
            <w:r>
              <w:fldChar w:fldCharType="begin" w:fldLock="1"/>
            </w:r>
            <w:r w:rsidR="00E27392">
              <w:instrText>ADDIN CSL_CITATION { "citationItems" : [ { "id" : "ITEM-1", "itemData" : { "ISBN" : "0270-6474 (Print)\\r0270-6474 (Linking)", "ISSN" : "0270-6474", "PMID" : "2027052", "abstract" : "Seasonal variation in the size of song nuclei in the brains of male songbirds may be related to the ability to learn to sing new songs as adults. This hypothesis was tested with the rufous-sided towhee (Pipilo erythrophthalmus), a species in which song repertoires are stable after 1 yr of life. Towhees were hand raised in the laboratory and tutored with normal towhee songs. After song repertoires were recorded at 1 yr of age, photoperiods were manipulated so that 10 male towhees experienced short days and 10 males experienced long days. Circulating hormone concentrations and anatomical attributes of song nuclei were then measured. Photoperiod-related differences in the song nuclei of these towhees were as large as those seen in \"open-ended learners\" (i.e., species that continue to learn new songs as adults). Seasonal changes of the adult song system may thus occur without disrupting existing song repertoires and without the development of new songs. The synaptic plasticity provided by such seasonal variation, however, may enable song learning by adult birds.", "author" : [ { "dropping-particle" : "", "family" : "Brenowitz", "given" : "E a", "non-dropping-particle" : "", "parse-names" : false, "suffix" : "" }, { "dropping-particle" : "", "family" : "Nalls", "given" : "B", "non-dropping-particle" : "", "parse-names" : false, "suffix" : "" }, { "dropping-particle" : "", "family" : "Wingfield", "given" : "J C", "non-dropping-particle" : "", "parse-names" : false, "suffix" : "" }, { "dropping-particle" : "", "family" : "Kroodsma", "given" : "D E", "non-dropping-particle" : "", "parse-names" : false, "suffix" : "" } ], "container-title" : "The Journal of neuroscience : the official journal of the Society for Neuroscience", "id" : "ITEM-1", "issue" : "May", "issued" : { "date-parts" : [ [ "1991" ] ] }, "page" : "1367-1374", "title" : "Seasonal changes in avian song nuclei without seasonal changes in song repertoire.", "type" : "article-journal", "volume" : "11" }, "uris" : [ "http://www.mendeley.com/documents/?uuid=95b4b98f-be52-4831-bfe8-5326e07a4c84" ] } ], "mendeley" : { "formattedCitation" : "[30]", "plainTextFormattedCitation" : "[30]", "previouslyFormattedCitation" : "[27]" }, "properties" : { "noteIndex" : 0 }, "schema" : "https://github.com/citation-style-language/schema/raw/master/csl-citation.json" }</w:instrText>
            </w:r>
            <w:r>
              <w:fldChar w:fldCharType="separate"/>
            </w:r>
            <w:r w:rsidR="00E27392" w:rsidRPr="00E27392">
              <w:rPr>
                <w:noProof/>
              </w:rPr>
              <w:t>[30]</w:t>
            </w:r>
            <w:r>
              <w:fldChar w:fldCharType="end"/>
            </w:r>
          </w:p>
        </w:tc>
      </w:tr>
      <w:tr w:rsidR="00E276FD" w:rsidRPr="006462D1" w14:paraId="6C77A4F3" w14:textId="77777777" w:rsidTr="00BF5EEF">
        <w:trPr>
          <w:trHeight w:val="300"/>
        </w:trPr>
        <w:tc>
          <w:tcPr>
            <w:tcW w:w="2925" w:type="dxa"/>
            <w:shd w:val="clear" w:color="auto" w:fill="auto"/>
            <w:noWrap/>
            <w:tcMar>
              <w:top w:w="15" w:type="dxa"/>
              <w:left w:w="15" w:type="dxa"/>
              <w:bottom w:w="0" w:type="dxa"/>
              <w:right w:w="15" w:type="dxa"/>
            </w:tcMar>
            <w:vAlign w:val="bottom"/>
          </w:tcPr>
          <w:p w14:paraId="43DE1819" w14:textId="77777777" w:rsidR="00E276FD" w:rsidRPr="005F0FDB" w:rsidRDefault="00E276FD" w:rsidP="006462D1">
            <w:pPr>
              <w:rPr>
                <w:i/>
              </w:rPr>
            </w:pPr>
            <w:proofErr w:type="spellStart"/>
            <w:r w:rsidRPr="005F0FDB">
              <w:rPr>
                <w:i/>
              </w:rPr>
              <w:t>Serinus</w:t>
            </w:r>
            <w:proofErr w:type="spellEnd"/>
            <w:r w:rsidRPr="005F0FDB">
              <w:rPr>
                <w:i/>
              </w:rPr>
              <w:t xml:space="preserve"> </w:t>
            </w:r>
            <w:proofErr w:type="spellStart"/>
            <w:r w:rsidRPr="005F0FDB">
              <w:rPr>
                <w:i/>
              </w:rPr>
              <w:t>canaria</w:t>
            </w:r>
            <w:proofErr w:type="spellEnd"/>
          </w:p>
        </w:tc>
        <w:tc>
          <w:tcPr>
            <w:tcW w:w="1665" w:type="dxa"/>
            <w:shd w:val="clear" w:color="auto" w:fill="auto"/>
            <w:noWrap/>
            <w:tcMar>
              <w:top w:w="15" w:type="dxa"/>
              <w:left w:w="15" w:type="dxa"/>
              <w:bottom w:w="0" w:type="dxa"/>
              <w:right w:w="15" w:type="dxa"/>
            </w:tcMar>
            <w:vAlign w:val="bottom"/>
          </w:tcPr>
          <w:p w14:paraId="3A4F557E" w14:textId="77777777" w:rsidR="00E276FD" w:rsidRPr="006462D1" w:rsidRDefault="00E276FD" w:rsidP="006462D1">
            <w:r w:rsidRPr="006462D1">
              <w:t>20-30</w:t>
            </w:r>
          </w:p>
        </w:tc>
        <w:tc>
          <w:tcPr>
            <w:tcW w:w="1165" w:type="dxa"/>
            <w:vAlign w:val="bottom"/>
          </w:tcPr>
          <w:p w14:paraId="108F9785" w14:textId="1F84FC2D" w:rsidR="00E276FD" w:rsidRPr="006462D1" w:rsidRDefault="00E276FD" w:rsidP="001F328E">
            <w:r w:rsidRPr="006462D1">
              <w:fldChar w:fldCharType="begin" w:fldLock="1"/>
            </w:r>
            <w:r w:rsidR="00E27392">
              <w:instrText>ADDIN CSL_CITATION { "citationItems" : [ { "id" : "ITEM-1", "itemData" : { "DOI" : "10.1002/neu.10331", "ISBN" : "0022-3034", "ISSN" : "00223034", "PMID" : "15188269", "abstract" : "In songbirds, there is considerable interest in relationships between song structure and the size of the song control system in the forebrain. In male canaries, earlier studies have reported that repertoire size increased with age, and positive correlations were obtained between repertoire size and the volume of song control nuclei such as high vocal center (HVC). Here we investigate whether age has an effect upon both the song structure and the morphology of two song control nuclei [HVC and robustus archistriatalis (RA)] that are important in song production. We recorded songs from an aviary population of 1- and 2-year-old male domesticated canaries. We found that repertoire size, number of sexually attractive (sexy) syllables, and size of song nuclei did not differ between 1- and 2-year-old males. Neither did we find significant correlations between syllable repertoire size and the size of the song control nuclei. However, HVC size was positively correlated with the proportion of sexy syllables in the repertoires of 2-year-old males. Some older males may enhance vocal performance by modifying the control of syllables rather than by increasing repertoire size or neural space.", "author" : [ { "dropping-particle" : "", "family" : "Leitner", "given" : "Stefan", "non-dropping-particle" : "", "parse-names" : false, "suffix" : "" }, { "dropping-particle" : "", "family" : "Catchpole", "given" : "Clive K.", "non-dropping-particle" : "", "parse-names" : false, "suffix" : "" } ], "container-title" : "Journal of Neurobiology", "id" : "ITEM-1", "issued" : { "date-parts" : [ [ "2004" ] ] }, "page" : "21-27", "title" : "Syllable repertoire and the size of the song control system in captive canaries (Serinus canaria)", "type" : "article-journal", "volume" : "60" }, "uris" : [ "http://www.mendeley.com/documents/?uuid=d3ea63d0-2e4f-42be-abb4-03b1200ec632" ] } ], "mendeley" : { "formattedCitation" : "[31]", "plainTextFormattedCitation" : "[31]", "previouslyFormattedCitation" : "[28]" }, "properties" : { "noteIndex" : 0 }, "schema" : "https://github.com/citation-style-language/schema/raw/master/csl-citation.json" }</w:instrText>
            </w:r>
            <w:r w:rsidRPr="006462D1">
              <w:fldChar w:fldCharType="separate"/>
            </w:r>
            <w:r w:rsidR="00E27392" w:rsidRPr="00E27392">
              <w:rPr>
                <w:noProof/>
              </w:rPr>
              <w:t>[31]</w:t>
            </w:r>
            <w:r w:rsidRPr="006462D1">
              <w:fldChar w:fldCharType="end"/>
            </w:r>
          </w:p>
        </w:tc>
        <w:tc>
          <w:tcPr>
            <w:tcW w:w="1805" w:type="dxa"/>
            <w:shd w:val="clear" w:color="auto" w:fill="auto"/>
            <w:noWrap/>
            <w:tcMar>
              <w:top w:w="15" w:type="dxa"/>
              <w:left w:w="15" w:type="dxa"/>
              <w:bottom w:w="0" w:type="dxa"/>
              <w:right w:w="15" w:type="dxa"/>
            </w:tcMar>
            <w:vAlign w:val="bottom"/>
          </w:tcPr>
          <w:p w14:paraId="6FB48D80" w14:textId="77777777" w:rsidR="00E276FD" w:rsidRPr="006462D1" w:rsidRDefault="00E276FD" w:rsidP="001F328E">
            <w:r w:rsidRPr="006462D1">
              <w:t xml:space="preserve">Open </w:t>
            </w:r>
          </w:p>
        </w:tc>
        <w:tc>
          <w:tcPr>
            <w:tcW w:w="1875" w:type="dxa"/>
          </w:tcPr>
          <w:p w14:paraId="7CA54C93" w14:textId="672D5C76" w:rsidR="00E276FD" w:rsidRPr="006462D1" w:rsidRDefault="00E276FD" w:rsidP="006462D1">
            <w:r>
              <w:fldChar w:fldCharType="begin" w:fldLock="1"/>
            </w:r>
            <w:r w:rsidR="00E27392">
              <w:instrText>ADDIN CSL_CITATION { "citationItems" : [ { "id" : "ITEM-1", "itemData" : { "DOI" : "10.1111/j.1439-0310.1978.tb01451.x", "ISSN" : "1439-0310", "author" : [ { "dropping-particle" : "", "family" : "Nottebohm", "given" : "Fernando", "non-dropping-particle" : "", "parse-names" : false, "suffix" : "" }, { "dropping-particle" : "", "family" : "Nottebohm", "given" : "Marta E", "non-dropping-particle" : "", "parse-names" : false, "suffix" : "" } ], "container-title" : "Zeitschrift f\u00fcr Tierpsychologie", "id" : "ITEM-1", "issue" : "3", "issued" : { "date-parts" : [ [ "1978" ] ] }, "page" : "298-305", "publisher" : "Blackwell Publishing Ltd", "title" : "Relationship between Song Repertoire and Age in the Canary, Serinus canarius", "type" : "article-journal", "volume" : "46" }, "uris" : [ "http://www.mendeley.com/documents/?uuid=28b97b97-8029-43ad-9f0f-96401073e8f2" ] } ], "mendeley" : { "formattedCitation" : "[32]", "plainTextFormattedCitation" : "[32]", "previouslyFormattedCitation" : "[29]" }, "properties" : { "noteIndex" : 0 }, "schema" : "https://github.com/citation-style-language/schema/raw/master/csl-citation.json" }</w:instrText>
            </w:r>
            <w:r>
              <w:fldChar w:fldCharType="separate"/>
            </w:r>
            <w:r w:rsidR="00E27392" w:rsidRPr="00E27392">
              <w:rPr>
                <w:noProof/>
              </w:rPr>
              <w:t>[32]</w:t>
            </w:r>
            <w:r>
              <w:fldChar w:fldCharType="end"/>
            </w:r>
          </w:p>
        </w:tc>
      </w:tr>
      <w:tr w:rsidR="00E276FD" w:rsidRPr="005F0FDB" w14:paraId="72738F70" w14:textId="77777777" w:rsidTr="00BF5EEF">
        <w:trPr>
          <w:trHeight w:val="300"/>
        </w:trPr>
        <w:tc>
          <w:tcPr>
            <w:tcW w:w="2925" w:type="dxa"/>
            <w:shd w:val="clear" w:color="auto" w:fill="auto"/>
            <w:noWrap/>
            <w:tcMar>
              <w:top w:w="15" w:type="dxa"/>
              <w:left w:w="15" w:type="dxa"/>
              <w:bottom w:w="0" w:type="dxa"/>
              <w:right w:w="15" w:type="dxa"/>
            </w:tcMar>
            <w:vAlign w:val="bottom"/>
          </w:tcPr>
          <w:p w14:paraId="450000BA" w14:textId="77777777" w:rsidR="00E276FD" w:rsidRPr="005F0FDB" w:rsidRDefault="00E276FD" w:rsidP="006462D1">
            <w:pPr>
              <w:rPr>
                <w:i/>
              </w:rPr>
            </w:pPr>
            <w:proofErr w:type="spellStart"/>
            <w:r w:rsidRPr="005F0FDB">
              <w:rPr>
                <w:i/>
              </w:rPr>
              <w:t>Spizella</w:t>
            </w:r>
            <w:proofErr w:type="spellEnd"/>
            <w:r w:rsidRPr="005F0FDB">
              <w:rPr>
                <w:i/>
              </w:rPr>
              <w:t xml:space="preserve"> </w:t>
            </w:r>
            <w:proofErr w:type="spellStart"/>
            <w:r w:rsidRPr="005F0FDB">
              <w:rPr>
                <w:i/>
              </w:rPr>
              <w:t>passerina</w:t>
            </w:r>
            <w:proofErr w:type="spellEnd"/>
          </w:p>
        </w:tc>
        <w:tc>
          <w:tcPr>
            <w:tcW w:w="1665" w:type="dxa"/>
            <w:shd w:val="clear" w:color="auto" w:fill="auto"/>
            <w:noWrap/>
            <w:tcMar>
              <w:top w:w="15" w:type="dxa"/>
              <w:left w:w="15" w:type="dxa"/>
              <w:bottom w:w="0" w:type="dxa"/>
              <w:right w:w="15" w:type="dxa"/>
            </w:tcMar>
            <w:vAlign w:val="bottom"/>
          </w:tcPr>
          <w:p w14:paraId="2C28C28D" w14:textId="77777777" w:rsidR="00E276FD" w:rsidRPr="005F0FDB" w:rsidRDefault="00E276FD" w:rsidP="006462D1">
            <w:r w:rsidRPr="005F0FDB">
              <w:t>1</w:t>
            </w:r>
          </w:p>
        </w:tc>
        <w:tc>
          <w:tcPr>
            <w:tcW w:w="1165" w:type="dxa"/>
          </w:tcPr>
          <w:p w14:paraId="32BC730A" w14:textId="77777777" w:rsidR="00E276FD" w:rsidRPr="005F0FDB" w:rsidRDefault="00E276FD" w:rsidP="001F328E">
            <w:r w:rsidRPr="005F0FDB">
              <w:fldChar w:fldCharType="begin" w:fldLock="1"/>
            </w:r>
            <w:r w:rsidRPr="005F0FDB">
              <w:instrText>ADDIN CSL_CITATION { "citationItems" : [ { "id" : "ITEM-1", "itemData" : { "DOI" : "10.1073/pnas.1102077108", "ISSN" : "0027-8424", "PMID" : "21918109", "abstract" : "Behavioral specializations are frequently associated with expansions of the brain regions controlling them. This principle of proper mass spans sensory, motor, and cognitive abilities and has been observed in a wide variety of vertebrate species. Yet, it is unknown if this concept extrapolates to entire neural pathways or how selection on a behavioral capacity might otherwise shape circuit structure. We investigate these questions by comparing the songs and neuroanatomy of 49 species from 17 families of songbirds, which vary immensely in the number of unique song components they produce and possess a conserved neural network dedicated to this behavior. We find that syllable repertoire size is strongly related to the degree of song motor pathway convergence. Repertoire size is more accurately predicted by the number of neurons in higher motor areas relative to that in their downstream targets than by the overall number of neurons in the song motor pathway. Additionally, the convergence values along serial premotor and primary motor projections account for distinct portions of the behavioral variation. These findings suggest that selection on song has independently shaped different components of this hierarchical pathway, and they elucidate how changes in pathway structure could have underlain elaborations of this learned motor behavior.", "author" : [ { "dropping-particle" : "", "family" : "Moore", "given" : "J M", "non-dropping-particle" : "", "parse-names" : false, "suffix" : "" }, { "dropping-particle" : "", "family" : "Szekely", "given" : "Tamas", "non-dropping-particle" : "", "parse-names" : false, "suffix" : "" }, { "dropping-particle" : "", "family" : "Buki", "given" : "J", "non-dropping-particle" : "", "parse-names" : false, "suffix" : "" }, { "dropping-particle" : "", "family" : "DeVoogd", "given" : "T J", "non-dropping-particle" : "", "parse-names" : false, "suffix" : "" } ], "id" : "ITEM-1", "issued" : { "date-parts" : [ [ "2011" ] ] }, "title" : "Motor pathway convergence predicts syllable repertoire size in oscine birds", "type" : "article-journal" }, "uris" : [ "http://www.mendeley.com/documents/?uuid=5a812c07-5510-482e-b697-323acda9d7a8" ] } ], "mendeley" : { "formattedCitation" : "[1]", "plainTextFormattedCitation" : "[1]", "previouslyFormattedCitation" : "[1]" }, "properties" : { "noteIndex" : 0 }, "schema" : "https://github.com/citation-style-language/schema/raw/master/csl-citation.json" }</w:instrText>
            </w:r>
            <w:r w:rsidRPr="005F0FDB">
              <w:fldChar w:fldCharType="separate"/>
            </w:r>
            <w:r w:rsidRPr="005F0FDB">
              <w:rPr>
                <w:noProof/>
              </w:rPr>
              <w:t>[1]</w:t>
            </w:r>
            <w:r w:rsidRPr="005F0FDB">
              <w:fldChar w:fldCharType="end"/>
            </w:r>
          </w:p>
        </w:tc>
        <w:tc>
          <w:tcPr>
            <w:tcW w:w="1805" w:type="dxa"/>
            <w:shd w:val="clear" w:color="auto" w:fill="auto"/>
            <w:noWrap/>
            <w:tcMar>
              <w:top w:w="15" w:type="dxa"/>
              <w:left w:w="15" w:type="dxa"/>
              <w:bottom w:w="0" w:type="dxa"/>
              <w:right w:w="15" w:type="dxa"/>
            </w:tcMar>
            <w:vAlign w:val="bottom"/>
          </w:tcPr>
          <w:p w14:paraId="02961BFB" w14:textId="77777777" w:rsidR="00E276FD" w:rsidRPr="005F0FDB" w:rsidRDefault="00E276FD" w:rsidP="001F328E">
            <w:r w:rsidRPr="005F0FDB">
              <w:t>Closed (delayed)</w:t>
            </w:r>
          </w:p>
        </w:tc>
        <w:tc>
          <w:tcPr>
            <w:tcW w:w="1875" w:type="dxa"/>
          </w:tcPr>
          <w:p w14:paraId="53BC1B63" w14:textId="25F027D7" w:rsidR="00E276FD" w:rsidRPr="005F0FDB" w:rsidRDefault="00E276FD" w:rsidP="006462D1">
            <w:r w:rsidRPr="005F0FDB">
              <w:fldChar w:fldCharType="begin" w:fldLock="1"/>
            </w:r>
            <w:r w:rsidR="00E27392">
              <w:instrText>ADDIN CSL_CITATION { "citationItems" : [ { "id" : "ITEM-1", "itemData" : { "DOI" : "10.1073/pnas.0710067104", "ISBN" : "0027-8424", "ISSN" : "0027-8424", "PMID" : "18077359", "abstract" : "Here we show how a migratory songbird, the chipping sparrow (Spizella passerina), achieves prompt and precise vocal imitation. Juvenile chipping sparrow males develop five to seven potential precursor songs; the normal development of these songs requires intact hearing but not imitation from external models. The potential precursor songs conform with general species-typical song parameters but differ from the song of wild, adult territorial males. As chipping sparrow males return from migration to start their first breeding season, they settle close to an older adult. The young male then stops producing all but one of its precursor songs, retaining the one that most resembles that of its neighbor. This single song then becomes more variable and, in a matter of days, is altered to closely match the neighbor's song. This elegant solution ensures species specificity and promptness of imitation.", "author" : [ { "dropping-particle" : "", "family" : "Liu", "given" : "Wan-Chun", "non-dropping-particle" : "", "parse-names" : false, "suffix" : "" }, { "dropping-particle" : "", "family" : "Nottebohm", "given" : "Fernando", "non-dropping-particle" : "", "parse-names" : false, "suffix" : "" } ], "container-title" : "Proceedings of the National Academy of Sciences of the United States of America", "id" : "ITEM-1", "issued" : { "date-parts" : [ [ "2007" ] ] }, "page" : "20398-20403", "title" : "A learning program that ensures prompt and versatile vocal imitation.", "type" : "article-journal", "volume" : "104" }, "uris" : [ "http://www.mendeley.com/documents/?uuid=527c50e2-d2a9-48dc-8dfc-482c06c7cbc1" ] } ], "mendeley" : { "formattedCitation" : "[33]", "plainTextFormattedCitation" : "[33]", "previouslyFormattedCitation" : "[30]" }, "properties" : { "noteIndex" : 0 }, "schema" : "https://github.com/citation-style-language/schema/raw/master/csl-citation.json" }</w:instrText>
            </w:r>
            <w:r w:rsidRPr="005F0FDB">
              <w:fldChar w:fldCharType="separate"/>
            </w:r>
            <w:r w:rsidR="00E27392" w:rsidRPr="00E27392">
              <w:rPr>
                <w:noProof/>
              </w:rPr>
              <w:t>[33]</w:t>
            </w:r>
            <w:r w:rsidRPr="005F0FDB">
              <w:fldChar w:fldCharType="end"/>
            </w:r>
          </w:p>
        </w:tc>
      </w:tr>
      <w:tr w:rsidR="00E276FD" w:rsidRPr="005F0FDB" w14:paraId="4E69804C" w14:textId="77777777" w:rsidTr="00BF5EEF">
        <w:trPr>
          <w:trHeight w:val="300"/>
        </w:trPr>
        <w:tc>
          <w:tcPr>
            <w:tcW w:w="2925" w:type="dxa"/>
            <w:shd w:val="clear" w:color="auto" w:fill="auto"/>
            <w:noWrap/>
            <w:tcMar>
              <w:top w:w="15" w:type="dxa"/>
              <w:left w:w="15" w:type="dxa"/>
              <w:bottom w:w="0" w:type="dxa"/>
              <w:right w:w="15" w:type="dxa"/>
            </w:tcMar>
            <w:vAlign w:val="bottom"/>
          </w:tcPr>
          <w:p w14:paraId="5652B0CD" w14:textId="77777777" w:rsidR="00E276FD" w:rsidRPr="005F0FDB" w:rsidRDefault="00E276FD" w:rsidP="006462D1">
            <w:pPr>
              <w:rPr>
                <w:i/>
              </w:rPr>
            </w:pPr>
            <w:proofErr w:type="spellStart"/>
            <w:r w:rsidRPr="005F0FDB">
              <w:rPr>
                <w:i/>
              </w:rPr>
              <w:t>Spizella</w:t>
            </w:r>
            <w:proofErr w:type="spellEnd"/>
            <w:r w:rsidRPr="005F0FDB">
              <w:rPr>
                <w:i/>
              </w:rPr>
              <w:t xml:space="preserve"> </w:t>
            </w:r>
            <w:proofErr w:type="spellStart"/>
            <w:r w:rsidRPr="005F0FDB">
              <w:rPr>
                <w:i/>
              </w:rPr>
              <w:t>pusilla</w:t>
            </w:r>
            <w:proofErr w:type="spellEnd"/>
          </w:p>
        </w:tc>
        <w:tc>
          <w:tcPr>
            <w:tcW w:w="1665" w:type="dxa"/>
            <w:shd w:val="clear" w:color="auto" w:fill="auto"/>
            <w:noWrap/>
            <w:tcMar>
              <w:top w:w="15" w:type="dxa"/>
              <w:left w:w="15" w:type="dxa"/>
              <w:bottom w:w="0" w:type="dxa"/>
              <w:right w:w="15" w:type="dxa"/>
            </w:tcMar>
            <w:vAlign w:val="bottom"/>
          </w:tcPr>
          <w:p w14:paraId="3D557EB7" w14:textId="77777777" w:rsidR="00E276FD" w:rsidRPr="005F0FDB" w:rsidRDefault="00E276FD" w:rsidP="006462D1">
            <w:r w:rsidRPr="005F0FDB">
              <w:t>2</w:t>
            </w:r>
          </w:p>
        </w:tc>
        <w:tc>
          <w:tcPr>
            <w:tcW w:w="1165" w:type="dxa"/>
          </w:tcPr>
          <w:p w14:paraId="13EB0EF2" w14:textId="1C19A3FA" w:rsidR="00E276FD" w:rsidRPr="005F0FDB" w:rsidRDefault="00E276FD" w:rsidP="001F328E">
            <w:r w:rsidRPr="005F0FDB">
              <w:fldChar w:fldCharType="begin" w:fldLock="1"/>
            </w:r>
            <w:r w:rsidR="00E27392">
              <w:instrText>ADDIN CSL_CITATION { "citationItems" : [ { "id" : "ITEM-1", "itemData" : { "author" : [ { "dropping-particle" : "", "family" : "Goldman", "given" : "Peter", "non-dropping-particle" : "", "parse-names" : false, "suffix" : "" } ], "container-title" : "The Auk", "id" : "ITEM-1", "issued" : { "date-parts" : [ [ "1973" ] ] }, "page" : "106-113", "publisher" : "JSTOR", "title" : "Song recognition by field sparrows", "type" : "article-journal" }, "uris" : [ "http://www.mendeley.com/documents/?uuid=b4f2b657-a9bd-42f1-93aa-48c856603089" ] } ], "mendeley" : { "formattedCitation" : "[34]", "plainTextFormattedCitation" : "[34]", "previouslyFormattedCitation" : "[31]" }, "properties" : { "noteIndex" : 0 }, "schema" : "https://github.com/citation-style-language/schema/raw/master/csl-citation.json" }</w:instrText>
            </w:r>
            <w:r w:rsidRPr="005F0FDB">
              <w:fldChar w:fldCharType="separate"/>
            </w:r>
            <w:r w:rsidR="00E27392" w:rsidRPr="00E27392">
              <w:rPr>
                <w:noProof/>
              </w:rPr>
              <w:t>[34]</w:t>
            </w:r>
            <w:r w:rsidRPr="005F0FDB">
              <w:fldChar w:fldCharType="end"/>
            </w:r>
          </w:p>
        </w:tc>
        <w:tc>
          <w:tcPr>
            <w:tcW w:w="1805" w:type="dxa"/>
            <w:shd w:val="clear" w:color="auto" w:fill="auto"/>
            <w:noWrap/>
            <w:tcMar>
              <w:top w:w="15" w:type="dxa"/>
              <w:left w:w="15" w:type="dxa"/>
              <w:bottom w:w="0" w:type="dxa"/>
              <w:right w:w="15" w:type="dxa"/>
            </w:tcMar>
            <w:vAlign w:val="bottom"/>
          </w:tcPr>
          <w:p w14:paraId="3BA912EF" w14:textId="77777777" w:rsidR="00E276FD" w:rsidRPr="005F0FDB" w:rsidRDefault="00E276FD" w:rsidP="001F328E">
            <w:r w:rsidRPr="005F0FDB">
              <w:t>Closed (delayed)</w:t>
            </w:r>
          </w:p>
        </w:tc>
        <w:tc>
          <w:tcPr>
            <w:tcW w:w="1875" w:type="dxa"/>
          </w:tcPr>
          <w:p w14:paraId="60483D6E" w14:textId="10C1B080" w:rsidR="00E276FD" w:rsidRPr="005F0FDB" w:rsidRDefault="00E276FD" w:rsidP="006462D1">
            <w:r w:rsidRPr="005F0FDB">
              <w:fldChar w:fldCharType="begin" w:fldLock="1"/>
            </w:r>
            <w:r w:rsidR="00E27392">
              <w:instrText>ADDIN CSL_CITATION { "citationItems" : [ { "id" : "ITEM-1", "itemData" : { "author" : [ { "dropping-particle" : "", "family" : "Nelson", "given" : "Douglas A", "non-dropping-particle" : "", "parse-names" : false, "suffix" : "" } ], "container-title" : "Behavioral Ecology and Sociobiology", "id" : "ITEM-1", "issue" : "6", "issued" : { "date-parts" : [ [ "1992" ] ] }, "page" : "415-424", "publisher" : "Springer", "title" : "Song overproduction and selective attrition lead to song sharing in the field sparrow (Spizella pusilla)", "type" : "article-journal", "volume" : "30" }, "uris" : [ "http://www.mendeley.com/documents/?uuid=3f11be11-d4c5-45b8-bca5-c1e49b85ce91" ] } ], "mendeley" : { "formattedCitation" : "[35]", "plainTextFormattedCitation" : "[35]", "previouslyFormattedCitation" : "[32]" }, "properties" : { "noteIndex" : 0 }, "schema" : "https://github.com/citation-style-language/schema/raw/master/csl-citation.json" }</w:instrText>
            </w:r>
            <w:r w:rsidRPr="005F0FDB">
              <w:fldChar w:fldCharType="separate"/>
            </w:r>
            <w:r w:rsidR="00E27392" w:rsidRPr="00E27392">
              <w:rPr>
                <w:noProof/>
              </w:rPr>
              <w:t>[35]</w:t>
            </w:r>
            <w:r w:rsidRPr="005F0FDB">
              <w:fldChar w:fldCharType="end"/>
            </w:r>
          </w:p>
        </w:tc>
      </w:tr>
      <w:tr w:rsidR="00E276FD" w:rsidRPr="005F0FDB" w14:paraId="68B975A6" w14:textId="77777777" w:rsidTr="00BF5EEF">
        <w:trPr>
          <w:trHeight w:val="300"/>
        </w:trPr>
        <w:tc>
          <w:tcPr>
            <w:tcW w:w="2925" w:type="dxa"/>
            <w:shd w:val="clear" w:color="auto" w:fill="auto"/>
            <w:noWrap/>
            <w:tcMar>
              <w:top w:w="15" w:type="dxa"/>
              <w:left w:w="15" w:type="dxa"/>
              <w:bottom w:w="0" w:type="dxa"/>
              <w:right w:w="15" w:type="dxa"/>
            </w:tcMar>
            <w:vAlign w:val="bottom"/>
          </w:tcPr>
          <w:p w14:paraId="406BCD8F" w14:textId="77777777" w:rsidR="00E276FD" w:rsidRPr="005F0FDB" w:rsidRDefault="00E276FD" w:rsidP="006462D1">
            <w:pPr>
              <w:rPr>
                <w:i/>
              </w:rPr>
            </w:pPr>
            <w:proofErr w:type="spellStart"/>
            <w:r w:rsidRPr="005F0FDB">
              <w:rPr>
                <w:i/>
              </w:rPr>
              <w:t>Sturnus</w:t>
            </w:r>
            <w:proofErr w:type="spellEnd"/>
            <w:r w:rsidRPr="005F0FDB">
              <w:rPr>
                <w:i/>
              </w:rPr>
              <w:t xml:space="preserve"> vulgaris</w:t>
            </w:r>
          </w:p>
        </w:tc>
        <w:tc>
          <w:tcPr>
            <w:tcW w:w="1665" w:type="dxa"/>
            <w:shd w:val="clear" w:color="auto" w:fill="auto"/>
            <w:noWrap/>
            <w:tcMar>
              <w:top w:w="15" w:type="dxa"/>
              <w:left w:w="15" w:type="dxa"/>
              <w:bottom w:w="0" w:type="dxa"/>
              <w:right w:w="15" w:type="dxa"/>
            </w:tcMar>
            <w:vAlign w:val="bottom"/>
          </w:tcPr>
          <w:p w14:paraId="02B9BAA6" w14:textId="77777777" w:rsidR="00E276FD" w:rsidRPr="005F0FDB" w:rsidRDefault="00E276FD" w:rsidP="006462D1">
            <w:r w:rsidRPr="005F0FDB">
              <w:t>44</w:t>
            </w:r>
          </w:p>
        </w:tc>
        <w:tc>
          <w:tcPr>
            <w:tcW w:w="1165" w:type="dxa"/>
          </w:tcPr>
          <w:p w14:paraId="2A3A21A9" w14:textId="77777777" w:rsidR="00E276FD" w:rsidRPr="005F0FDB" w:rsidRDefault="00E276FD" w:rsidP="001F328E">
            <w:r w:rsidRPr="005F0FDB">
              <w:fldChar w:fldCharType="begin" w:fldLock="1"/>
            </w:r>
            <w:r w:rsidRPr="005F0FDB">
              <w:instrText>ADDIN CSL_CITATION { "citationItems" : [ { "id" : "ITEM-1", "itemData" : { "DOI" : "10.1073/pnas.1102077108", "ISSN" : "0027-8424", "PMID" : "21918109", "abstract" : "Behavioral specializations are frequently associated with expansions of the brain regions controlling them. This principle of proper mass spans sensory, motor, and cognitive abilities and has been observed in a wide variety of vertebrate species. Yet, it is unknown if this concept extrapolates to entire neural pathways or how selection on a behavioral capacity might otherwise shape circuit structure. We investigate these questions by comparing the songs and neuroanatomy of 49 species from 17 families of songbirds, which vary immensely in the number of unique song components they produce and possess a conserved neural network dedicated to this behavior. We find that syllable repertoire size is strongly related to the degree of song motor pathway convergence. Repertoire size is more accurately predicted by the number of neurons in higher motor areas relative to that in their downstream targets than by the overall number of neurons in the song motor pathway. Additionally, the convergence values along serial premotor and primary motor projections account for distinct portions of the behavioral variation. These findings suggest that selection on song has independently shaped different components of this hierarchical pathway, and they elucidate how changes in pathway structure could have underlain elaborations of this learned motor behavior.", "author" : [ { "dropping-particle" : "", "family" : "Moore", "given" : "J M", "non-dropping-particle" : "", "parse-names" : false, "suffix" : "" }, { "dropping-particle" : "", "family" : "Szekely", "given" : "Tamas", "non-dropping-particle" : "", "parse-names" : false, "suffix" : "" }, { "dropping-particle" : "", "family" : "Buki", "given" : "J", "non-dropping-particle" : "", "parse-names" : false, "suffix" : "" }, { "dropping-particle" : "", "family" : "DeVoogd", "given" : "T J", "non-dropping-particle" : "", "parse-names" : false, "suffix" : "" } ], "id" : "ITEM-1", "issued" : { "date-parts" : [ [ "2011" ] ] }, "title" : "Motor pathway convergence predicts syllable repertoire size in oscine birds", "type" : "article-journal" }, "uris" : [ "http://www.mendeley.com/documents/?uuid=5a812c07-5510-482e-b697-323acda9d7a8" ] } ], "mendeley" : { "formattedCitation" : "[1]", "plainTextFormattedCitation" : "[1]", "previouslyFormattedCitation" : "[1]" }, "properties" : { "noteIndex" : 0 }, "schema" : "https://github.com/citation-style-language/schema/raw/master/csl-citation.json" }</w:instrText>
            </w:r>
            <w:r w:rsidRPr="005F0FDB">
              <w:fldChar w:fldCharType="separate"/>
            </w:r>
            <w:r w:rsidRPr="005F0FDB">
              <w:rPr>
                <w:noProof/>
              </w:rPr>
              <w:t>[1]</w:t>
            </w:r>
            <w:r w:rsidRPr="005F0FDB">
              <w:fldChar w:fldCharType="end"/>
            </w:r>
          </w:p>
        </w:tc>
        <w:tc>
          <w:tcPr>
            <w:tcW w:w="1805" w:type="dxa"/>
            <w:shd w:val="clear" w:color="auto" w:fill="auto"/>
            <w:noWrap/>
            <w:tcMar>
              <w:top w:w="15" w:type="dxa"/>
              <w:left w:w="15" w:type="dxa"/>
              <w:bottom w:w="0" w:type="dxa"/>
              <w:right w:w="15" w:type="dxa"/>
            </w:tcMar>
            <w:vAlign w:val="bottom"/>
          </w:tcPr>
          <w:p w14:paraId="132A2272" w14:textId="77777777" w:rsidR="00E276FD" w:rsidRPr="005F0FDB" w:rsidRDefault="00E276FD" w:rsidP="001F328E">
            <w:r w:rsidRPr="005F0FDB">
              <w:t xml:space="preserve">Open </w:t>
            </w:r>
          </w:p>
        </w:tc>
        <w:tc>
          <w:tcPr>
            <w:tcW w:w="1875" w:type="dxa"/>
          </w:tcPr>
          <w:p w14:paraId="527835EC" w14:textId="0E6B489B" w:rsidR="00E276FD" w:rsidRPr="005F0FDB" w:rsidRDefault="00E276FD" w:rsidP="00841B34">
            <w:r w:rsidRPr="005F0FDB">
              <w:fldChar w:fldCharType="begin" w:fldLock="1"/>
            </w:r>
            <w:r w:rsidR="00E27392">
              <w:instrText>ADDIN CSL_CITATION { "citationItems" : [ { "id" : "ITEM-1", "itemData" : { "DOI" : "10.1006/anbe.1995.0048", "ISBN" : "0003-3472", "ISSN" : "00033472", "abstract" : "The songs of wild adult European starlings, Sturnus vulgaris, were recorded over successive years to determine whether repertoire size and composition changed between years. Repertoire-size estimates increased between the first and last year of recording for five of seven males that were at least 2 years old when first recorded. All seven birds showed extensive changes in the composition of their repertoires. Many phrase types were dropped from the repertoire, and others were modified. All birds added many new phrase types to their repertoires between years. These results indicate that extended song learning occurs in adult starlings, even in birds that are at least 4 years old, and that repertoire size is correlated with age in this species. The influence of song repertoire size on male\u2013male competition and possibly female mate choice may be related to its value as an indicator of male age.", "author" : [ { "dropping-particle" : "", "family" : "Mountjoy", "given" : "James D.", "non-dropping-particle" : "", "parse-names" : false, "suffix" : "" }, { "dropping-particle" : "", "family" : "Lemon", "given" : "Robert E.", "non-dropping-particle" : "", "parse-names" : false, "suffix" : "" } ], "container-title" : "Animal Behaviour", "id" : "ITEM-1", "issued" : { "date-parts" : [ [ "1995" ] ] }, "page" : "357-366", "title" : "Extended song learning in wild European starlings", "type" : "article-journal", "volume" : "49" }, "uris" : [ "http://www.mendeley.com/documents/?uuid=68a2d7d8-821e-4888-837f-6f2f1ad9abd3" ] } ], "mendeley" : { "formattedCitation" : "[36]", "plainTextFormattedCitation" : "[36]", "previouslyFormattedCitation" : "[33]" }, "properties" : { "noteIndex" : 0 }, "schema" : "https://github.com/citation-style-language/schema/raw/master/csl-citation.json" }</w:instrText>
            </w:r>
            <w:r w:rsidRPr="005F0FDB">
              <w:fldChar w:fldCharType="separate"/>
            </w:r>
            <w:r w:rsidR="00E27392" w:rsidRPr="00E27392">
              <w:rPr>
                <w:noProof/>
              </w:rPr>
              <w:t>[36]</w:t>
            </w:r>
            <w:r w:rsidRPr="005F0FDB">
              <w:fldChar w:fldCharType="end"/>
            </w:r>
          </w:p>
        </w:tc>
      </w:tr>
      <w:tr w:rsidR="00E276FD" w:rsidRPr="005F0FDB" w14:paraId="201CF894" w14:textId="77777777" w:rsidTr="00BF5EEF">
        <w:trPr>
          <w:trHeight w:val="300"/>
        </w:trPr>
        <w:tc>
          <w:tcPr>
            <w:tcW w:w="2925" w:type="dxa"/>
            <w:shd w:val="clear" w:color="auto" w:fill="auto"/>
            <w:noWrap/>
            <w:tcMar>
              <w:top w:w="15" w:type="dxa"/>
              <w:left w:w="15" w:type="dxa"/>
              <w:bottom w:w="0" w:type="dxa"/>
              <w:right w:w="15" w:type="dxa"/>
            </w:tcMar>
            <w:vAlign w:val="bottom"/>
          </w:tcPr>
          <w:p w14:paraId="2DE3561F" w14:textId="77777777" w:rsidR="00E276FD" w:rsidRPr="005F0FDB" w:rsidRDefault="00E276FD" w:rsidP="006462D1">
            <w:pPr>
              <w:rPr>
                <w:i/>
              </w:rPr>
            </w:pPr>
            <w:r w:rsidRPr="005F0FDB">
              <w:rPr>
                <w:i/>
              </w:rPr>
              <w:t xml:space="preserve">Sylvia </w:t>
            </w:r>
            <w:proofErr w:type="spellStart"/>
            <w:r w:rsidRPr="005F0FDB">
              <w:rPr>
                <w:i/>
              </w:rPr>
              <w:t>communis</w:t>
            </w:r>
            <w:proofErr w:type="spellEnd"/>
          </w:p>
        </w:tc>
        <w:tc>
          <w:tcPr>
            <w:tcW w:w="1665" w:type="dxa"/>
            <w:shd w:val="clear" w:color="auto" w:fill="auto"/>
            <w:noWrap/>
            <w:tcMar>
              <w:top w:w="15" w:type="dxa"/>
              <w:left w:w="15" w:type="dxa"/>
              <w:bottom w:w="0" w:type="dxa"/>
              <w:right w:w="15" w:type="dxa"/>
            </w:tcMar>
            <w:vAlign w:val="bottom"/>
          </w:tcPr>
          <w:p w14:paraId="056B9D8F" w14:textId="77777777" w:rsidR="00E276FD" w:rsidRPr="005F0FDB" w:rsidRDefault="00E276FD" w:rsidP="006462D1">
            <w:r w:rsidRPr="005F0FDB">
              <w:t>119</w:t>
            </w:r>
          </w:p>
        </w:tc>
        <w:tc>
          <w:tcPr>
            <w:tcW w:w="1165" w:type="dxa"/>
          </w:tcPr>
          <w:p w14:paraId="0C883691" w14:textId="77777777" w:rsidR="00E276FD" w:rsidRPr="005F0FDB" w:rsidRDefault="00E276FD" w:rsidP="001F328E">
            <w:r w:rsidRPr="005F0FDB">
              <w:fldChar w:fldCharType="begin" w:fldLock="1"/>
            </w:r>
            <w:r w:rsidRPr="005F0FDB">
              <w:instrText>ADDIN CSL_CITATION { "citationItems" : [ { "id" : "ITEM-1", "itemData" : { "DOI" : "10.1073/pnas.1102077108", "ISSN" : "0027-8424", "PMID" : "21918109", "abstract" : "Behavioral specializations are frequently associated with expansions of the brain regions controlling them. This principle of proper mass spans sensory, motor, and cognitive abilities and has been observed in a wide variety of vertebrate species. Yet, it is unknown if this concept extrapolates to entire neural pathways or how selection on a behavioral capacity might otherwise shape circuit structure. We investigate these questions by comparing the songs and neuroanatomy of 49 species from 17 families of songbirds, which vary immensely in the number of unique song components they produce and possess a conserved neural network dedicated to this behavior. We find that syllable repertoire size is strongly related to the degree of song motor pathway convergence. Repertoire size is more accurately predicted by the number of neurons in higher motor areas relative to that in their downstream targets than by the overall number of neurons in the song motor pathway. Additionally, the convergence values along serial premotor and primary motor projections account for distinct portions of the behavioral variation. These findings suggest that selection on song has independently shaped different components of this hierarchical pathway, and they elucidate how changes in pathway structure could have underlain elaborations of this learned motor behavior.", "author" : [ { "dropping-particle" : "", "family" : "Moore", "given" : "J M", "non-dropping-particle" : "", "parse-names" : false, "suffix" : "" }, { "dropping-particle" : "", "family" : "Szekely", "given" : "Tamas", "non-dropping-particle" : "", "parse-names" : false, "suffix" : "" }, { "dropping-particle" : "", "family" : "Buki", "given" : "J", "non-dropping-particle" : "", "parse-names" : false, "suffix" : "" }, { "dropping-particle" : "", "family" : "DeVoogd", "given" : "T J", "non-dropping-particle" : "", "parse-names" : false, "suffix" : "" } ], "id" : "ITEM-1", "issued" : { "date-parts" : [ [ "2011" ] ] }, "title" : "Motor pathway convergence predicts syllable repertoire size in oscine birds", "type" : "article-journal" }, "uris" : [ "http://www.mendeley.com/documents/?uuid=5a812c07-5510-482e-b697-323acda9d7a8" ] } ], "mendeley" : { "formattedCitation" : "[1]", "plainTextFormattedCitation" : "[1]", "previouslyFormattedCitation" : "[1]" }, "properties" : { "noteIndex" : 0 }, "schema" : "https://github.com/citation-style-language/schema/raw/master/csl-citation.json" }</w:instrText>
            </w:r>
            <w:r w:rsidRPr="005F0FDB">
              <w:fldChar w:fldCharType="separate"/>
            </w:r>
            <w:r w:rsidRPr="005F0FDB">
              <w:rPr>
                <w:noProof/>
              </w:rPr>
              <w:t>[1]</w:t>
            </w:r>
            <w:r w:rsidRPr="005F0FDB">
              <w:fldChar w:fldCharType="end"/>
            </w:r>
          </w:p>
        </w:tc>
        <w:tc>
          <w:tcPr>
            <w:tcW w:w="1805" w:type="dxa"/>
            <w:shd w:val="clear" w:color="auto" w:fill="auto"/>
            <w:noWrap/>
            <w:tcMar>
              <w:top w:w="15" w:type="dxa"/>
              <w:left w:w="15" w:type="dxa"/>
              <w:bottom w:w="0" w:type="dxa"/>
              <w:right w:w="15" w:type="dxa"/>
            </w:tcMar>
            <w:vAlign w:val="bottom"/>
          </w:tcPr>
          <w:p w14:paraId="60A21451" w14:textId="77777777" w:rsidR="00E276FD" w:rsidRPr="005F0FDB" w:rsidRDefault="00E276FD" w:rsidP="001F328E">
            <w:r w:rsidRPr="005F0FDB">
              <w:t>Open (year 2)</w:t>
            </w:r>
          </w:p>
        </w:tc>
        <w:tc>
          <w:tcPr>
            <w:tcW w:w="1875" w:type="dxa"/>
          </w:tcPr>
          <w:p w14:paraId="44F257BE" w14:textId="766F1C0C" w:rsidR="00E276FD" w:rsidRPr="005F0FDB" w:rsidRDefault="00E276FD" w:rsidP="006462D1">
            <w:r w:rsidRPr="005F0FDB">
              <w:fldChar w:fldCharType="begin" w:fldLock="1"/>
            </w:r>
            <w:r w:rsidR="00E27392">
              <w:instrText>ADDIN CSL_CITATION { "citationItems" : [ { "id" : "ITEM-1", "itemData" : { "author" : [ { "dropping-particle" : "", "family" : "Balsby", "given" : "Thorsten Johannes Skovbjerg", "non-dropping-particle" : "", "parse-names" : false, "suffix" : "" }, { "dropping-particle" : "", "family" : "Hansen", "given" : "Poul", "non-dropping-particle" : "", "parse-names" : false, "suffix" : "" } ], "container-title" : "Journal of Ornithology", "id" : "ITEM-1", "issue" : "2", "issued" : { "date-parts" : [ [ "2010" ] ] }, "page" : "469-476", "publisher" : "Springer", "title" : "Element repertoire: change and development with age in Whitethroat Sylvia communis song", "type" : "article-journal", "volume" : "151" }, "uris" : [ "http://www.mendeley.com/documents/?uuid=6bfc064e-d6b7-4dc5-b405-cf1c15a59145" ] } ], "mendeley" : { "formattedCitation" : "[37]", "plainTextFormattedCitation" : "[37]", "previouslyFormattedCitation" : "[34]" }, "properties" : { "noteIndex" : 0 }, "schema" : "https://github.com/citation-style-language/schema/raw/master/csl-citation.json" }</w:instrText>
            </w:r>
            <w:r w:rsidRPr="005F0FDB">
              <w:fldChar w:fldCharType="separate"/>
            </w:r>
            <w:r w:rsidR="00E27392" w:rsidRPr="00E27392">
              <w:rPr>
                <w:noProof/>
              </w:rPr>
              <w:t>[37]</w:t>
            </w:r>
            <w:r w:rsidRPr="005F0FDB">
              <w:fldChar w:fldCharType="end"/>
            </w:r>
          </w:p>
        </w:tc>
      </w:tr>
      <w:tr w:rsidR="00E276FD" w:rsidRPr="005F0FDB" w14:paraId="405228EA" w14:textId="77777777" w:rsidTr="00BF5EEF">
        <w:trPr>
          <w:trHeight w:val="300"/>
        </w:trPr>
        <w:tc>
          <w:tcPr>
            <w:tcW w:w="2925" w:type="dxa"/>
            <w:shd w:val="clear" w:color="auto" w:fill="auto"/>
            <w:noWrap/>
            <w:tcMar>
              <w:top w:w="15" w:type="dxa"/>
              <w:left w:w="15" w:type="dxa"/>
              <w:bottom w:w="0" w:type="dxa"/>
              <w:right w:w="15" w:type="dxa"/>
            </w:tcMar>
            <w:vAlign w:val="bottom"/>
          </w:tcPr>
          <w:p w14:paraId="12791677" w14:textId="77777777" w:rsidR="00E276FD" w:rsidRPr="005F0FDB" w:rsidRDefault="00E276FD" w:rsidP="006462D1">
            <w:pPr>
              <w:rPr>
                <w:i/>
              </w:rPr>
            </w:pPr>
            <w:proofErr w:type="spellStart"/>
            <w:r w:rsidRPr="005F0FDB">
              <w:rPr>
                <w:i/>
              </w:rPr>
              <w:t>Taeniopygia</w:t>
            </w:r>
            <w:proofErr w:type="spellEnd"/>
            <w:r w:rsidRPr="005F0FDB">
              <w:rPr>
                <w:i/>
              </w:rPr>
              <w:t xml:space="preserve"> </w:t>
            </w:r>
            <w:proofErr w:type="spellStart"/>
            <w:r w:rsidRPr="005F0FDB">
              <w:rPr>
                <w:i/>
              </w:rPr>
              <w:t>guttata</w:t>
            </w:r>
            <w:proofErr w:type="spellEnd"/>
          </w:p>
        </w:tc>
        <w:tc>
          <w:tcPr>
            <w:tcW w:w="1665" w:type="dxa"/>
            <w:shd w:val="clear" w:color="auto" w:fill="auto"/>
            <w:noWrap/>
            <w:tcMar>
              <w:top w:w="15" w:type="dxa"/>
              <w:left w:w="15" w:type="dxa"/>
              <w:bottom w:w="0" w:type="dxa"/>
              <w:right w:w="15" w:type="dxa"/>
            </w:tcMar>
            <w:vAlign w:val="bottom"/>
          </w:tcPr>
          <w:p w14:paraId="4A5F9EC2" w14:textId="77777777" w:rsidR="00E276FD" w:rsidRPr="005F0FDB" w:rsidRDefault="00E276FD" w:rsidP="006462D1">
            <w:r w:rsidRPr="005F0FDB">
              <w:t>8</w:t>
            </w:r>
          </w:p>
        </w:tc>
        <w:tc>
          <w:tcPr>
            <w:tcW w:w="1165" w:type="dxa"/>
          </w:tcPr>
          <w:p w14:paraId="515A55E9" w14:textId="61742A53" w:rsidR="00E276FD" w:rsidRPr="005F0FDB" w:rsidRDefault="00E276FD" w:rsidP="001F328E">
            <w:r w:rsidRPr="005F0FDB">
              <w:fldChar w:fldCharType="begin" w:fldLock="1"/>
            </w:r>
            <w:r w:rsidR="00E27392">
              <w:instrText>ADDIN CSL_CITATION { "citationItems" : [ { "id" : "ITEM-1", "itemData" : { "DOI" : "10.1016/S0003-3472(05)80982-0", "ISBN" : "0003-3472", "ISSN" : "00033472", "abstract" : "Sons of wild zebra finches, Taeniopygia guttata, were studied for three breeding seasons at a colony in south-east Australia to determine if they learnt their fathers' songs and distance calls. Sons, but not fathers, were captured and placed temporarily in an aviary located within the nest bushes of the colony during or after the sensitive phase for song learning (35-65 days); songs and calls were recorded at or after day 100 and the birds released. Distance Calls and the elements that constituted the song phrases of 40 sons and their 20 fathers were recorded and compared in matching tests; sons were also matched with controls whom they encountered during the sensitive phase. Some song elements could match by chance alone so it was necessary to distinguish those matching scores due to chance from those higher scores that indicated a possible tutor-pupil relationship. Likely tutors for 24 sons were identified: 17 were the sons' own fathers, four were controls and two may have learnt from either. Aviary confinement isolated sons from their fathers' tuition so that the younger the sons that were confined, the lower their matching scores with the father. In the only family that spanned three generations, song phrases were transmitted with good accuracy. The Distance Call, which also formed an element in the song phrase, was learnt from the father by 72% of sons. Songs and Distance Calls were individually stereotyped over intervals of many months. Opportunities in nature for song learning from the father are discussed. The", "author" : [ { "dropping-particle" : "", "family" : "Zann", "given" : "Richard", "non-dropping-particle" : "", "parse-names" : false, "suffix" : "" } ], "container-title" : "Animal Behaviour", "id" : "ITEM-1", "issue" : "2", "issued" : { "date-parts" : [ [ "1990" ] ] }, "page" : "811-828", "title" : "Song and call learning in wild zebra finches in south-east Australia", "type" : "article-journal", "volume" : "40" }, "uris" : [ "http://www.mendeley.com/documents/?uuid=34a95e92-a004-4f94-aa73-13fdb7d6db7a" ] } ], "mendeley" : { "formattedCitation" : "[38]", "plainTextFormattedCitation" : "[38]", "previouslyFormattedCitation" : "[35]" }, "properties" : { "noteIndex" : 0 }, "schema" : "https://github.com/citation-style-language/schema/raw/master/csl-citation.json" }</w:instrText>
            </w:r>
            <w:r w:rsidRPr="005F0FDB">
              <w:fldChar w:fldCharType="separate"/>
            </w:r>
            <w:r w:rsidR="00E27392" w:rsidRPr="00E27392">
              <w:rPr>
                <w:noProof/>
              </w:rPr>
              <w:t>[38]</w:t>
            </w:r>
            <w:r w:rsidRPr="005F0FDB">
              <w:fldChar w:fldCharType="end"/>
            </w:r>
          </w:p>
        </w:tc>
        <w:tc>
          <w:tcPr>
            <w:tcW w:w="1805" w:type="dxa"/>
            <w:shd w:val="clear" w:color="auto" w:fill="auto"/>
            <w:noWrap/>
            <w:tcMar>
              <w:top w:w="15" w:type="dxa"/>
              <w:left w:w="15" w:type="dxa"/>
              <w:bottom w:w="0" w:type="dxa"/>
              <w:right w:w="15" w:type="dxa"/>
            </w:tcMar>
            <w:vAlign w:val="bottom"/>
          </w:tcPr>
          <w:p w14:paraId="119EB8E5" w14:textId="77777777" w:rsidR="00E276FD" w:rsidRPr="005F0FDB" w:rsidRDefault="00E276FD" w:rsidP="001F328E">
            <w:r w:rsidRPr="005F0FDB">
              <w:t xml:space="preserve">Closed </w:t>
            </w:r>
          </w:p>
        </w:tc>
        <w:tc>
          <w:tcPr>
            <w:tcW w:w="1875" w:type="dxa"/>
          </w:tcPr>
          <w:p w14:paraId="1127D63A" w14:textId="10E4847B" w:rsidR="00E276FD" w:rsidRPr="005F0FDB" w:rsidRDefault="00E276FD" w:rsidP="006462D1">
            <w:r w:rsidRPr="005F0FDB">
              <w:fldChar w:fldCharType="begin" w:fldLock="1"/>
            </w:r>
            <w:r w:rsidR="00E27392">
              <w:instrText>ADDIN CSL_CITATION { "citationItems" : [ { "id" : "ITEM-1", "itemData" : { "author" : [ { "dropping-particle" : "", "family" : "Immelmann", "given" : "K.", "non-dropping-particle" : "", "parse-names" : false, "suffix" : "" } ], "container-title" : "Bird Vocalizations", "editor" : [ { "dropping-particle" : "", "family" : "Hinde", "given" : "R. A.", "non-dropping-particle" : "", "parse-names" : false, "suffix" : "" } ], "id" : "ITEM-1", "issued" : { "date-parts" : [ [ "1969" ] ] }, "page" : "61-74", "publisher" : "Cambridge Univ Press", "publisher-place" : "Cambridge", "title" : "Song development in the zebra finch and other estrildid finches", "type" : "chapter" }, "uris" : [ "http://www.mendeley.com/documents/?uuid=99694a52-9bfd-42a5-b8bf-792452ffec4c" ] } ], "mendeley" : { "formattedCitation" : "[39]", "plainTextFormattedCitation" : "[39]", "previouslyFormattedCitation" : "[36]" }, "properties" : { "noteIndex" : 0 }, "schema" : "https://github.com/citation-style-language/schema/raw/master/csl-citation.json" }</w:instrText>
            </w:r>
            <w:r w:rsidRPr="005F0FDB">
              <w:fldChar w:fldCharType="separate"/>
            </w:r>
            <w:r w:rsidR="00E27392" w:rsidRPr="00E27392">
              <w:rPr>
                <w:noProof/>
              </w:rPr>
              <w:t>[39]</w:t>
            </w:r>
            <w:r w:rsidRPr="005F0FDB">
              <w:fldChar w:fldCharType="end"/>
            </w:r>
          </w:p>
        </w:tc>
      </w:tr>
      <w:tr w:rsidR="00E276FD" w:rsidRPr="005F0FDB" w14:paraId="1089F50D" w14:textId="77777777" w:rsidTr="00BF5EEF">
        <w:trPr>
          <w:trHeight w:val="300"/>
        </w:trPr>
        <w:tc>
          <w:tcPr>
            <w:tcW w:w="2925" w:type="dxa"/>
            <w:shd w:val="clear" w:color="auto" w:fill="auto"/>
            <w:noWrap/>
            <w:tcMar>
              <w:top w:w="15" w:type="dxa"/>
              <w:left w:w="15" w:type="dxa"/>
              <w:bottom w:w="0" w:type="dxa"/>
              <w:right w:w="15" w:type="dxa"/>
            </w:tcMar>
            <w:vAlign w:val="bottom"/>
          </w:tcPr>
          <w:p w14:paraId="2AF87B8A" w14:textId="77777777" w:rsidR="00E276FD" w:rsidRPr="005F0FDB" w:rsidRDefault="00E276FD" w:rsidP="006462D1">
            <w:pPr>
              <w:rPr>
                <w:i/>
              </w:rPr>
            </w:pPr>
            <w:proofErr w:type="spellStart"/>
            <w:r w:rsidRPr="005F0FDB">
              <w:rPr>
                <w:i/>
              </w:rPr>
              <w:t>Toxostoma</w:t>
            </w:r>
            <w:proofErr w:type="spellEnd"/>
            <w:r w:rsidRPr="005F0FDB">
              <w:rPr>
                <w:i/>
              </w:rPr>
              <w:t xml:space="preserve"> </w:t>
            </w:r>
            <w:proofErr w:type="spellStart"/>
            <w:r w:rsidRPr="005F0FDB">
              <w:rPr>
                <w:i/>
              </w:rPr>
              <w:t>rufum</w:t>
            </w:r>
            <w:proofErr w:type="spellEnd"/>
          </w:p>
        </w:tc>
        <w:tc>
          <w:tcPr>
            <w:tcW w:w="1665" w:type="dxa"/>
            <w:shd w:val="clear" w:color="auto" w:fill="auto"/>
            <w:noWrap/>
            <w:tcMar>
              <w:top w:w="15" w:type="dxa"/>
              <w:left w:w="15" w:type="dxa"/>
              <w:bottom w:w="0" w:type="dxa"/>
              <w:right w:w="15" w:type="dxa"/>
            </w:tcMar>
            <w:vAlign w:val="bottom"/>
          </w:tcPr>
          <w:p w14:paraId="19A83181" w14:textId="77777777" w:rsidR="00E276FD" w:rsidRPr="005F0FDB" w:rsidRDefault="00E276FD" w:rsidP="006462D1">
            <w:r w:rsidRPr="005F0FDB">
              <w:t>1805</w:t>
            </w:r>
          </w:p>
        </w:tc>
        <w:tc>
          <w:tcPr>
            <w:tcW w:w="1165" w:type="dxa"/>
          </w:tcPr>
          <w:p w14:paraId="647FE991" w14:textId="430395F4" w:rsidR="00E276FD" w:rsidRPr="005F0FDB" w:rsidRDefault="00E276FD" w:rsidP="001F328E">
            <w:r w:rsidRPr="005F0FDB">
              <w:fldChar w:fldCharType="begin" w:fldLock="1"/>
            </w:r>
            <w:r w:rsidR="00E27392">
              <w:instrText>ADDIN CSL_CITATION { "citationItems" : [ { "id" : "ITEM-1", "itemData" : { "author" : [ { "dropping-particle" : "", "family" : "Kroodsma", "given" : "Donald E.", "non-dropping-particle" : "", "parse-names" : false, "suffix" : "" }, { "dropping-particle" : "", "family" : "Parker", "given" : "Linda D.", "non-dropping-particle" : "", "parse-names" : false, "suffix" : "" } ], "container-title" : "Auk", "id" : "ITEM-1", "issued" : { "date-parts" : [ [ "1977" ] ] }, "page" : "783-785", "title" : "Vocal virtuosity in the Brown Thrasher", "type" : "article-journal", "volume" : "94" }, "uris" : [ "http://www.mendeley.com/documents/?uuid=99a595f5-0892-497c-af57-1ed198116893" ] } ], "mendeley" : { "formattedCitation" : "[40]", "plainTextFormattedCitation" : "[40]", "previouslyFormattedCitation" : "[37]" }, "properties" : { "noteIndex" : 0 }, "schema" : "https://github.com/citation-style-language/schema/raw/master/csl-citation.json" }</w:instrText>
            </w:r>
            <w:r w:rsidRPr="005F0FDB">
              <w:fldChar w:fldCharType="separate"/>
            </w:r>
            <w:r w:rsidR="00E27392" w:rsidRPr="00E27392">
              <w:rPr>
                <w:noProof/>
              </w:rPr>
              <w:t>[40]</w:t>
            </w:r>
            <w:r w:rsidRPr="005F0FDB">
              <w:fldChar w:fldCharType="end"/>
            </w:r>
          </w:p>
        </w:tc>
        <w:tc>
          <w:tcPr>
            <w:tcW w:w="1805" w:type="dxa"/>
            <w:shd w:val="clear" w:color="auto" w:fill="auto"/>
            <w:noWrap/>
            <w:tcMar>
              <w:top w:w="15" w:type="dxa"/>
              <w:left w:w="15" w:type="dxa"/>
              <w:bottom w:w="0" w:type="dxa"/>
              <w:right w:w="15" w:type="dxa"/>
            </w:tcMar>
            <w:vAlign w:val="bottom"/>
          </w:tcPr>
          <w:p w14:paraId="1A30595D" w14:textId="77777777" w:rsidR="00E276FD" w:rsidRPr="005F0FDB" w:rsidRDefault="00E276FD" w:rsidP="001F328E">
            <w:r w:rsidRPr="005F0FDB">
              <w:t>Open</w:t>
            </w:r>
          </w:p>
        </w:tc>
        <w:tc>
          <w:tcPr>
            <w:tcW w:w="1875" w:type="dxa"/>
          </w:tcPr>
          <w:p w14:paraId="4BE0F7A9" w14:textId="3C5B3FD1" w:rsidR="00E276FD" w:rsidRPr="005F0FDB" w:rsidRDefault="00E276FD" w:rsidP="006462D1">
            <w:r w:rsidRPr="005F0FDB">
              <w:fldChar w:fldCharType="begin" w:fldLock="1"/>
            </w:r>
            <w:r w:rsidR="00E27392">
              <w:instrText>ADDIN CSL_CITATION { "citationItems" : [ { "id" : "ITEM-1", "itemData" : { "author" : [ { "dropping-particle" : "", "family" : "Kroodsma", "given" : "Donald E.", "non-dropping-particle" : "", "parse-names" : false, "suffix" : "" }, { "dropping-particle" : "", "family" : "Parker", "given" : "Linda D.", "non-dropping-particle" : "", "parse-names" : false, "suffix" : "" } ], "container-title" : "Auk", "id" : "ITEM-1", "issued" : { "date-parts" : [ [ "1977" ] ] }, "page" : "783-785", "title" : "Vocal virtuosity in the Brown Thrasher", "type" : "article-journal", "volume" : "94" }, "uris" : [ "http://www.mendeley.com/documents/?uuid=99a595f5-0892-497c-af57-1ed198116893" ] } ], "mendeley" : { "formattedCitation" : "[40]", "plainTextFormattedCitation" : "[40]", "previouslyFormattedCitation" : "[37]" }, "properties" : { "noteIndex" : 0 }, "schema" : "https://github.com/citation-style-language/schema/raw/master/csl-citation.json" }</w:instrText>
            </w:r>
            <w:r w:rsidRPr="005F0FDB">
              <w:fldChar w:fldCharType="separate"/>
            </w:r>
            <w:r w:rsidR="00E27392" w:rsidRPr="00E27392">
              <w:rPr>
                <w:noProof/>
              </w:rPr>
              <w:t>[40]</w:t>
            </w:r>
            <w:r w:rsidRPr="005F0FDB">
              <w:fldChar w:fldCharType="end"/>
            </w:r>
          </w:p>
        </w:tc>
      </w:tr>
      <w:tr w:rsidR="00E276FD" w:rsidRPr="005F0FDB" w14:paraId="0403D085" w14:textId="77777777" w:rsidTr="00BF5EEF">
        <w:trPr>
          <w:trHeight w:val="300"/>
        </w:trPr>
        <w:tc>
          <w:tcPr>
            <w:tcW w:w="2925" w:type="dxa"/>
            <w:shd w:val="clear" w:color="auto" w:fill="auto"/>
            <w:noWrap/>
            <w:tcMar>
              <w:top w:w="15" w:type="dxa"/>
              <w:left w:w="15" w:type="dxa"/>
              <w:bottom w:w="0" w:type="dxa"/>
              <w:right w:w="15" w:type="dxa"/>
            </w:tcMar>
            <w:vAlign w:val="bottom"/>
          </w:tcPr>
          <w:p w14:paraId="178AA15B" w14:textId="77777777" w:rsidR="00E276FD" w:rsidRPr="005F0FDB" w:rsidRDefault="00E276FD" w:rsidP="006462D1">
            <w:pPr>
              <w:rPr>
                <w:i/>
              </w:rPr>
            </w:pPr>
            <w:proofErr w:type="spellStart"/>
            <w:r w:rsidRPr="005F0FDB">
              <w:rPr>
                <w:i/>
              </w:rPr>
              <w:t>Turdus</w:t>
            </w:r>
            <w:proofErr w:type="spellEnd"/>
            <w:r w:rsidRPr="005F0FDB">
              <w:rPr>
                <w:i/>
              </w:rPr>
              <w:t xml:space="preserve"> </w:t>
            </w:r>
            <w:proofErr w:type="spellStart"/>
            <w:r w:rsidRPr="005F0FDB">
              <w:rPr>
                <w:i/>
              </w:rPr>
              <w:t>merula</w:t>
            </w:r>
            <w:proofErr w:type="spellEnd"/>
          </w:p>
        </w:tc>
        <w:tc>
          <w:tcPr>
            <w:tcW w:w="1665" w:type="dxa"/>
            <w:shd w:val="clear" w:color="auto" w:fill="auto"/>
            <w:noWrap/>
            <w:tcMar>
              <w:top w:w="15" w:type="dxa"/>
              <w:left w:w="15" w:type="dxa"/>
              <w:bottom w:w="0" w:type="dxa"/>
              <w:right w:w="15" w:type="dxa"/>
            </w:tcMar>
            <w:vAlign w:val="bottom"/>
          </w:tcPr>
          <w:p w14:paraId="3C5CEB4A" w14:textId="77777777" w:rsidR="00E276FD" w:rsidRPr="005F0FDB" w:rsidRDefault="00E276FD" w:rsidP="006462D1">
            <w:r w:rsidRPr="005F0FDB">
              <w:t>108</w:t>
            </w:r>
          </w:p>
        </w:tc>
        <w:tc>
          <w:tcPr>
            <w:tcW w:w="1165" w:type="dxa"/>
          </w:tcPr>
          <w:p w14:paraId="53BB3772" w14:textId="77777777" w:rsidR="00E276FD" w:rsidRPr="005F0FDB" w:rsidRDefault="00E276FD" w:rsidP="001F328E">
            <w:r w:rsidRPr="005F0FDB">
              <w:fldChar w:fldCharType="begin" w:fldLock="1"/>
            </w:r>
            <w:r w:rsidRPr="005F0FDB">
              <w:instrText>ADDIN CSL_CITATION { "citationItems" : [ { "id" : "ITEM-1", "itemData" : { "DOI" : "10.1073/pnas.1102077108", "ISSN" : "0027-8424", "PMID" : "21918109", "abstract" : "Behavioral specializations are frequently associated with expansions of the brain regions controlling them. This principle of proper mass spans sensory, motor, and cognitive abilities and has been observed in a wide variety of vertebrate species. Yet, it is unknown if this concept extrapolates to entire neural pathways or how selection on a behavioral capacity might otherwise shape circuit structure. We investigate these questions by comparing the songs and neuroanatomy of 49 species from 17 families of songbirds, which vary immensely in the number of unique song components they produce and possess a conserved neural network dedicated to this behavior. We find that syllable repertoire size is strongly related to the degree of song motor pathway convergence. Repertoire size is more accurately predicted by the number of neurons in higher motor areas relative to that in their downstream targets than by the overall number of neurons in the song motor pathway. Additionally, the convergence values along serial premotor and primary motor projections account for distinct portions of the behavioral variation. These findings suggest that selection on song has independently shaped different components of this hierarchical pathway, and they elucidate how changes in pathway structure could have underlain elaborations of this learned motor behavior.", "author" : [ { "dropping-particle" : "", "family" : "Moore", "given" : "J M", "non-dropping-particle" : "", "parse-names" : false, "suffix" : "" }, { "dropping-particle" : "", "family" : "Szekely", "given" : "Tamas", "non-dropping-particle" : "", "parse-names" : false, "suffix" : "" }, { "dropping-particle" : "", "family" : "Buki", "given" : "J", "non-dropping-particle" : "", "parse-names" : false, "suffix" : "" }, { "dropping-particle" : "", "family" : "DeVoogd", "given" : "T J", "non-dropping-particle" : "", "parse-names" : false, "suffix" : "" } ], "id" : "ITEM-1", "issued" : { "date-parts" : [ [ "2011" ] ] }, "title" : "Motor pathway convergence predicts syllable repertoire size in oscine birds", "type" : "article-journal" }, "uris" : [ "http://www.mendeley.com/documents/?uuid=5a812c07-5510-482e-b697-323acda9d7a8" ] } ], "mendeley" : { "formattedCitation" : "[1]", "plainTextFormattedCitation" : "[1]", "previouslyFormattedCitation" : "[1]" }, "properties" : { "noteIndex" : 0 }, "schema" : "https://github.com/citation-style-language/schema/raw/master/csl-citation.json" }</w:instrText>
            </w:r>
            <w:r w:rsidRPr="005F0FDB">
              <w:fldChar w:fldCharType="separate"/>
            </w:r>
            <w:r w:rsidRPr="005F0FDB">
              <w:rPr>
                <w:noProof/>
              </w:rPr>
              <w:t>[1]</w:t>
            </w:r>
            <w:r w:rsidRPr="005F0FDB">
              <w:fldChar w:fldCharType="end"/>
            </w:r>
          </w:p>
        </w:tc>
        <w:tc>
          <w:tcPr>
            <w:tcW w:w="1805" w:type="dxa"/>
            <w:shd w:val="clear" w:color="auto" w:fill="auto"/>
            <w:noWrap/>
            <w:tcMar>
              <w:top w:w="15" w:type="dxa"/>
              <w:left w:w="15" w:type="dxa"/>
              <w:bottom w:w="0" w:type="dxa"/>
              <w:right w:w="15" w:type="dxa"/>
            </w:tcMar>
            <w:vAlign w:val="bottom"/>
          </w:tcPr>
          <w:p w14:paraId="504AE7C8" w14:textId="77777777" w:rsidR="00E276FD" w:rsidRPr="005F0FDB" w:rsidRDefault="00E276FD" w:rsidP="001F328E">
            <w:r w:rsidRPr="005F0FDB">
              <w:t>Open (year 2)</w:t>
            </w:r>
          </w:p>
        </w:tc>
        <w:tc>
          <w:tcPr>
            <w:tcW w:w="1875" w:type="dxa"/>
          </w:tcPr>
          <w:p w14:paraId="64AAB58D" w14:textId="73AE988A" w:rsidR="00E276FD" w:rsidRPr="005F0FDB" w:rsidRDefault="00E276FD" w:rsidP="006462D1">
            <w:r w:rsidRPr="005F0FDB">
              <w:fldChar w:fldCharType="begin" w:fldLock="1"/>
            </w:r>
            <w:r w:rsidR="00E27392">
              <w:instrText>ADDIN CSL_CITATION { "citationItems" : [ { "id" : "ITEM-1", "itemData" : { "author" : [ { "dropping-particle" : "", "family" : "Hesler", "given" : "Nana", "non-dropping-particle" : "", "parse-names" : false, "suffix" : "" }, { "dropping-particle" : "", "family" : "Mundry", "given" : "Roger", "non-dropping-particle" : "", "parse-names" : false, "suffix" : "" }, { "dropping-particle" : "", "family" : "Dabelsteen", "given" : "Torben", "non-dropping-particle" : "", "parse-names" : false, "suffix" : "" } ], "container-title" : "Acta ethologica", "id" : "ITEM-1", "issue" : "2", "issued" : { "date-parts" : [ [ "2012" ] ] }, "page" : "203-210", "publisher" : "Springer", "title" : "Are there age-related differences in the song repertoire size of Eurasian blackbirds?", "type" : "article-journal", "volume" : "15" }, "uris" : [ "http://www.mendeley.com/documents/?uuid=c5e7c795-1a7c-4bcc-9b64-da43f8ce8359" ] } ], "mendeley" : { "formattedCitation" : "[41]", "plainTextFormattedCitation" : "[41]", "previouslyFormattedCitation" : "[38]" }, "properties" : { "noteIndex" : 0 }, "schema" : "https://github.com/citation-style-language/schema/raw/master/csl-citation.json" }</w:instrText>
            </w:r>
            <w:r w:rsidRPr="005F0FDB">
              <w:fldChar w:fldCharType="separate"/>
            </w:r>
            <w:r w:rsidR="00E27392" w:rsidRPr="00E27392">
              <w:rPr>
                <w:noProof/>
              </w:rPr>
              <w:t>[41]</w:t>
            </w:r>
            <w:r w:rsidRPr="005F0FDB">
              <w:fldChar w:fldCharType="end"/>
            </w:r>
          </w:p>
        </w:tc>
      </w:tr>
      <w:tr w:rsidR="00E276FD" w:rsidRPr="005F0FDB" w14:paraId="3CB4B9DE" w14:textId="77777777" w:rsidTr="00BF5EEF">
        <w:trPr>
          <w:trHeight w:val="300"/>
        </w:trPr>
        <w:tc>
          <w:tcPr>
            <w:tcW w:w="2925" w:type="dxa"/>
            <w:shd w:val="clear" w:color="auto" w:fill="auto"/>
            <w:noWrap/>
            <w:tcMar>
              <w:top w:w="15" w:type="dxa"/>
              <w:left w:w="15" w:type="dxa"/>
              <w:bottom w:w="0" w:type="dxa"/>
              <w:right w:w="15" w:type="dxa"/>
            </w:tcMar>
            <w:vAlign w:val="bottom"/>
          </w:tcPr>
          <w:p w14:paraId="2163402E" w14:textId="77777777" w:rsidR="00E276FD" w:rsidRPr="005F0FDB" w:rsidRDefault="00E276FD" w:rsidP="006462D1">
            <w:pPr>
              <w:rPr>
                <w:i/>
              </w:rPr>
            </w:pPr>
            <w:proofErr w:type="spellStart"/>
            <w:r w:rsidRPr="005F0FDB">
              <w:rPr>
                <w:i/>
              </w:rPr>
              <w:t>Zonotrichia</w:t>
            </w:r>
            <w:proofErr w:type="spellEnd"/>
            <w:r w:rsidRPr="005F0FDB">
              <w:rPr>
                <w:i/>
              </w:rPr>
              <w:t xml:space="preserve"> </w:t>
            </w:r>
            <w:proofErr w:type="spellStart"/>
            <w:r w:rsidRPr="005F0FDB">
              <w:rPr>
                <w:i/>
              </w:rPr>
              <w:t>albicollis</w:t>
            </w:r>
            <w:proofErr w:type="spellEnd"/>
          </w:p>
        </w:tc>
        <w:tc>
          <w:tcPr>
            <w:tcW w:w="1665" w:type="dxa"/>
            <w:shd w:val="clear" w:color="auto" w:fill="auto"/>
            <w:noWrap/>
            <w:tcMar>
              <w:top w:w="15" w:type="dxa"/>
              <w:left w:w="15" w:type="dxa"/>
              <w:bottom w:w="0" w:type="dxa"/>
              <w:right w:w="15" w:type="dxa"/>
            </w:tcMar>
            <w:vAlign w:val="bottom"/>
          </w:tcPr>
          <w:p w14:paraId="77A1F196" w14:textId="77777777" w:rsidR="00E276FD" w:rsidRPr="005F0FDB" w:rsidRDefault="00E276FD" w:rsidP="006462D1">
            <w:r w:rsidRPr="005F0FDB">
              <w:t>5</w:t>
            </w:r>
          </w:p>
        </w:tc>
        <w:tc>
          <w:tcPr>
            <w:tcW w:w="1165" w:type="dxa"/>
          </w:tcPr>
          <w:p w14:paraId="1ABDEF45" w14:textId="77777777" w:rsidR="00E276FD" w:rsidRPr="005F0FDB" w:rsidRDefault="00E276FD" w:rsidP="001F328E">
            <w:r w:rsidRPr="005F0FDB">
              <w:fldChar w:fldCharType="begin" w:fldLock="1"/>
            </w:r>
            <w:r w:rsidRPr="005F0FDB">
              <w:instrText>ADDIN CSL_CITATION { "citationItems" : [ { "id" : "ITEM-1", "itemData" : { "DOI" : "10.1073/pnas.1102077108", "ISSN" : "0027-8424", "PMID" : "21918109", "abstract" : "Behavioral specializations are frequently associated with expansions of the brain regions controlling them. This principle of proper mass spans sensory, motor, and cognitive abilities and has been observed in a wide variety of vertebrate species. Yet, it is unknown if this concept extrapolates to entire neural pathways or how selection on a behavioral capacity might otherwise shape circuit structure. We investigate these questions by comparing the songs and neuroanatomy of 49 species from 17 families of songbirds, which vary immensely in the number of unique song components they produce and possess a conserved neural network dedicated to this behavior. We find that syllable repertoire size is strongly related to the degree of song motor pathway convergence. Repertoire size is more accurately predicted by the number of neurons in higher motor areas relative to that in their downstream targets than by the overall number of neurons in the song motor pathway. Additionally, the convergence values along serial premotor and primary motor projections account for distinct portions of the behavioral variation. These findings suggest that selection on song has independently shaped different components of this hierarchical pathway, and they elucidate how changes in pathway structure could have underlain elaborations of this learned motor behavior.", "author" : [ { "dropping-particle" : "", "family" : "Moore", "given" : "J M", "non-dropping-particle" : "", "parse-names" : false, "suffix" : "" }, { "dropping-particle" : "", "family" : "Szekely", "given" : "Tamas", "non-dropping-particle" : "", "parse-names" : false, "suffix" : "" }, { "dropping-particle" : "", "family" : "Buki", "given" : "J", "non-dropping-particle" : "", "parse-names" : false, "suffix" : "" }, { "dropping-particle" : "", "family" : "DeVoogd", "given" : "T J", "non-dropping-particle" : "", "parse-names" : false, "suffix" : "" } ], "id" : "ITEM-1", "issued" : { "date-parts" : [ [ "2011" ] ] }, "title" : "Motor pathway convergence predicts syllable repertoire size in oscine birds", "type" : "article-journal" }, "uris" : [ "http://www.mendeley.com/documents/?uuid=5a812c07-5510-482e-b697-323acda9d7a8" ] } ], "mendeley" : { "formattedCitation" : "[1]", "plainTextFormattedCitation" : "[1]", "previouslyFormattedCitation" : "[1]" }, "properties" : { "noteIndex" : 0 }, "schema" : "https://github.com/citation-style-language/schema/raw/master/csl-citation.json" }</w:instrText>
            </w:r>
            <w:r w:rsidRPr="005F0FDB">
              <w:fldChar w:fldCharType="separate"/>
            </w:r>
            <w:r w:rsidRPr="005F0FDB">
              <w:rPr>
                <w:noProof/>
              </w:rPr>
              <w:t>[1]</w:t>
            </w:r>
            <w:r w:rsidRPr="005F0FDB">
              <w:fldChar w:fldCharType="end"/>
            </w:r>
          </w:p>
        </w:tc>
        <w:tc>
          <w:tcPr>
            <w:tcW w:w="1805" w:type="dxa"/>
            <w:shd w:val="clear" w:color="auto" w:fill="auto"/>
            <w:noWrap/>
            <w:tcMar>
              <w:top w:w="15" w:type="dxa"/>
              <w:left w:w="15" w:type="dxa"/>
              <w:bottom w:w="0" w:type="dxa"/>
              <w:right w:w="15" w:type="dxa"/>
            </w:tcMar>
            <w:vAlign w:val="bottom"/>
          </w:tcPr>
          <w:p w14:paraId="0390F393" w14:textId="77777777" w:rsidR="00E276FD" w:rsidRPr="005F0FDB" w:rsidRDefault="00E276FD" w:rsidP="001F328E">
            <w:r w:rsidRPr="005F0FDB">
              <w:t>Closed</w:t>
            </w:r>
          </w:p>
        </w:tc>
        <w:tc>
          <w:tcPr>
            <w:tcW w:w="1875" w:type="dxa"/>
          </w:tcPr>
          <w:p w14:paraId="6ADD0925" w14:textId="037478BF" w:rsidR="00E276FD" w:rsidRPr="005F0FDB" w:rsidRDefault="00E276FD" w:rsidP="006462D1">
            <w:r w:rsidRPr="005F0FDB">
              <w:fldChar w:fldCharType="begin" w:fldLock="1"/>
            </w:r>
            <w:r w:rsidR="00E27392">
              <w:instrText>ADDIN CSL_CITATION { "citationItems" : [ { "id" : "ITEM-1", "itemData" : { "author" : [ { "dropping-particle" : "", "family" : "Borror", "given" : "Donald J", "non-dropping-particle" : "", "parse-names" : false, "suffix" : "" }, { "dropping-particle" : "", "family" : "Gunn", "given" : "William W H", "non-dropping-particle" : "", "parse-names" : false, "suffix" : "" } ], "container-title" : "The Auk", "id" : "ITEM-1", "issued" : { "date-parts" : [ [ "1965" ] ] }, "page" : "26-47", "publisher" : "JSTOR", "title" : "Variation in white-throated sparrow songs", "type" : "article-journal" }, "uris" : [ "http://www.mendeley.com/documents/?uuid=8832d13a-3553-404f-89e1-0bbf336e63bf" ] } ], "mendeley" : { "formattedCitation" : "[42]", "plainTextFormattedCitation" : "[42]", "previouslyFormattedCitation" : "[39]" }, "properties" : { "noteIndex" : 0 }, "schema" : "https://github.com/citation-style-language/schema/raw/master/csl-citation.json" }</w:instrText>
            </w:r>
            <w:r w:rsidRPr="005F0FDB">
              <w:fldChar w:fldCharType="separate"/>
            </w:r>
            <w:r w:rsidR="00E27392" w:rsidRPr="00E27392">
              <w:rPr>
                <w:noProof/>
              </w:rPr>
              <w:t>[42]</w:t>
            </w:r>
            <w:r w:rsidRPr="005F0FDB">
              <w:fldChar w:fldCharType="end"/>
            </w:r>
          </w:p>
        </w:tc>
      </w:tr>
      <w:tr w:rsidR="00E276FD" w:rsidRPr="006462D1" w14:paraId="795BA4FD" w14:textId="77777777" w:rsidTr="00BF5EEF">
        <w:trPr>
          <w:trHeight w:val="300"/>
        </w:trPr>
        <w:tc>
          <w:tcPr>
            <w:tcW w:w="2925" w:type="dxa"/>
            <w:shd w:val="clear" w:color="auto" w:fill="auto"/>
            <w:noWrap/>
            <w:tcMar>
              <w:top w:w="15" w:type="dxa"/>
              <w:left w:w="15" w:type="dxa"/>
              <w:bottom w:w="0" w:type="dxa"/>
              <w:right w:w="15" w:type="dxa"/>
            </w:tcMar>
            <w:vAlign w:val="bottom"/>
          </w:tcPr>
          <w:p w14:paraId="7C4B4300" w14:textId="77777777" w:rsidR="00E276FD" w:rsidRPr="005F0FDB" w:rsidRDefault="00E276FD" w:rsidP="005F0FDB">
            <w:pPr>
              <w:rPr>
                <w:i/>
              </w:rPr>
            </w:pPr>
            <w:proofErr w:type="spellStart"/>
            <w:r w:rsidRPr="005F0FDB">
              <w:rPr>
                <w:i/>
              </w:rPr>
              <w:t>Zonotrichia</w:t>
            </w:r>
            <w:proofErr w:type="spellEnd"/>
            <w:r w:rsidRPr="005F0FDB">
              <w:rPr>
                <w:i/>
              </w:rPr>
              <w:t xml:space="preserve"> </w:t>
            </w:r>
            <w:proofErr w:type="spellStart"/>
            <w:r w:rsidRPr="005F0FDB">
              <w:rPr>
                <w:i/>
              </w:rPr>
              <w:t>leucophrys</w:t>
            </w:r>
            <w:proofErr w:type="spellEnd"/>
          </w:p>
        </w:tc>
        <w:tc>
          <w:tcPr>
            <w:tcW w:w="1665" w:type="dxa"/>
            <w:shd w:val="clear" w:color="auto" w:fill="auto"/>
            <w:noWrap/>
            <w:tcMar>
              <w:top w:w="15" w:type="dxa"/>
              <w:left w:w="15" w:type="dxa"/>
              <w:bottom w:w="0" w:type="dxa"/>
              <w:right w:w="15" w:type="dxa"/>
            </w:tcMar>
            <w:vAlign w:val="bottom"/>
          </w:tcPr>
          <w:p w14:paraId="6E565088" w14:textId="77777777" w:rsidR="00E276FD" w:rsidRPr="005F0FDB" w:rsidRDefault="00E276FD" w:rsidP="005F0FDB">
            <w:r w:rsidRPr="005F0FDB">
              <w:t>4</w:t>
            </w:r>
          </w:p>
        </w:tc>
        <w:tc>
          <w:tcPr>
            <w:tcW w:w="1165" w:type="dxa"/>
            <w:vAlign w:val="bottom"/>
          </w:tcPr>
          <w:p w14:paraId="005C633A" w14:textId="78769AAA" w:rsidR="00E276FD" w:rsidRPr="005F0FDB" w:rsidRDefault="00E276FD" w:rsidP="005F0FDB">
            <w:r w:rsidRPr="005F0FDB">
              <w:fldChar w:fldCharType="begin" w:fldLock="1"/>
            </w:r>
            <w:r w:rsidR="00E27392">
              <w:instrText>ADDIN CSL_CITATION { "citationItems" : [ { "id" : "ITEM-1", "itemData" : { "DOI" : "10.1126/science.146.3650.1483", "ISBN" : "00368075", "ISSN" : "0036-8075", "PMID" : "14208581", "abstract" : "Male white-crowned sparrows have song \"dialects,\" acquired in about the first 100 days of life by learning from older males. In the laboratory an alien white-crowned sparrow dialect can be taught. Once the song is established further acoustical experience does not change the pattern. White-crowned sparrows do not copy recorded songs of other sparrow species presented under similar conditions.", "author" : [ { "dropping-particle" : "", "family" : "Marler", "given" : "P", "non-dropping-particle" : "", "parse-names" : false, "suffix" : "" }, { "dropping-particle" : "", "family" : "Tamura", "given" : "M", "non-dropping-particle" : "", "parse-names" : false, "suffix" : "" } ], "container-title" : "Science (New York, N.Y.)", "id" : "ITEM-1", "issued" : { "date-parts" : [ [ "1964" ] ] }, "page" : "1483-1486", "title" : "Culturally Transmitted Patterns of Vocal Behavior in Sparrows.", "type" : "article-journal", "volume" : "146" }, "uris" : [ "http://www.mendeley.com/documents/?uuid=c4600a02-9842-4416-bb61-316937db41a5" ] } ], "mendeley" : { "formattedCitation" : "[43]", "plainTextFormattedCitation" : "[43]", "previouslyFormattedCitation" : "[40]" }, "properties" : { "noteIndex" : 0 }, "schema" : "https://github.com/citation-style-language/schema/raw/master/csl-citation.json" }</w:instrText>
            </w:r>
            <w:r w:rsidRPr="005F0FDB">
              <w:fldChar w:fldCharType="separate"/>
            </w:r>
            <w:r w:rsidR="00E27392" w:rsidRPr="00E27392">
              <w:rPr>
                <w:noProof/>
              </w:rPr>
              <w:t>[43]</w:t>
            </w:r>
            <w:r w:rsidRPr="005F0FDB">
              <w:fldChar w:fldCharType="end"/>
            </w:r>
          </w:p>
        </w:tc>
        <w:tc>
          <w:tcPr>
            <w:tcW w:w="1805" w:type="dxa"/>
            <w:shd w:val="clear" w:color="auto" w:fill="auto"/>
            <w:noWrap/>
            <w:tcMar>
              <w:top w:w="15" w:type="dxa"/>
              <w:left w:w="15" w:type="dxa"/>
              <w:bottom w:w="0" w:type="dxa"/>
              <w:right w:w="15" w:type="dxa"/>
            </w:tcMar>
            <w:vAlign w:val="bottom"/>
          </w:tcPr>
          <w:p w14:paraId="7357583F" w14:textId="77777777" w:rsidR="00E276FD" w:rsidRPr="005F0FDB" w:rsidRDefault="00E276FD" w:rsidP="005F0FDB">
            <w:r w:rsidRPr="005F0FDB">
              <w:t>Closed (</w:t>
            </w:r>
            <w:r w:rsidRPr="00DD2837">
              <w:t>delayed in migratory subspecies)</w:t>
            </w:r>
            <w:r w:rsidRPr="005F0FDB">
              <w:t xml:space="preserve"> </w:t>
            </w:r>
          </w:p>
        </w:tc>
        <w:tc>
          <w:tcPr>
            <w:tcW w:w="1875" w:type="dxa"/>
            <w:vAlign w:val="bottom"/>
          </w:tcPr>
          <w:p w14:paraId="78E16138" w14:textId="5C9F6B30" w:rsidR="00E276FD" w:rsidRPr="005F0FDB" w:rsidRDefault="00E276FD" w:rsidP="005F0FDB">
            <w:r w:rsidRPr="005F0FDB">
              <w:fldChar w:fldCharType="begin" w:fldLock="1"/>
            </w:r>
            <w:r w:rsidR="00E27392">
              <w:instrText>ADDIN CSL_CITATION { "citationItems" : [ { "id" : "ITEM-1", "itemData" : { "DOI" : "10.1006/anbe.1996.0114", "ISBN" : "0003-3472", "ISSN" : "00033472", "PMID" : "700", "abstract" : "Many songbirds overproduce songs during development and shrink the repertoire at the time of adult crystallization. The amount of overproduction varies between species. The hypothesis was tested that overproduction of learned songs during ontogeny is correlated with a migratory annual cycle. It is argued that in migrants, overproduction permits song matching between territory neighbours when song memorization is restricted to an early sensitive phase and young males subsequently disperse relatively long distances to their first breeding territory. Song development was compared in the sedentary Nuttall\u2019s white-crowned sparrow, Zonotrichia leucophrys nuttalli, and two migratory taxa, the Puget Sound white-crowned sparrow, Z. l. pugetensis, and the mountain white-crowned sparrow, Z. l. oriantha. Although the Puget Sound and Nuttall\u2019s white-crowned sparrows are sister taxa, male Puget Sound sparrows more closely resembled the more distantly related, but migratory, mountain white-crowned sparrow on every measure of song development studied. It is concluded that a migratory annual cycle is a better explanation of diversity in vocal development in this species than recency of common ancestry.", "author" : [ { "dropping-particle" : "", "family" : "Nelson", "given" : "Douglas a", "non-dropping-particle" : "", "parse-names" : false, "suffix" : "" }, { "dropping-particle" : "", "family" : "Marler", "given" : "Peter", "non-dropping-particle" : "", "parse-names" : false, "suffix" : "" }, { "dropping-particle" : "", "family" : "Morton", "given" : "Martin L", "non-dropping-particle" : "", "parse-names" : false, "suffix" : "" } ], "container-title" : "Animal behaviour", "id" : "ITEM-1", "issue" : "Blanchard 1941", "issued" : { "date-parts" : [ [ "1996" ] ] }, "page" : "1127-1140", "title" : "Overproduction in song development: an evolutionary correlate with migration", "type" : "article-journal", "volume" : "51" }, "uris" : [ "http://www.mendeley.com/documents/?uuid=e0d4bf5f-7dc8-4961-89b6-50065a879f1f" ] } ], "mendeley" : { "formattedCitation" : "[44]", "plainTextFormattedCitation" : "[44]", "previouslyFormattedCitation" : "[41]" }, "properties" : { "noteIndex" : 0 }, "schema" : "https://github.com/citation-style-language/schema/raw/master/csl-citation.json" }</w:instrText>
            </w:r>
            <w:r w:rsidRPr="005F0FDB">
              <w:fldChar w:fldCharType="separate"/>
            </w:r>
            <w:r w:rsidR="00E27392" w:rsidRPr="00E27392">
              <w:rPr>
                <w:noProof/>
              </w:rPr>
              <w:t>[44]</w:t>
            </w:r>
            <w:r w:rsidRPr="005F0FDB">
              <w:fldChar w:fldCharType="end"/>
            </w:r>
          </w:p>
        </w:tc>
      </w:tr>
    </w:tbl>
    <w:p w14:paraId="50A554D9" w14:textId="77777777" w:rsidR="00A85010" w:rsidRDefault="00A85010"/>
    <w:p w14:paraId="71B4EB6F" w14:textId="791A10A9" w:rsidR="006F2285" w:rsidRPr="005E6B75" w:rsidRDefault="005E6B75">
      <w:pPr>
        <w:rPr>
          <w:smallCaps/>
        </w:rPr>
      </w:pPr>
      <w:r w:rsidRPr="005E6B75">
        <w:rPr>
          <w:smallCaps/>
        </w:rPr>
        <w:t>References</w:t>
      </w:r>
    </w:p>
    <w:p w14:paraId="00CA992D" w14:textId="34A122C3" w:rsidR="00E27392" w:rsidRPr="00E27392" w:rsidRDefault="007207CF">
      <w:pPr>
        <w:pStyle w:val="NormalWeb"/>
        <w:ind w:left="640" w:hanging="640"/>
        <w:divId w:val="1793010608"/>
        <w:rPr>
          <w:rFonts w:ascii="Times New Roman" w:hAnsi="Times New Roman"/>
          <w:noProof/>
          <w:sz w:val="24"/>
        </w:rPr>
      </w:pPr>
      <w:r>
        <w:rPr>
          <w:smallCaps/>
        </w:rPr>
        <w:fldChar w:fldCharType="begin" w:fldLock="1"/>
      </w:r>
      <w:r w:rsidRPr="005E6B75">
        <w:rPr>
          <w:smallCaps/>
        </w:rPr>
        <w:instrText xml:space="preserve">ADDIN Mendeley Bibliography CSL_BIBLIOGRAPHY </w:instrText>
      </w:r>
      <w:r>
        <w:rPr>
          <w:smallCaps/>
        </w:rPr>
        <w:fldChar w:fldCharType="separate"/>
      </w:r>
      <w:r w:rsidR="00E27392" w:rsidRPr="00E27392">
        <w:rPr>
          <w:rFonts w:ascii="Times New Roman" w:hAnsi="Times New Roman"/>
          <w:noProof/>
          <w:sz w:val="24"/>
        </w:rPr>
        <w:t>[1]</w:t>
      </w:r>
      <w:r w:rsidR="00E27392" w:rsidRPr="00E27392">
        <w:rPr>
          <w:rFonts w:ascii="Times New Roman" w:hAnsi="Times New Roman"/>
          <w:noProof/>
          <w:sz w:val="24"/>
        </w:rPr>
        <w:tab/>
        <w:t>J. M. Moore, T. Szekely, J. Buki, and T. J. DeVoogd, “Motor pathway convergence predicts syllable repertoire size in oscine birds,” 2011.</w:t>
      </w:r>
    </w:p>
    <w:p w14:paraId="7763015A" w14:textId="5B6A0DA6"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[2]</w:t>
      </w:r>
      <w:r w:rsidRPr="00E27392">
        <w:rPr>
          <w:rFonts w:ascii="Times New Roman" w:hAnsi="Times New Roman"/>
          <w:noProof/>
          <w:sz w:val="24"/>
        </w:rPr>
        <w:tab/>
        <w:t xml:space="preserve">J. S. Nicholson, K. L. Buchanan, R. C. Marshall, and C. K. Catchpole, “Song sharing and repertoire size in the sedge warbler, Acrocephalus schoenobaenus: changes within and between years,” </w:t>
      </w:r>
      <w:r w:rsidRPr="00E27392">
        <w:rPr>
          <w:rFonts w:ascii="Times New Roman" w:hAnsi="Times New Roman"/>
          <w:i/>
          <w:iCs/>
          <w:noProof/>
          <w:sz w:val="24"/>
        </w:rPr>
        <w:t>Anim. Behav.</w:t>
      </w:r>
      <w:r w:rsidR="0018073D">
        <w:rPr>
          <w:rFonts w:ascii="Times New Roman" w:hAnsi="Times New Roman"/>
          <w:noProof/>
          <w:sz w:val="24"/>
        </w:rPr>
        <w:t>, vol. 74</w:t>
      </w:r>
      <w:r w:rsidRPr="00E27392">
        <w:rPr>
          <w:rFonts w:ascii="Times New Roman" w:hAnsi="Times New Roman"/>
          <w:noProof/>
          <w:sz w:val="24"/>
        </w:rPr>
        <w:t>, pp. 1585–1592, 2007.</w:t>
      </w:r>
    </w:p>
    <w:p w14:paraId="2C37C7C5" w14:textId="2A15001D"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[3]</w:t>
      </w:r>
      <w:r w:rsidRPr="00E27392">
        <w:rPr>
          <w:rFonts w:ascii="Times New Roman" w:hAnsi="Times New Roman"/>
          <w:noProof/>
          <w:sz w:val="24"/>
        </w:rPr>
        <w:tab/>
        <w:t>R. E. Lemon, “</w:t>
      </w:r>
      <w:r w:rsidR="0018073D">
        <w:rPr>
          <w:rFonts w:ascii="Times New Roman" w:hAnsi="Times New Roman"/>
          <w:noProof/>
          <w:sz w:val="24"/>
        </w:rPr>
        <w:t>G</w:t>
      </w:r>
      <w:r w:rsidR="0018073D" w:rsidRPr="00E27392">
        <w:rPr>
          <w:rFonts w:ascii="Times New Roman" w:hAnsi="Times New Roman"/>
          <w:noProof/>
          <w:sz w:val="24"/>
        </w:rPr>
        <w:t>eographic variation in the song of cardinals</w:t>
      </w:r>
      <w:r w:rsidRPr="00E27392">
        <w:rPr>
          <w:rFonts w:ascii="Times New Roman" w:hAnsi="Times New Roman"/>
          <w:noProof/>
          <w:sz w:val="24"/>
        </w:rPr>
        <w:t xml:space="preserve">,” </w:t>
      </w:r>
      <w:r w:rsidRPr="00E27392">
        <w:rPr>
          <w:rFonts w:ascii="Times New Roman" w:hAnsi="Times New Roman"/>
          <w:i/>
          <w:iCs/>
          <w:noProof/>
          <w:sz w:val="24"/>
        </w:rPr>
        <w:t>Can. J. Zool.</w:t>
      </w:r>
      <w:r w:rsidRPr="00E27392">
        <w:rPr>
          <w:rFonts w:ascii="Times New Roman" w:hAnsi="Times New Roman"/>
          <w:noProof/>
          <w:sz w:val="24"/>
        </w:rPr>
        <w:t>, vol. 44, no. 3, pp. 413–428, 1966.</w:t>
      </w:r>
    </w:p>
    <w:p w14:paraId="72F78922" w14:textId="35090F1F"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[4]</w:t>
      </w:r>
      <w:r w:rsidRPr="00E27392">
        <w:rPr>
          <w:rFonts w:ascii="Times New Roman" w:hAnsi="Times New Roman"/>
          <w:noProof/>
          <w:sz w:val="24"/>
        </w:rPr>
        <w:tab/>
        <w:t xml:space="preserve">L. F. Baptista and R. B. Johnson, “Song variation in insular and mainland California brown creepers (Certhia familiaris),” </w:t>
      </w:r>
      <w:r w:rsidR="0018073D">
        <w:rPr>
          <w:rFonts w:ascii="Times New Roman" w:hAnsi="Times New Roman"/>
          <w:i/>
          <w:iCs/>
          <w:noProof/>
          <w:sz w:val="24"/>
        </w:rPr>
        <w:t>J. fü</w:t>
      </w:r>
      <w:r w:rsidRPr="00E27392">
        <w:rPr>
          <w:rFonts w:ascii="Times New Roman" w:hAnsi="Times New Roman"/>
          <w:i/>
          <w:iCs/>
          <w:noProof/>
          <w:sz w:val="24"/>
        </w:rPr>
        <w:t>r Ornithol.</w:t>
      </w:r>
      <w:r w:rsidRPr="00E27392">
        <w:rPr>
          <w:rFonts w:ascii="Times New Roman" w:hAnsi="Times New Roman"/>
          <w:noProof/>
          <w:sz w:val="24"/>
        </w:rPr>
        <w:t>, vol. 123, no. 2, pp. 131–144, 1982.</w:t>
      </w:r>
    </w:p>
    <w:p w14:paraId="1D54E2E0"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[5]</w:t>
      </w:r>
      <w:r w:rsidRPr="00E27392">
        <w:rPr>
          <w:rFonts w:ascii="Times New Roman" w:hAnsi="Times New Roman"/>
          <w:noProof/>
          <w:sz w:val="24"/>
        </w:rPr>
        <w:tab/>
        <w:t xml:space="preserve">G. Thielcke, “Lernen von Gesang als möglicher Schrittmacher der Evolution,” </w:t>
      </w:r>
      <w:r w:rsidRPr="00E27392">
        <w:rPr>
          <w:rFonts w:ascii="Times New Roman" w:hAnsi="Times New Roman"/>
          <w:i/>
          <w:iCs/>
          <w:noProof/>
          <w:sz w:val="24"/>
        </w:rPr>
        <w:t>J. Zool. Syst. Evol. Res.</w:t>
      </w:r>
      <w:r w:rsidRPr="00E27392">
        <w:rPr>
          <w:rFonts w:ascii="Times New Roman" w:hAnsi="Times New Roman"/>
          <w:noProof/>
          <w:sz w:val="24"/>
        </w:rPr>
        <w:t>, vol. 8, no. 1, pp. 309–320, 1970.</w:t>
      </w:r>
    </w:p>
    <w:p w14:paraId="5C907939"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[6]</w:t>
      </w:r>
      <w:r w:rsidRPr="00E27392">
        <w:rPr>
          <w:rFonts w:ascii="Times New Roman" w:hAnsi="Times New Roman"/>
          <w:noProof/>
          <w:sz w:val="24"/>
        </w:rPr>
        <w:tab/>
        <w:t xml:space="preserve">L. E. Fletcher and D. G. Smith, “Some parameters of song important in conspecific recognition  by Gray Catbirds,” </w:t>
      </w:r>
      <w:r w:rsidRPr="00E27392">
        <w:rPr>
          <w:rFonts w:ascii="Times New Roman" w:hAnsi="Times New Roman"/>
          <w:i/>
          <w:iCs/>
          <w:noProof/>
          <w:sz w:val="24"/>
        </w:rPr>
        <w:t>Auk</w:t>
      </w:r>
      <w:r w:rsidRPr="00E27392">
        <w:rPr>
          <w:rFonts w:ascii="Times New Roman" w:hAnsi="Times New Roman"/>
          <w:noProof/>
          <w:sz w:val="24"/>
        </w:rPr>
        <w:t>, vol. 95, no. April, pp. 338–347, 1978.</w:t>
      </w:r>
    </w:p>
    <w:p w14:paraId="2D877559"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[7]</w:t>
      </w:r>
      <w:r w:rsidRPr="00E27392">
        <w:rPr>
          <w:rFonts w:ascii="Times New Roman" w:hAnsi="Times New Roman"/>
          <w:noProof/>
          <w:sz w:val="24"/>
        </w:rPr>
        <w:tab/>
        <w:t xml:space="preserve">A. Eriksen, T. Slagsvold, and H. M. Lampe, “Vocal Plasticity - are Pied Flycatchers, Ficedula Hypoleuca, Open-Ended Learners?,” </w:t>
      </w:r>
      <w:r w:rsidRPr="00E27392">
        <w:rPr>
          <w:rFonts w:ascii="Times New Roman" w:hAnsi="Times New Roman"/>
          <w:i/>
          <w:iCs/>
          <w:noProof/>
          <w:sz w:val="24"/>
        </w:rPr>
        <w:t>Ethology</w:t>
      </w:r>
      <w:r w:rsidRPr="00E27392">
        <w:rPr>
          <w:rFonts w:ascii="Times New Roman" w:hAnsi="Times New Roman"/>
          <w:noProof/>
          <w:sz w:val="24"/>
        </w:rPr>
        <w:t>, vol. 117, pp. 188–198, 2011.</w:t>
      </w:r>
    </w:p>
    <w:p w14:paraId="40AD918D"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[8]</w:t>
      </w:r>
      <w:r w:rsidRPr="00E27392">
        <w:rPr>
          <w:rFonts w:ascii="Times New Roman" w:hAnsi="Times New Roman"/>
          <w:noProof/>
          <w:sz w:val="24"/>
        </w:rPr>
        <w:tab/>
        <w:t xml:space="preserve">W. H. Thorpe, “The learning of song patterns by birds, with especial reference to the song of the chaffinch Fringilla coelebs,” </w:t>
      </w:r>
      <w:r w:rsidRPr="00E27392">
        <w:rPr>
          <w:rFonts w:ascii="Times New Roman" w:hAnsi="Times New Roman"/>
          <w:i/>
          <w:iCs/>
          <w:noProof/>
          <w:sz w:val="24"/>
        </w:rPr>
        <w:t>Ibis (Lond. 1859).</w:t>
      </w:r>
      <w:r w:rsidRPr="00E27392">
        <w:rPr>
          <w:rFonts w:ascii="Times New Roman" w:hAnsi="Times New Roman"/>
          <w:noProof/>
          <w:sz w:val="24"/>
        </w:rPr>
        <w:t>, vol. 100, no. 4, pp. 535–570, 1958.</w:t>
      </w:r>
    </w:p>
    <w:p w14:paraId="5DB5AD3B"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[9]</w:t>
      </w:r>
      <w:r w:rsidRPr="00E27392">
        <w:rPr>
          <w:rFonts w:ascii="Times New Roman" w:hAnsi="Times New Roman"/>
          <w:noProof/>
          <w:sz w:val="24"/>
        </w:rPr>
        <w:tab/>
        <w:t xml:space="preserve">D. J. Borror, “Songs of the Yellowthroat,” </w:t>
      </w:r>
      <w:r w:rsidRPr="00E27392">
        <w:rPr>
          <w:rFonts w:ascii="Times New Roman" w:hAnsi="Times New Roman"/>
          <w:i/>
          <w:iCs/>
          <w:noProof/>
          <w:sz w:val="24"/>
        </w:rPr>
        <w:t>Living Bird</w:t>
      </w:r>
      <w:r w:rsidRPr="00E27392">
        <w:rPr>
          <w:rFonts w:ascii="Times New Roman" w:hAnsi="Times New Roman"/>
          <w:noProof/>
          <w:sz w:val="24"/>
        </w:rPr>
        <w:t>, vol. 6, pp. 141–161, 1967.</w:t>
      </w:r>
    </w:p>
    <w:p w14:paraId="1DC39690"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[10]</w:t>
      </w:r>
      <w:r w:rsidRPr="00E27392">
        <w:rPr>
          <w:rFonts w:ascii="Times New Roman" w:hAnsi="Times New Roman"/>
          <w:noProof/>
          <w:sz w:val="24"/>
        </w:rPr>
        <w:tab/>
        <w:t xml:space="preserve">L. Z. Garamszegi, D. Heylen, A. P. Møller, M. Eens, and F. De Lope, “Age-dependent health status and song characteristics in the barn swallow,” </w:t>
      </w:r>
      <w:r w:rsidRPr="00E27392">
        <w:rPr>
          <w:rFonts w:ascii="Times New Roman" w:hAnsi="Times New Roman"/>
          <w:i/>
          <w:iCs/>
          <w:noProof/>
          <w:sz w:val="24"/>
        </w:rPr>
        <w:t>Behav. Ecol.</w:t>
      </w:r>
      <w:r w:rsidRPr="00E27392">
        <w:rPr>
          <w:rFonts w:ascii="Times New Roman" w:hAnsi="Times New Roman"/>
          <w:noProof/>
          <w:sz w:val="24"/>
        </w:rPr>
        <w:t>, vol. 16, no. February, pp. 580–591, 2005.</w:t>
      </w:r>
    </w:p>
    <w:p w14:paraId="7373DBE4"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[11]</w:t>
      </w:r>
      <w:r w:rsidRPr="00E27392">
        <w:rPr>
          <w:rFonts w:ascii="Times New Roman" w:hAnsi="Times New Roman"/>
          <w:noProof/>
          <w:sz w:val="24"/>
        </w:rPr>
        <w:tab/>
        <w:t xml:space="preserve">R. C. Titus, E. D. Ketterson, and V. Nolan, “High testosterone prior to song crystallization inhibits singing behavior in captive yearling dark-eyed juncos (Junco hyemalis).,” </w:t>
      </w:r>
      <w:r w:rsidRPr="00E27392">
        <w:rPr>
          <w:rFonts w:ascii="Times New Roman" w:hAnsi="Times New Roman"/>
          <w:i/>
          <w:iCs/>
          <w:noProof/>
          <w:sz w:val="24"/>
        </w:rPr>
        <w:t>Horm. Behav.</w:t>
      </w:r>
      <w:r w:rsidRPr="00E27392">
        <w:rPr>
          <w:rFonts w:ascii="Times New Roman" w:hAnsi="Times New Roman"/>
          <w:noProof/>
          <w:sz w:val="24"/>
        </w:rPr>
        <w:t>, vol. 32, pp. 133–140, 1997.</w:t>
      </w:r>
    </w:p>
    <w:p w14:paraId="3EC7A1E7"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[12]</w:t>
      </w:r>
      <w:r w:rsidRPr="00E27392">
        <w:rPr>
          <w:rFonts w:ascii="Times New Roman" w:hAnsi="Times New Roman"/>
          <w:noProof/>
          <w:sz w:val="24"/>
        </w:rPr>
        <w:tab/>
        <w:t xml:space="preserve">P. Becker, “Song of the grasshopper warbler Locustella naevia in acoustic isolation,” </w:t>
      </w:r>
      <w:r w:rsidRPr="00E27392">
        <w:rPr>
          <w:rFonts w:ascii="Times New Roman" w:hAnsi="Times New Roman"/>
          <w:i/>
          <w:iCs/>
          <w:noProof/>
          <w:sz w:val="24"/>
        </w:rPr>
        <w:t>Vogelwarte</w:t>
      </w:r>
      <w:r w:rsidRPr="00E27392">
        <w:rPr>
          <w:rFonts w:ascii="Times New Roman" w:hAnsi="Times New Roman"/>
          <w:noProof/>
          <w:sz w:val="24"/>
        </w:rPr>
        <w:t>, vol. 35, pp. 257–267, 1990.</w:t>
      </w:r>
    </w:p>
    <w:p w14:paraId="0B9B004D"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[13]</w:t>
      </w:r>
      <w:r w:rsidRPr="00E27392">
        <w:rPr>
          <w:rFonts w:ascii="Times New Roman" w:hAnsi="Times New Roman"/>
          <w:noProof/>
          <w:sz w:val="24"/>
        </w:rPr>
        <w:tab/>
        <w:t xml:space="preserve">N. Ota and M. Soma, “Age-dependent song changes in a closed-ended vocal learner: Elevation of song performance after song crystallization,” </w:t>
      </w:r>
      <w:r w:rsidRPr="00E27392">
        <w:rPr>
          <w:rFonts w:ascii="Times New Roman" w:hAnsi="Times New Roman"/>
          <w:i/>
          <w:iCs/>
          <w:noProof/>
          <w:sz w:val="24"/>
        </w:rPr>
        <w:t>J. Avian Biol.</w:t>
      </w:r>
      <w:r w:rsidRPr="00E27392">
        <w:rPr>
          <w:rFonts w:ascii="Times New Roman" w:hAnsi="Times New Roman"/>
          <w:noProof/>
          <w:sz w:val="24"/>
        </w:rPr>
        <w:t>, no. April, pp. 566–573, 2014.</w:t>
      </w:r>
    </w:p>
    <w:p w14:paraId="5467343B"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[14]</w:t>
      </w:r>
      <w:r w:rsidRPr="00E27392">
        <w:rPr>
          <w:rFonts w:ascii="Times New Roman" w:hAnsi="Times New Roman"/>
          <w:noProof/>
          <w:sz w:val="24"/>
        </w:rPr>
        <w:tab/>
        <w:t xml:space="preserve">N. S. Clayton, “Song learning in Bengalese finches: a comparison with zebra finches,” </w:t>
      </w:r>
      <w:r w:rsidRPr="00E27392">
        <w:rPr>
          <w:rFonts w:ascii="Times New Roman" w:hAnsi="Times New Roman"/>
          <w:i/>
          <w:iCs/>
          <w:noProof/>
          <w:sz w:val="24"/>
        </w:rPr>
        <w:t>Ethology</w:t>
      </w:r>
      <w:r w:rsidRPr="00E27392">
        <w:rPr>
          <w:rFonts w:ascii="Times New Roman" w:hAnsi="Times New Roman"/>
          <w:noProof/>
          <w:sz w:val="24"/>
        </w:rPr>
        <w:t>, vol. 76, no. 3, pp. 247–255, 1987.</w:t>
      </w:r>
    </w:p>
    <w:p w14:paraId="164BA65C"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[15]</w:t>
      </w:r>
      <w:r w:rsidRPr="00E27392">
        <w:rPr>
          <w:rFonts w:ascii="Times New Roman" w:hAnsi="Times New Roman"/>
          <w:noProof/>
          <w:sz w:val="24"/>
        </w:rPr>
        <w:tab/>
        <w:t xml:space="preserve">S. Kiefer, A. Spiess, S. Kipper, R. Mundry, C. Sommer, H. Hultsch, and D. Todt, “First-year common nightingales (Luscinia megarhynchos) have smaller song-type repertoire sizes than older males,” </w:t>
      </w:r>
      <w:r w:rsidRPr="00E27392">
        <w:rPr>
          <w:rFonts w:ascii="Times New Roman" w:hAnsi="Times New Roman"/>
          <w:i/>
          <w:iCs/>
          <w:noProof/>
          <w:sz w:val="24"/>
        </w:rPr>
        <w:t>Ethology</w:t>
      </w:r>
      <w:r w:rsidRPr="00E27392">
        <w:rPr>
          <w:rFonts w:ascii="Times New Roman" w:hAnsi="Times New Roman"/>
          <w:noProof/>
          <w:sz w:val="24"/>
        </w:rPr>
        <w:t>, vol. 112, pp. 1217–1224, 2006.</w:t>
      </w:r>
    </w:p>
    <w:p w14:paraId="6F39D29D"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[16]</w:t>
      </w:r>
      <w:r w:rsidRPr="00E27392">
        <w:rPr>
          <w:rFonts w:ascii="Times New Roman" w:hAnsi="Times New Roman"/>
          <w:noProof/>
          <w:sz w:val="24"/>
        </w:rPr>
        <w:tab/>
        <w:t xml:space="preserve">P. Marler and S. Peters, “Structural changes in song ontogeny in the swamp sparrow Melospiza georgiana,” </w:t>
      </w:r>
      <w:r w:rsidRPr="00E27392">
        <w:rPr>
          <w:rFonts w:ascii="Times New Roman" w:hAnsi="Times New Roman"/>
          <w:i/>
          <w:iCs/>
          <w:noProof/>
          <w:sz w:val="24"/>
        </w:rPr>
        <w:t>Auk</w:t>
      </w:r>
      <w:r w:rsidRPr="00E27392">
        <w:rPr>
          <w:rFonts w:ascii="Times New Roman" w:hAnsi="Times New Roman"/>
          <w:noProof/>
          <w:sz w:val="24"/>
        </w:rPr>
        <w:t>, vol. 99, no. July, pp. 446–458, 1982.</w:t>
      </w:r>
    </w:p>
    <w:p w14:paraId="1851BDE9"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[17]</w:t>
      </w:r>
      <w:r w:rsidRPr="00E27392">
        <w:rPr>
          <w:rFonts w:ascii="Times New Roman" w:hAnsi="Times New Roman"/>
          <w:noProof/>
          <w:sz w:val="24"/>
        </w:rPr>
        <w:tab/>
        <w:t xml:space="preserve">J. C. Nordby, S. E. Campbell, and M. D. Beecher, “Adult song sparrows do not alter their song repertoires,” </w:t>
      </w:r>
      <w:r w:rsidRPr="00E27392">
        <w:rPr>
          <w:rFonts w:ascii="Times New Roman" w:hAnsi="Times New Roman"/>
          <w:i/>
          <w:iCs/>
          <w:noProof/>
          <w:sz w:val="24"/>
        </w:rPr>
        <w:t>Ethology</w:t>
      </w:r>
      <w:r w:rsidRPr="00E27392">
        <w:rPr>
          <w:rFonts w:ascii="Times New Roman" w:hAnsi="Times New Roman"/>
          <w:noProof/>
          <w:sz w:val="24"/>
        </w:rPr>
        <w:t>, vol. 108, pp. 39–50, 2002.</w:t>
      </w:r>
    </w:p>
    <w:p w14:paraId="12EF4447"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[18]</w:t>
      </w:r>
      <w:r w:rsidRPr="00E27392">
        <w:rPr>
          <w:rFonts w:ascii="Times New Roman" w:hAnsi="Times New Roman"/>
          <w:noProof/>
          <w:sz w:val="24"/>
        </w:rPr>
        <w:tab/>
        <w:t xml:space="preserve">R. D. Howard, “The Influence of Sexual Selection and Interspecific Competition on Mockingbird Song (Mimus polyglottos),” </w:t>
      </w:r>
      <w:r w:rsidRPr="00E27392">
        <w:rPr>
          <w:rFonts w:ascii="Times New Roman" w:hAnsi="Times New Roman"/>
          <w:i/>
          <w:iCs/>
          <w:noProof/>
          <w:sz w:val="24"/>
        </w:rPr>
        <w:t>Evolution (N. Y).</w:t>
      </w:r>
      <w:r w:rsidRPr="00E27392">
        <w:rPr>
          <w:rFonts w:ascii="Times New Roman" w:hAnsi="Times New Roman"/>
          <w:noProof/>
          <w:sz w:val="24"/>
        </w:rPr>
        <w:t>, vol. 28, no. 3, pp. 428–438, 1974.</w:t>
      </w:r>
    </w:p>
    <w:p w14:paraId="001B06DA" w14:textId="3F946FCC"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[19]</w:t>
      </w:r>
      <w:r w:rsidRPr="00E27392">
        <w:rPr>
          <w:rFonts w:ascii="Times New Roman" w:hAnsi="Times New Roman"/>
          <w:noProof/>
          <w:sz w:val="24"/>
        </w:rPr>
        <w:tab/>
      </w:r>
      <w:r w:rsidR="00D97F78">
        <w:rPr>
          <w:rFonts w:ascii="Times New Roman" w:hAnsi="Times New Roman"/>
          <w:noProof/>
          <w:sz w:val="24"/>
        </w:rPr>
        <w:t>A.</w:t>
      </w:r>
      <w:r w:rsidRPr="00E27392">
        <w:rPr>
          <w:rFonts w:ascii="Times New Roman" w:hAnsi="Times New Roman"/>
          <w:noProof/>
          <w:sz w:val="24"/>
        </w:rPr>
        <w:t xml:space="preserve"> L. O’Loghlen and S. I. Rothstein, “Ecological effects on song learning: delayed development is widespread in wild populations of brown-headed cowbirds,” </w:t>
      </w:r>
      <w:r w:rsidRPr="00E27392">
        <w:rPr>
          <w:rFonts w:ascii="Times New Roman" w:hAnsi="Times New Roman"/>
          <w:i/>
          <w:iCs/>
          <w:noProof/>
          <w:sz w:val="24"/>
        </w:rPr>
        <w:t>Anim. Behav.</w:t>
      </w:r>
      <w:r w:rsidR="0018073D">
        <w:rPr>
          <w:rFonts w:ascii="Times New Roman" w:hAnsi="Times New Roman"/>
          <w:noProof/>
          <w:sz w:val="24"/>
        </w:rPr>
        <w:t>, vol. 63</w:t>
      </w:r>
      <w:bookmarkStart w:id="0" w:name="_GoBack"/>
      <w:bookmarkEnd w:id="0"/>
      <w:r w:rsidRPr="00E27392">
        <w:rPr>
          <w:rFonts w:ascii="Times New Roman" w:hAnsi="Times New Roman"/>
          <w:noProof/>
          <w:sz w:val="24"/>
        </w:rPr>
        <w:t>, pp. 475–486, 2002.</w:t>
      </w:r>
    </w:p>
    <w:p w14:paraId="27E28F5F"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[20]</w:t>
      </w:r>
      <w:r w:rsidRPr="00E27392">
        <w:rPr>
          <w:rFonts w:ascii="Times New Roman" w:hAnsi="Times New Roman"/>
          <w:noProof/>
          <w:sz w:val="24"/>
        </w:rPr>
        <w:tab/>
        <w:t xml:space="preserve">H. F. Rivera-Gutierrez, R. Pinxten, and M. Eens, “Difficulties when assessing birdsong learning programmes under field conditions: A re-evaluation of song repertoire flexibility in the great tit,” </w:t>
      </w:r>
      <w:r w:rsidRPr="00E27392">
        <w:rPr>
          <w:rFonts w:ascii="Times New Roman" w:hAnsi="Times New Roman"/>
          <w:i/>
          <w:iCs/>
          <w:noProof/>
          <w:sz w:val="24"/>
        </w:rPr>
        <w:t>PLoS One</w:t>
      </w:r>
      <w:r w:rsidRPr="00E27392">
        <w:rPr>
          <w:rFonts w:ascii="Times New Roman" w:hAnsi="Times New Roman"/>
          <w:noProof/>
          <w:sz w:val="24"/>
        </w:rPr>
        <w:t>, vol. 6, no. 1, pp. 1–8, 2011.</w:t>
      </w:r>
    </w:p>
    <w:p w14:paraId="39A2EF81"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[21]</w:t>
      </w:r>
      <w:r w:rsidRPr="00E27392">
        <w:rPr>
          <w:rFonts w:ascii="Times New Roman" w:hAnsi="Times New Roman"/>
          <w:noProof/>
          <w:sz w:val="24"/>
        </w:rPr>
        <w:tab/>
        <w:t xml:space="preserve">P. K. Mcgregor and J. R. Krebs, “Song types in a population of great tits (Parus major): their distribution, abundance and acquisition by individuals,” </w:t>
      </w:r>
      <w:r w:rsidRPr="00E27392">
        <w:rPr>
          <w:rFonts w:ascii="Times New Roman" w:hAnsi="Times New Roman"/>
          <w:i/>
          <w:iCs/>
          <w:noProof/>
          <w:sz w:val="24"/>
        </w:rPr>
        <w:t>Behaviour</w:t>
      </w:r>
      <w:r w:rsidRPr="00E27392">
        <w:rPr>
          <w:rFonts w:ascii="Times New Roman" w:hAnsi="Times New Roman"/>
          <w:noProof/>
          <w:sz w:val="24"/>
        </w:rPr>
        <w:t>, vol. 79, no. 2, pp. 126–152, 1982.</w:t>
      </w:r>
    </w:p>
    <w:p w14:paraId="3ACAEE5F"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[22]</w:t>
      </w:r>
      <w:r w:rsidRPr="00E27392">
        <w:rPr>
          <w:rFonts w:ascii="Times New Roman" w:hAnsi="Times New Roman"/>
          <w:noProof/>
          <w:sz w:val="24"/>
        </w:rPr>
        <w:tab/>
        <w:t xml:space="preserve">P. K. McGregor and J. R. Krebs, “Song learning in adult great tits (Parus major): effects of neighbours,” </w:t>
      </w:r>
      <w:r w:rsidRPr="00E27392">
        <w:rPr>
          <w:rFonts w:ascii="Times New Roman" w:hAnsi="Times New Roman"/>
          <w:i/>
          <w:iCs/>
          <w:noProof/>
          <w:sz w:val="24"/>
        </w:rPr>
        <w:t>Behaviour</w:t>
      </w:r>
      <w:r w:rsidRPr="00E27392">
        <w:rPr>
          <w:rFonts w:ascii="Times New Roman" w:hAnsi="Times New Roman"/>
          <w:noProof/>
          <w:sz w:val="24"/>
        </w:rPr>
        <w:t>, vol. 108, no. 1, pp. 139–159, 1989.</w:t>
      </w:r>
    </w:p>
    <w:p w14:paraId="1627896E"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[23]</w:t>
      </w:r>
      <w:r w:rsidRPr="00E27392">
        <w:rPr>
          <w:rFonts w:ascii="Times New Roman" w:hAnsi="Times New Roman"/>
          <w:noProof/>
          <w:sz w:val="24"/>
        </w:rPr>
        <w:tab/>
        <w:t xml:space="preserve">P. Franco and H. Slabbekoorn, “Repertoire size and composition in great tits: a flexibility test using playbacks,” </w:t>
      </w:r>
      <w:r w:rsidRPr="00E27392">
        <w:rPr>
          <w:rFonts w:ascii="Times New Roman" w:hAnsi="Times New Roman"/>
          <w:i/>
          <w:iCs/>
          <w:noProof/>
          <w:sz w:val="24"/>
        </w:rPr>
        <w:t>Anim. Behav.</w:t>
      </w:r>
      <w:r w:rsidRPr="00E27392">
        <w:rPr>
          <w:rFonts w:ascii="Times New Roman" w:hAnsi="Times New Roman"/>
          <w:noProof/>
          <w:sz w:val="24"/>
        </w:rPr>
        <w:t>, vol. 77, no. 1, pp. 261–269, 2009.</w:t>
      </w:r>
    </w:p>
    <w:p w14:paraId="05D00F6A"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[24]</w:t>
      </w:r>
      <w:r w:rsidRPr="00E27392">
        <w:rPr>
          <w:rFonts w:ascii="Times New Roman" w:hAnsi="Times New Roman"/>
          <w:noProof/>
          <w:sz w:val="24"/>
        </w:rPr>
        <w:tab/>
        <w:t xml:space="preserve">R. B. Payne, “Ecological consequences of song matching: breeding success and intraspecific song mimicry in indigo buntings,” </w:t>
      </w:r>
      <w:r w:rsidRPr="00E27392">
        <w:rPr>
          <w:rFonts w:ascii="Times New Roman" w:hAnsi="Times New Roman"/>
          <w:i/>
          <w:iCs/>
          <w:noProof/>
          <w:sz w:val="24"/>
        </w:rPr>
        <w:t>Ecology</w:t>
      </w:r>
      <w:r w:rsidRPr="00E27392">
        <w:rPr>
          <w:rFonts w:ascii="Times New Roman" w:hAnsi="Times New Roman"/>
          <w:noProof/>
          <w:sz w:val="24"/>
        </w:rPr>
        <w:t>, pp. 401–411, 1982.</w:t>
      </w:r>
    </w:p>
    <w:p w14:paraId="19EC0FCE"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[25]</w:t>
      </w:r>
      <w:r w:rsidRPr="00E27392">
        <w:rPr>
          <w:rFonts w:ascii="Times New Roman" w:hAnsi="Times New Roman"/>
          <w:noProof/>
          <w:sz w:val="24"/>
        </w:rPr>
        <w:tab/>
        <w:t xml:space="preserve">L. Ravaux, A. Moreau, N. Mathevon, W. Bonckaert, and T. I. Draganoiu, “Song stability and neighbour recognition in a migratory songbird, the black redstart,” </w:t>
      </w:r>
      <w:r w:rsidRPr="00E27392">
        <w:rPr>
          <w:rFonts w:ascii="Times New Roman" w:hAnsi="Times New Roman"/>
          <w:i/>
          <w:iCs/>
          <w:noProof/>
          <w:sz w:val="24"/>
        </w:rPr>
        <w:t>Behaviour</w:t>
      </w:r>
      <w:r w:rsidRPr="00E27392">
        <w:rPr>
          <w:rFonts w:ascii="Times New Roman" w:hAnsi="Times New Roman"/>
          <w:noProof/>
          <w:sz w:val="24"/>
        </w:rPr>
        <w:t>, vol. 151, pp. 435–453, 2014.</w:t>
      </w:r>
    </w:p>
    <w:p w14:paraId="10271174"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[26]</w:t>
      </w:r>
      <w:r w:rsidRPr="00E27392">
        <w:rPr>
          <w:rFonts w:ascii="Times New Roman" w:hAnsi="Times New Roman"/>
          <w:noProof/>
          <w:sz w:val="24"/>
        </w:rPr>
        <w:tab/>
        <w:t xml:space="preserve">E. Simms, </w:t>
      </w:r>
      <w:r w:rsidRPr="00E27392">
        <w:rPr>
          <w:rFonts w:ascii="Times New Roman" w:hAnsi="Times New Roman"/>
          <w:i/>
          <w:iCs/>
          <w:noProof/>
          <w:sz w:val="24"/>
        </w:rPr>
        <w:t>British warblers</w:t>
      </w:r>
      <w:r w:rsidRPr="00E27392">
        <w:rPr>
          <w:rFonts w:ascii="Times New Roman" w:hAnsi="Times New Roman"/>
          <w:noProof/>
          <w:sz w:val="24"/>
        </w:rPr>
        <w:t>. London: Collins, 1985.</w:t>
      </w:r>
    </w:p>
    <w:p w14:paraId="45D54AC9"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[27]</w:t>
      </w:r>
      <w:r w:rsidRPr="00E27392">
        <w:rPr>
          <w:rFonts w:ascii="Times New Roman" w:hAnsi="Times New Roman"/>
          <w:noProof/>
          <w:sz w:val="24"/>
        </w:rPr>
        <w:tab/>
        <w:t xml:space="preserve">G. Thielcke and U. Zimmer, “Early experience determines the song of the chiffchaff (Phylloscopus collybita),” </w:t>
      </w:r>
      <w:r w:rsidRPr="00E27392">
        <w:rPr>
          <w:rFonts w:ascii="Times New Roman" w:hAnsi="Times New Roman"/>
          <w:i/>
          <w:iCs/>
          <w:noProof/>
          <w:sz w:val="24"/>
        </w:rPr>
        <w:t>Ethology</w:t>
      </w:r>
      <w:r w:rsidRPr="00E27392">
        <w:rPr>
          <w:rFonts w:ascii="Times New Roman" w:hAnsi="Times New Roman"/>
          <w:noProof/>
          <w:sz w:val="24"/>
        </w:rPr>
        <w:t>, vol. 73, no. 3, pp. 191–196, 1986.</w:t>
      </w:r>
    </w:p>
    <w:p w14:paraId="22A2CAFA"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[28]</w:t>
      </w:r>
      <w:r w:rsidRPr="00E27392">
        <w:rPr>
          <w:rFonts w:ascii="Times New Roman" w:hAnsi="Times New Roman"/>
          <w:noProof/>
          <w:sz w:val="24"/>
        </w:rPr>
        <w:tab/>
        <w:t xml:space="preserve">T. Järvi, T. Radesäter, and S. Jakobsson, “The song of the willow warbler Phylloscopus trochilus with special reference to singing behaviour in agonistic situations,” </w:t>
      </w:r>
      <w:r w:rsidRPr="00E27392">
        <w:rPr>
          <w:rFonts w:ascii="Times New Roman" w:hAnsi="Times New Roman"/>
          <w:i/>
          <w:iCs/>
          <w:noProof/>
          <w:sz w:val="24"/>
        </w:rPr>
        <w:t>Ornis Scand.</w:t>
      </w:r>
      <w:r w:rsidRPr="00E27392">
        <w:rPr>
          <w:rFonts w:ascii="Times New Roman" w:hAnsi="Times New Roman"/>
          <w:noProof/>
          <w:sz w:val="24"/>
        </w:rPr>
        <w:t>, vol. 11, no. 3, pp. 236–242, 1980.</w:t>
      </w:r>
    </w:p>
    <w:p w14:paraId="5A519702"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[29]</w:t>
      </w:r>
      <w:r w:rsidRPr="00E27392">
        <w:rPr>
          <w:rFonts w:ascii="Times New Roman" w:hAnsi="Times New Roman"/>
          <w:noProof/>
          <w:sz w:val="24"/>
        </w:rPr>
        <w:tab/>
        <w:t xml:space="preserve">D. Gil, J. L. S. Cobb, and P. J. B. Slater, “Song characteristics are age dependent in the willow warbler, Phylloscopus trochilus,” </w:t>
      </w:r>
      <w:r w:rsidRPr="00E27392">
        <w:rPr>
          <w:rFonts w:ascii="Times New Roman" w:hAnsi="Times New Roman"/>
          <w:i/>
          <w:iCs/>
          <w:noProof/>
          <w:sz w:val="24"/>
        </w:rPr>
        <w:t>Anim. Behav.</w:t>
      </w:r>
      <w:r w:rsidRPr="00E27392">
        <w:rPr>
          <w:rFonts w:ascii="Times New Roman" w:hAnsi="Times New Roman"/>
          <w:noProof/>
          <w:sz w:val="24"/>
        </w:rPr>
        <w:t>, vol. 62, pp. 689–694, 2001.</w:t>
      </w:r>
    </w:p>
    <w:p w14:paraId="071B1ECB" w14:textId="0451BD8D" w:rsidR="00E27392" w:rsidRPr="00E27392" w:rsidRDefault="00D97F78">
      <w:pPr>
        <w:pStyle w:val="NormalWeb"/>
        <w:ind w:left="640" w:hanging="640"/>
        <w:divId w:val="1793010608"/>
        <w:rPr>
          <w:rFonts w:ascii="Times New Roman" w:hAnsi="Times New Roman"/>
          <w:noProof/>
          <w:sz w:val="24"/>
        </w:rPr>
      </w:pPr>
      <w:r>
        <w:rPr>
          <w:rFonts w:ascii="Times New Roman" w:hAnsi="Times New Roman"/>
          <w:noProof/>
          <w:sz w:val="24"/>
        </w:rPr>
        <w:t>[30]</w:t>
      </w:r>
      <w:r>
        <w:rPr>
          <w:rFonts w:ascii="Times New Roman" w:hAnsi="Times New Roman"/>
          <w:noProof/>
          <w:sz w:val="24"/>
        </w:rPr>
        <w:tab/>
        <w:t>E. A.</w:t>
      </w:r>
      <w:r w:rsidR="00E27392" w:rsidRPr="00E27392">
        <w:rPr>
          <w:rFonts w:ascii="Times New Roman" w:hAnsi="Times New Roman"/>
          <w:noProof/>
          <w:sz w:val="24"/>
        </w:rPr>
        <w:t xml:space="preserve"> Brenowitz, B. Nalls, J. C. Wingfield, and D. E. Kroodsma, “Seasonal changes in avian song nuclei without seasonal changes in song repertoire.,” </w:t>
      </w:r>
      <w:r w:rsidR="00E27392" w:rsidRPr="00E27392">
        <w:rPr>
          <w:rFonts w:ascii="Times New Roman" w:hAnsi="Times New Roman"/>
          <w:i/>
          <w:iCs/>
          <w:noProof/>
          <w:sz w:val="24"/>
        </w:rPr>
        <w:t>J. Neurosci.</w:t>
      </w:r>
      <w:r w:rsidR="00E27392" w:rsidRPr="00E27392">
        <w:rPr>
          <w:rFonts w:ascii="Times New Roman" w:hAnsi="Times New Roman"/>
          <w:noProof/>
          <w:sz w:val="24"/>
        </w:rPr>
        <w:t>, vol. 11, no. May, pp. 1367–1374, 1991.</w:t>
      </w:r>
    </w:p>
    <w:p w14:paraId="3678F6E9"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[31]</w:t>
      </w:r>
      <w:r w:rsidRPr="00E27392">
        <w:rPr>
          <w:rFonts w:ascii="Times New Roman" w:hAnsi="Times New Roman"/>
          <w:noProof/>
          <w:sz w:val="24"/>
        </w:rPr>
        <w:tab/>
        <w:t xml:space="preserve">S. Leitner and C. K. Catchpole, “Syllable repertoire and the size of the song control system in captive canaries (Serinus canaria),” </w:t>
      </w:r>
      <w:r w:rsidRPr="00E27392">
        <w:rPr>
          <w:rFonts w:ascii="Times New Roman" w:hAnsi="Times New Roman"/>
          <w:i/>
          <w:iCs/>
          <w:noProof/>
          <w:sz w:val="24"/>
        </w:rPr>
        <w:t>J. Neurobiol.</w:t>
      </w:r>
      <w:r w:rsidRPr="00E27392">
        <w:rPr>
          <w:rFonts w:ascii="Times New Roman" w:hAnsi="Times New Roman"/>
          <w:noProof/>
          <w:sz w:val="24"/>
        </w:rPr>
        <w:t>, vol. 60, pp. 21–27, 2004.</w:t>
      </w:r>
    </w:p>
    <w:p w14:paraId="59A52614"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[32]</w:t>
      </w:r>
      <w:r w:rsidRPr="00E27392">
        <w:rPr>
          <w:rFonts w:ascii="Times New Roman" w:hAnsi="Times New Roman"/>
          <w:noProof/>
          <w:sz w:val="24"/>
        </w:rPr>
        <w:tab/>
        <w:t xml:space="preserve">F. Nottebohm and M. E. Nottebohm, “Relationship between Song Repertoire and Age in the Canary, Serinus canarius,” </w:t>
      </w:r>
      <w:r w:rsidRPr="00E27392">
        <w:rPr>
          <w:rFonts w:ascii="Times New Roman" w:hAnsi="Times New Roman"/>
          <w:i/>
          <w:iCs/>
          <w:noProof/>
          <w:sz w:val="24"/>
        </w:rPr>
        <w:t>Z. Tierpsychol.</w:t>
      </w:r>
      <w:r w:rsidRPr="00E27392">
        <w:rPr>
          <w:rFonts w:ascii="Times New Roman" w:hAnsi="Times New Roman"/>
          <w:noProof/>
          <w:sz w:val="24"/>
        </w:rPr>
        <w:t>, vol. 46, no. 3, pp. 298–305, 1978.</w:t>
      </w:r>
    </w:p>
    <w:p w14:paraId="2FB2BA83"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[33]</w:t>
      </w:r>
      <w:r w:rsidRPr="00E27392">
        <w:rPr>
          <w:rFonts w:ascii="Times New Roman" w:hAnsi="Times New Roman"/>
          <w:noProof/>
          <w:sz w:val="24"/>
        </w:rPr>
        <w:tab/>
        <w:t xml:space="preserve">W.-C. Liu and F. Nottebohm, “A learning program that ensures prompt and versatile vocal imitation.,” </w:t>
      </w:r>
      <w:r w:rsidRPr="00E27392">
        <w:rPr>
          <w:rFonts w:ascii="Times New Roman" w:hAnsi="Times New Roman"/>
          <w:i/>
          <w:iCs/>
          <w:noProof/>
          <w:sz w:val="24"/>
        </w:rPr>
        <w:t>Proc. Natl. Acad. Sci.</w:t>
      </w:r>
      <w:r w:rsidRPr="00E27392">
        <w:rPr>
          <w:rFonts w:ascii="Times New Roman" w:hAnsi="Times New Roman"/>
          <w:noProof/>
          <w:sz w:val="24"/>
        </w:rPr>
        <w:t>, vol. 104, pp. 20398–20403, 2007.</w:t>
      </w:r>
    </w:p>
    <w:p w14:paraId="76AA06FB"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[34]</w:t>
      </w:r>
      <w:r w:rsidRPr="00E27392">
        <w:rPr>
          <w:rFonts w:ascii="Times New Roman" w:hAnsi="Times New Roman"/>
          <w:noProof/>
          <w:sz w:val="24"/>
        </w:rPr>
        <w:tab/>
        <w:t xml:space="preserve">P. Goldman, “Song recognition by field sparrows,” </w:t>
      </w:r>
      <w:r w:rsidRPr="00E27392">
        <w:rPr>
          <w:rFonts w:ascii="Times New Roman" w:hAnsi="Times New Roman"/>
          <w:i/>
          <w:iCs/>
          <w:noProof/>
          <w:sz w:val="24"/>
        </w:rPr>
        <w:t>Auk</w:t>
      </w:r>
      <w:r w:rsidRPr="00E27392">
        <w:rPr>
          <w:rFonts w:ascii="Times New Roman" w:hAnsi="Times New Roman"/>
          <w:noProof/>
          <w:sz w:val="24"/>
        </w:rPr>
        <w:t>, pp. 106–113, 1973.</w:t>
      </w:r>
    </w:p>
    <w:p w14:paraId="73DAD1C1"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[35]</w:t>
      </w:r>
      <w:r w:rsidRPr="00E27392">
        <w:rPr>
          <w:rFonts w:ascii="Times New Roman" w:hAnsi="Times New Roman"/>
          <w:noProof/>
          <w:sz w:val="24"/>
        </w:rPr>
        <w:tab/>
        <w:t xml:space="preserve">D. A. Nelson, “Song overproduction and selective attrition lead to song sharing in the field sparrow (Spizella pusilla),” </w:t>
      </w:r>
      <w:r w:rsidRPr="00E27392">
        <w:rPr>
          <w:rFonts w:ascii="Times New Roman" w:hAnsi="Times New Roman"/>
          <w:i/>
          <w:iCs/>
          <w:noProof/>
          <w:sz w:val="24"/>
        </w:rPr>
        <w:t>Behav. Ecol. Sociobiol.</w:t>
      </w:r>
      <w:r w:rsidRPr="00E27392">
        <w:rPr>
          <w:rFonts w:ascii="Times New Roman" w:hAnsi="Times New Roman"/>
          <w:noProof/>
          <w:sz w:val="24"/>
        </w:rPr>
        <w:t>, vol. 30, no. 6, pp. 415–424, 1992.</w:t>
      </w:r>
    </w:p>
    <w:p w14:paraId="2CADBBA5"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[36]</w:t>
      </w:r>
      <w:r w:rsidRPr="00E27392">
        <w:rPr>
          <w:rFonts w:ascii="Times New Roman" w:hAnsi="Times New Roman"/>
          <w:noProof/>
          <w:sz w:val="24"/>
        </w:rPr>
        <w:tab/>
        <w:t xml:space="preserve">J. D. Mountjoy and R. E. Lemon, “Extended song learning in wild European starlings,” </w:t>
      </w:r>
      <w:r w:rsidRPr="00E27392">
        <w:rPr>
          <w:rFonts w:ascii="Times New Roman" w:hAnsi="Times New Roman"/>
          <w:i/>
          <w:iCs/>
          <w:noProof/>
          <w:sz w:val="24"/>
        </w:rPr>
        <w:t>Anim. Behav.</w:t>
      </w:r>
      <w:r w:rsidRPr="00E27392">
        <w:rPr>
          <w:rFonts w:ascii="Times New Roman" w:hAnsi="Times New Roman"/>
          <w:noProof/>
          <w:sz w:val="24"/>
        </w:rPr>
        <w:t>, vol. 49, pp. 357–366, 1995.</w:t>
      </w:r>
    </w:p>
    <w:p w14:paraId="20047D63"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[37]</w:t>
      </w:r>
      <w:r w:rsidRPr="00E27392">
        <w:rPr>
          <w:rFonts w:ascii="Times New Roman" w:hAnsi="Times New Roman"/>
          <w:noProof/>
          <w:sz w:val="24"/>
        </w:rPr>
        <w:tab/>
        <w:t xml:space="preserve">T. J. S. Balsby and P. Hansen, “Element repertoire: change and development with age in Whitethroat Sylvia communis song,” </w:t>
      </w:r>
      <w:r w:rsidRPr="00E27392">
        <w:rPr>
          <w:rFonts w:ascii="Times New Roman" w:hAnsi="Times New Roman"/>
          <w:i/>
          <w:iCs/>
          <w:noProof/>
          <w:sz w:val="24"/>
        </w:rPr>
        <w:t>J. Ornithol.</w:t>
      </w:r>
      <w:r w:rsidRPr="00E27392">
        <w:rPr>
          <w:rFonts w:ascii="Times New Roman" w:hAnsi="Times New Roman"/>
          <w:noProof/>
          <w:sz w:val="24"/>
        </w:rPr>
        <w:t>, vol. 151, no. 2, pp. 469–476, 2010.</w:t>
      </w:r>
    </w:p>
    <w:p w14:paraId="674B0DA3"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[38]</w:t>
      </w:r>
      <w:r w:rsidRPr="00E27392">
        <w:rPr>
          <w:rFonts w:ascii="Times New Roman" w:hAnsi="Times New Roman"/>
          <w:noProof/>
          <w:sz w:val="24"/>
        </w:rPr>
        <w:tab/>
        <w:t xml:space="preserve">R. Zann, “Song and call learning in wild zebra finches in south-east Australia,” </w:t>
      </w:r>
      <w:r w:rsidRPr="00E27392">
        <w:rPr>
          <w:rFonts w:ascii="Times New Roman" w:hAnsi="Times New Roman"/>
          <w:i/>
          <w:iCs/>
          <w:noProof/>
          <w:sz w:val="24"/>
        </w:rPr>
        <w:t>Anim. Behav.</w:t>
      </w:r>
      <w:r w:rsidRPr="00E27392">
        <w:rPr>
          <w:rFonts w:ascii="Times New Roman" w:hAnsi="Times New Roman"/>
          <w:noProof/>
          <w:sz w:val="24"/>
        </w:rPr>
        <w:t>, vol. 40, no. 2, pp. 811–828, 1990.</w:t>
      </w:r>
    </w:p>
    <w:p w14:paraId="45571BC7"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[39]</w:t>
      </w:r>
      <w:r w:rsidRPr="00E27392">
        <w:rPr>
          <w:rFonts w:ascii="Times New Roman" w:hAnsi="Times New Roman"/>
          <w:noProof/>
          <w:sz w:val="24"/>
        </w:rPr>
        <w:tab/>
        <w:t xml:space="preserve">K. Immelmann, “Song development in the zebra finch and other estrildid finches,” in </w:t>
      </w:r>
      <w:r w:rsidRPr="00E27392">
        <w:rPr>
          <w:rFonts w:ascii="Times New Roman" w:hAnsi="Times New Roman"/>
          <w:i/>
          <w:iCs/>
          <w:noProof/>
          <w:sz w:val="24"/>
        </w:rPr>
        <w:t>Bird Vocalizations</w:t>
      </w:r>
      <w:r w:rsidRPr="00E27392">
        <w:rPr>
          <w:rFonts w:ascii="Times New Roman" w:hAnsi="Times New Roman"/>
          <w:noProof/>
          <w:sz w:val="24"/>
        </w:rPr>
        <w:t>, R. A. Hinde, Ed. Cambridge: Cambridge Univ Press, 1969, pp. 61–74.</w:t>
      </w:r>
    </w:p>
    <w:p w14:paraId="39D17AE8"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[40]</w:t>
      </w:r>
      <w:r w:rsidRPr="00E27392">
        <w:rPr>
          <w:rFonts w:ascii="Times New Roman" w:hAnsi="Times New Roman"/>
          <w:noProof/>
          <w:sz w:val="24"/>
        </w:rPr>
        <w:tab/>
        <w:t xml:space="preserve">D. E. Kroodsma and L. D. Parker, “Vocal virtuosity in the Brown Thrasher,” </w:t>
      </w:r>
      <w:r w:rsidRPr="00E27392">
        <w:rPr>
          <w:rFonts w:ascii="Times New Roman" w:hAnsi="Times New Roman"/>
          <w:i/>
          <w:iCs/>
          <w:noProof/>
          <w:sz w:val="24"/>
        </w:rPr>
        <w:t>Auk</w:t>
      </w:r>
      <w:r w:rsidRPr="00E27392">
        <w:rPr>
          <w:rFonts w:ascii="Times New Roman" w:hAnsi="Times New Roman"/>
          <w:noProof/>
          <w:sz w:val="24"/>
        </w:rPr>
        <w:t>, vol. 94, pp. 783–785, 1977.</w:t>
      </w:r>
    </w:p>
    <w:p w14:paraId="3464F96A"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[41]</w:t>
      </w:r>
      <w:r w:rsidRPr="00E27392">
        <w:rPr>
          <w:rFonts w:ascii="Times New Roman" w:hAnsi="Times New Roman"/>
          <w:noProof/>
          <w:sz w:val="24"/>
        </w:rPr>
        <w:tab/>
        <w:t xml:space="preserve">N. Hesler, R. Mundry, and T. Dabelsteen, “Are there age-related differences in the song repertoire size of Eurasian blackbirds?,” </w:t>
      </w:r>
      <w:r w:rsidRPr="00E27392">
        <w:rPr>
          <w:rFonts w:ascii="Times New Roman" w:hAnsi="Times New Roman"/>
          <w:i/>
          <w:iCs/>
          <w:noProof/>
          <w:sz w:val="24"/>
        </w:rPr>
        <w:t>Acta Ethol.</w:t>
      </w:r>
      <w:r w:rsidRPr="00E27392">
        <w:rPr>
          <w:rFonts w:ascii="Times New Roman" w:hAnsi="Times New Roman"/>
          <w:noProof/>
          <w:sz w:val="24"/>
        </w:rPr>
        <w:t>, vol. 15, no. 2, pp. 203–210, 2012.</w:t>
      </w:r>
    </w:p>
    <w:p w14:paraId="20C116E6"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[42]</w:t>
      </w:r>
      <w:r w:rsidRPr="00E27392">
        <w:rPr>
          <w:rFonts w:ascii="Times New Roman" w:hAnsi="Times New Roman"/>
          <w:noProof/>
          <w:sz w:val="24"/>
        </w:rPr>
        <w:tab/>
        <w:t xml:space="preserve">D. J. Borror and W. W. H. Gunn, “Variation in white-throated sparrow songs,” </w:t>
      </w:r>
      <w:r w:rsidRPr="00E27392">
        <w:rPr>
          <w:rFonts w:ascii="Times New Roman" w:hAnsi="Times New Roman"/>
          <w:i/>
          <w:iCs/>
          <w:noProof/>
          <w:sz w:val="24"/>
        </w:rPr>
        <w:t>Auk</w:t>
      </w:r>
      <w:r w:rsidRPr="00E27392">
        <w:rPr>
          <w:rFonts w:ascii="Times New Roman" w:hAnsi="Times New Roman"/>
          <w:noProof/>
          <w:sz w:val="24"/>
        </w:rPr>
        <w:t>, pp. 26–47, 1965.</w:t>
      </w:r>
    </w:p>
    <w:p w14:paraId="2A9842A8" w14:textId="77777777" w:rsidR="00E27392" w:rsidRPr="00E27392" w:rsidRDefault="00E27392">
      <w:pPr>
        <w:pStyle w:val="NormalWeb"/>
        <w:ind w:left="640" w:hanging="640"/>
        <w:divId w:val="1793010608"/>
        <w:rPr>
          <w:rFonts w:ascii="Times New Roman" w:hAnsi="Times New Roman"/>
          <w:noProof/>
          <w:sz w:val="24"/>
        </w:rPr>
      </w:pPr>
      <w:r w:rsidRPr="00E27392">
        <w:rPr>
          <w:rFonts w:ascii="Times New Roman" w:hAnsi="Times New Roman"/>
          <w:noProof/>
          <w:sz w:val="24"/>
        </w:rPr>
        <w:t>[43]</w:t>
      </w:r>
      <w:r w:rsidRPr="00E27392">
        <w:rPr>
          <w:rFonts w:ascii="Times New Roman" w:hAnsi="Times New Roman"/>
          <w:noProof/>
          <w:sz w:val="24"/>
        </w:rPr>
        <w:tab/>
        <w:t xml:space="preserve">P. Marler and M. Tamura, “Culturally Transmitted Patterns of Vocal Behavior in Sparrows.,” </w:t>
      </w:r>
      <w:r w:rsidRPr="00E27392">
        <w:rPr>
          <w:rFonts w:ascii="Times New Roman" w:hAnsi="Times New Roman"/>
          <w:i/>
          <w:iCs/>
          <w:noProof/>
          <w:sz w:val="24"/>
        </w:rPr>
        <w:t>Science</w:t>
      </w:r>
      <w:r w:rsidRPr="00E27392">
        <w:rPr>
          <w:rFonts w:ascii="Times New Roman" w:hAnsi="Times New Roman"/>
          <w:noProof/>
          <w:sz w:val="24"/>
        </w:rPr>
        <w:t>, vol. 146, pp. 1483–1486, 1964.</w:t>
      </w:r>
    </w:p>
    <w:p w14:paraId="2E41FD5A" w14:textId="3D469AB0" w:rsidR="00E27392" w:rsidRPr="00E27392" w:rsidRDefault="00D97F78">
      <w:pPr>
        <w:pStyle w:val="NormalWeb"/>
        <w:ind w:left="640" w:hanging="640"/>
        <w:divId w:val="1793010608"/>
        <w:rPr>
          <w:rFonts w:ascii="Times New Roman" w:hAnsi="Times New Roman"/>
          <w:noProof/>
          <w:sz w:val="24"/>
        </w:rPr>
      </w:pPr>
      <w:r>
        <w:rPr>
          <w:rFonts w:ascii="Times New Roman" w:hAnsi="Times New Roman"/>
          <w:noProof/>
          <w:sz w:val="24"/>
        </w:rPr>
        <w:t>[44]</w:t>
      </w:r>
      <w:r>
        <w:rPr>
          <w:rFonts w:ascii="Times New Roman" w:hAnsi="Times New Roman"/>
          <w:noProof/>
          <w:sz w:val="24"/>
        </w:rPr>
        <w:tab/>
        <w:t>D. A.</w:t>
      </w:r>
      <w:r w:rsidR="00E27392" w:rsidRPr="00E27392">
        <w:rPr>
          <w:rFonts w:ascii="Times New Roman" w:hAnsi="Times New Roman"/>
          <w:noProof/>
          <w:sz w:val="24"/>
        </w:rPr>
        <w:t xml:space="preserve"> Nelson, P. Marler, and M. L. Morton, “Overproduction in song development: an evolutionary correlate with migration,” </w:t>
      </w:r>
      <w:r w:rsidR="00E27392" w:rsidRPr="00E27392">
        <w:rPr>
          <w:rFonts w:ascii="Times New Roman" w:hAnsi="Times New Roman"/>
          <w:i/>
          <w:iCs/>
          <w:noProof/>
          <w:sz w:val="24"/>
        </w:rPr>
        <w:t>Anim. Behav.</w:t>
      </w:r>
      <w:r w:rsidR="00E27392" w:rsidRPr="00E27392">
        <w:rPr>
          <w:rFonts w:ascii="Times New Roman" w:hAnsi="Times New Roman"/>
          <w:noProof/>
          <w:sz w:val="24"/>
        </w:rPr>
        <w:t xml:space="preserve">, vol. 51, no. Blanchard 1941, pp. 1127–1140, 1996. </w:t>
      </w:r>
    </w:p>
    <w:p w14:paraId="767CF90F" w14:textId="5FCFB050" w:rsidR="00F521F4" w:rsidRDefault="007207CF" w:rsidP="00E27392">
      <w:pPr>
        <w:pStyle w:val="NormalWeb"/>
        <w:ind w:left="640" w:hanging="640"/>
        <w:divId w:val="1553881310"/>
      </w:pPr>
      <w:r>
        <w:fldChar w:fldCharType="end"/>
      </w:r>
    </w:p>
    <w:sectPr w:rsidR="00F521F4" w:rsidSect="00A850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061"/>
    <w:rsid w:val="00014633"/>
    <w:rsid w:val="000979D6"/>
    <w:rsid w:val="001352CA"/>
    <w:rsid w:val="00151C5C"/>
    <w:rsid w:val="0018073D"/>
    <w:rsid w:val="00184409"/>
    <w:rsid w:val="00185968"/>
    <w:rsid w:val="001F328E"/>
    <w:rsid w:val="002455C6"/>
    <w:rsid w:val="002E1061"/>
    <w:rsid w:val="002F2157"/>
    <w:rsid w:val="00335E72"/>
    <w:rsid w:val="00390DCB"/>
    <w:rsid w:val="003971CE"/>
    <w:rsid w:val="00417787"/>
    <w:rsid w:val="004323E0"/>
    <w:rsid w:val="00457C70"/>
    <w:rsid w:val="00473879"/>
    <w:rsid w:val="00473B32"/>
    <w:rsid w:val="0047625D"/>
    <w:rsid w:val="00484682"/>
    <w:rsid w:val="004C2471"/>
    <w:rsid w:val="004E0B01"/>
    <w:rsid w:val="005705D2"/>
    <w:rsid w:val="005829AC"/>
    <w:rsid w:val="005E6B75"/>
    <w:rsid w:val="005F0FDB"/>
    <w:rsid w:val="005F418D"/>
    <w:rsid w:val="00607F70"/>
    <w:rsid w:val="00637CEF"/>
    <w:rsid w:val="006462D1"/>
    <w:rsid w:val="006E046F"/>
    <w:rsid w:val="006F2285"/>
    <w:rsid w:val="00706354"/>
    <w:rsid w:val="0071078D"/>
    <w:rsid w:val="007207CF"/>
    <w:rsid w:val="00737124"/>
    <w:rsid w:val="00754F62"/>
    <w:rsid w:val="00757F81"/>
    <w:rsid w:val="00783BAE"/>
    <w:rsid w:val="007D2E89"/>
    <w:rsid w:val="00832A0C"/>
    <w:rsid w:val="0083353E"/>
    <w:rsid w:val="00837A0F"/>
    <w:rsid w:val="00841B34"/>
    <w:rsid w:val="00880587"/>
    <w:rsid w:val="00897437"/>
    <w:rsid w:val="008A0245"/>
    <w:rsid w:val="008E7B6D"/>
    <w:rsid w:val="009B0D82"/>
    <w:rsid w:val="009C7DF7"/>
    <w:rsid w:val="00A237E1"/>
    <w:rsid w:val="00A74DF2"/>
    <w:rsid w:val="00A85010"/>
    <w:rsid w:val="00A87E03"/>
    <w:rsid w:val="00A963AA"/>
    <w:rsid w:val="00AC426A"/>
    <w:rsid w:val="00AE3A7A"/>
    <w:rsid w:val="00AE4AB4"/>
    <w:rsid w:val="00B41C90"/>
    <w:rsid w:val="00B46C19"/>
    <w:rsid w:val="00BF5EEF"/>
    <w:rsid w:val="00C57EEA"/>
    <w:rsid w:val="00CA60C8"/>
    <w:rsid w:val="00CD0A41"/>
    <w:rsid w:val="00CF1D47"/>
    <w:rsid w:val="00CF7A99"/>
    <w:rsid w:val="00D43D9D"/>
    <w:rsid w:val="00D97F78"/>
    <w:rsid w:val="00DA5307"/>
    <w:rsid w:val="00DC11E4"/>
    <w:rsid w:val="00DD2837"/>
    <w:rsid w:val="00DD400B"/>
    <w:rsid w:val="00E27392"/>
    <w:rsid w:val="00E276FD"/>
    <w:rsid w:val="00E74367"/>
    <w:rsid w:val="00E77CEE"/>
    <w:rsid w:val="00E877E4"/>
    <w:rsid w:val="00EA2053"/>
    <w:rsid w:val="00EA5757"/>
    <w:rsid w:val="00ED3486"/>
    <w:rsid w:val="00EF5D5A"/>
    <w:rsid w:val="00F0489A"/>
    <w:rsid w:val="00F31B8D"/>
    <w:rsid w:val="00F43444"/>
    <w:rsid w:val="00F521F4"/>
    <w:rsid w:val="00FD286C"/>
    <w:rsid w:val="00FF0E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84A246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7625D"/>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1061"/>
    <w:pPr>
      <w:spacing w:before="100" w:beforeAutospacing="1" w:after="100" w:afterAutospacing="1"/>
    </w:pPr>
    <w:rPr>
      <w:rFonts w:ascii="Times" w:hAnsi="Times"/>
      <w:sz w:val="20"/>
      <w:szCs w:val="20"/>
    </w:rPr>
  </w:style>
  <w:style w:type="character" w:styleId="Emphasis">
    <w:name w:val="Emphasis"/>
    <w:basedOn w:val="DefaultParagraphFont"/>
    <w:uiPriority w:val="20"/>
    <w:qFormat/>
    <w:rsid w:val="00EA5757"/>
    <w:rPr>
      <w:i/>
      <w:iCs/>
    </w:rPr>
  </w:style>
  <w:style w:type="character" w:customStyle="1" w:styleId="apple-converted-space">
    <w:name w:val="apple-converted-space"/>
    <w:basedOn w:val="DefaultParagraphFont"/>
    <w:rsid w:val="00EF5D5A"/>
  </w:style>
  <w:style w:type="table" w:styleId="TableGrid">
    <w:name w:val="Table Grid"/>
    <w:basedOn w:val="TableNormal"/>
    <w:uiPriority w:val="59"/>
    <w:rsid w:val="00CA60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7625D"/>
    <w:rPr>
      <w:rFonts w:ascii="Times" w:hAnsi="Times"/>
      <w:b/>
      <w:bCs/>
      <w:kern w:val="36"/>
      <w:sz w:val="48"/>
      <w:szCs w:val="48"/>
    </w:rPr>
  </w:style>
  <w:style w:type="character" w:styleId="Hyperlink">
    <w:name w:val="Hyperlink"/>
    <w:basedOn w:val="DefaultParagraphFont"/>
    <w:uiPriority w:val="99"/>
    <w:unhideWhenUsed/>
    <w:rsid w:val="00AC426A"/>
    <w:rPr>
      <w:color w:val="0000FF" w:themeColor="hyperlink"/>
      <w:u w:val="single"/>
    </w:rPr>
  </w:style>
  <w:style w:type="character" w:styleId="BookTitle">
    <w:name w:val="Book Title"/>
    <w:basedOn w:val="DefaultParagraphFont"/>
    <w:uiPriority w:val="33"/>
    <w:qFormat/>
    <w:rsid w:val="005E6B75"/>
    <w:rPr>
      <w:b/>
      <w:bCs/>
      <w:smallCaps/>
      <w:spacing w:val="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7625D"/>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1061"/>
    <w:pPr>
      <w:spacing w:before="100" w:beforeAutospacing="1" w:after="100" w:afterAutospacing="1"/>
    </w:pPr>
    <w:rPr>
      <w:rFonts w:ascii="Times" w:hAnsi="Times"/>
      <w:sz w:val="20"/>
      <w:szCs w:val="20"/>
    </w:rPr>
  </w:style>
  <w:style w:type="character" w:styleId="Emphasis">
    <w:name w:val="Emphasis"/>
    <w:basedOn w:val="DefaultParagraphFont"/>
    <w:uiPriority w:val="20"/>
    <w:qFormat/>
    <w:rsid w:val="00EA5757"/>
    <w:rPr>
      <w:i/>
      <w:iCs/>
    </w:rPr>
  </w:style>
  <w:style w:type="character" w:customStyle="1" w:styleId="apple-converted-space">
    <w:name w:val="apple-converted-space"/>
    <w:basedOn w:val="DefaultParagraphFont"/>
    <w:rsid w:val="00EF5D5A"/>
  </w:style>
  <w:style w:type="table" w:styleId="TableGrid">
    <w:name w:val="Table Grid"/>
    <w:basedOn w:val="TableNormal"/>
    <w:uiPriority w:val="59"/>
    <w:rsid w:val="00CA60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7625D"/>
    <w:rPr>
      <w:rFonts w:ascii="Times" w:hAnsi="Times"/>
      <w:b/>
      <w:bCs/>
      <w:kern w:val="36"/>
      <w:sz w:val="48"/>
      <w:szCs w:val="48"/>
    </w:rPr>
  </w:style>
  <w:style w:type="character" w:styleId="Hyperlink">
    <w:name w:val="Hyperlink"/>
    <w:basedOn w:val="DefaultParagraphFont"/>
    <w:uiPriority w:val="99"/>
    <w:unhideWhenUsed/>
    <w:rsid w:val="00AC426A"/>
    <w:rPr>
      <w:color w:val="0000FF" w:themeColor="hyperlink"/>
      <w:u w:val="single"/>
    </w:rPr>
  </w:style>
  <w:style w:type="character" w:styleId="BookTitle">
    <w:name w:val="Book Title"/>
    <w:basedOn w:val="DefaultParagraphFont"/>
    <w:uiPriority w:val="33"/>
    <w:qFormat/>
    <w:rsid w:val="005E6B75"/>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54174">
      <w:bodyDiv w:val="1"/>
      <w:marLeft w:val="0"/>
      <w:marRight w:val="0"/>
      <w:marTop w:val="0"/>
      <w:marBottom w:val="0"/>
      <w:divBdr>
        <w:top w:val="none" w:sz="0" w:space="0" w:color="auto"/>
        <w:left w:val="none" w:sz="0" w:space="0" w:color="auto"/>
        <w:bottom w:val="none" w:sz="0" w:space="0" w:color="auto"/>
        <w:right w:val="none" w:sz="0" w:space="0" w:color="auto"/>
      </w:divBdr>
    </w:div>
    <w:div w:id="169298582">
      <w:bodyDiv w:val="1"/>
      <w:marLeft w:val="0"/>
      <w:marRight w:val="0"/>
      <w:marTop w:val="0"/>
      <w:marBottom w:val="0"/>
      <w:divBdr>
        <w:top w:val="none" w:sz="0" w:space="0" w:color="auto"/>
        <w:left w:val="none" w:sz="0" w:space="0" w:color="auto"/>
        <w:bottom w:val="none" w:sz="0" w:space="0" w:color="auto"/>
        <w:right w:val="none" w:sz="0" w:space="0" w:color="auto"/>
      </w:divBdr>
    </w:div>
    <w:div w:id="534005179">
      <w:bodyDiv w:val="1"/>
      <w:marLeft w:val="0"/>
      <w:marRight w:val="0"/>
      <w:marTop w:val="0"/>
      <w:marBottom w:val="0"/>
      <w:divBdr>
        <w:top w:val="none" w:sz="0" w:space="0" w:color="auto"/>
        <w:left w:val="none" w:sz="0" w:space="0" w:color="auto"/>
        <w:bottom w:val="none" w:sz="0" w:space="0" w:color="auto"/>
        <w:right w:val="none" w:sz="0" w:space="0" w:color="auto"/>
      </w:divBdr>
    </w:div>
    <w:div w:id="595794280">
      <w:bodyDiv w:val="1"/>
      <w:marLeft w:val="0"/>
      <w:marRight w:val="0"/>
      <w:marTop w:val="0"/>
      <w:marBottom w:val="0"/>
      <w:divBdr>
        <w:top w:val="none" w:sz="0" w:space="0" w:color="auto"/>
        <w:left w:val="none" w:sz="0" w:space="0" w:color="auto"/>
        <w:bottom w:val="none" w:sz="0" w:space="0" w:color="auto"/>
        <w:right w:val="none" w:sz="0" w:space="0" w:color="auto"/>
      </w:divBdr>
    </w:div>
    <w:div w:id="640430073">
      <w:bodyDiv w:val="1"/>
      <w:marLeft w:val="0"/>
      <w:marRight w:val="0"/>
      <w:marTop w:val="0"/>
      <w:marBottom w:val="0"/>
      <w:divBdr>
        <w:top w:val="none" w:sz="0" w:space="0" w:color="auto"/>
        <w:left w:val="none" w:sz="0" w:space="0" w:color="auto"/>
        <w:bottom w:val="none" w:sz="0" w:space="0" w:color="auto"/>
        <w:right w:val="none" w:sz="0" w:space="0" w:color="auto"/>
      </w:divBdr>
    </w:div>
    <w:div w:id="770053857">
      <w:bodyDiv w:val="1"/>
      <w:marLeft w:val="0"/>
      <w:marRight w:val="0"/>
      <w:marTop w:val="0"/>
      <w:marBottom w:val="0"/>
      <w:divBdr>
        <w:top w:val="none" w:sz="0" w:space="0" w:color="auto"/>
        <w:left w:val="none" w:sz="0" w:space="0" w:color="auto"/>
        <w:bottom w:val="none" w:sz="0" w:space="0" w:color="auto"/>
        <w:right w:val="none" w:sz="0" w:space="0" w:color="auto"/>
      </w:divBdr>
    </w:div>
    <w:div w:id="929847134">
      <w:bodyDiv w:val="1"/>
      <w:marLeft w:val="0"/>
      <w:marRight w:val="0"/>
      <w:marTop w:val="0"/>
      <w:marBottom w:val="0"/>
      <w:divBdr>
        <w:top w:val="none" w:sz="0" w:space="0" w:color="auto"/>
        <w:left w:val="none" w:sz="0" w:space="0" w:color="auto"/>
        <w:bottom w:val="none" w:sz="0" w:space="0" w:color="auto"/>
        <w:right w:val="none" w:sz="0" w:space="0" w:color="auto"/>
      </w:divBdr>
    </w:div>
    <w:div w:id="1001082250">
      <w:bodyDiv w:val="1"/>
      <w:marLeft w:val="0"/>
      <w:marRight w:val="0"/>
      <w:marTop w:val="0"/>
      <w:marBottom w:val="0"/>
      <w:divBdr>
        <w:top w:val="none" w:sz="0" w:space="0" w:color="auto"/>
        <w:left w:val="none" w:sz="0" w:space="0" w:color="auto"/>
        <w:bottom w:val="none" w:sz="0" w:space="0" w:color="auto"/>
        <w:right w:val="none" w:sz="0" w:space="0" w:color="auto"/>
      </w:divBdr>
    </w:div>
    <w:div w:id="1034619952">
      <w:bodyDiv w:val="1"/>
      <w:marLeft w:val="0"/>
      <w:marRight w:val="0"/>
      <w:marTop w:val="0"/>
      <w:marBottom w:val="0"/>
      <w:divBdr>
        <w:top w:val="none" w:sz="0" w:space="0" w:color="auto"/>
        <w:left w:val="none" w:sz="0" w:space="0" w:color="auto"/>
        <w:bottom w:val="none" w:sz="0" w:space="0" w:color="auto"/>
        <w:right w:val="none" w:sz="0" w:space="0" w:color="auto"/>
      </w:divBdr>
    </w:div>
    <w:div w:id="1108433714">
      <w:bodyDiv w:val="1"/>
      <w:marLeft w:val="0"/>
      <w:marRight w:val="0"/>
      <w:marTop w:val="0"/>
      <w:marBottom w:val="0"/>
      <w:divBdr>
        <w:top w:val="none" w:sz="0" w:space="0" w:color="auto"/>
        <w:left w:val="none" w:sz="0" w:space="0" w:color="auto"/>
        <w:bottom w:val="none" w:sz="0" w:space="0" w:color="auto"/>
        <w:right w:val="none" w:sz="0" w:space="0" w:color="auto"/>
      </w:divBdr>
    </w:div>
    <w:div w:id="1342977095">
      <w:bodyDiv w:val="1"/>
      <w:marLeft w:val="0"/>
      <w:marRight w:val="0"/>
      <w:marTop w:val="0"/>
      <w:marBottom w:val="0"/>
      <w:divBdr>
        <w:top w:val="none" w:sz="0" w:space="0" w:color="auto"/>
        <w:left w:val="none" w:sz="0" w:space="0" w:color="auto"/>
        <w:bottom w:val="none" w:sz="0" w:space="0" w:color="auto"/>
        <w:right w:val="none" w:sz="0" w:space="0" w:color="auto"/>
      </w:divBdr>
    </w:div>
    <w:div w:id="1482774450">
      <w:bodyDiv w:val="1"/>
      <w:marLeft w:val="0"/>
      <w:marRight w:val="0"/>
      <w:marTop w:val="0"/>
      <w:marBottom w:val="0"/>
      <w:divBdr>
        <w:top w:val="none" w:sz="0" w:space="0" w:color="auto"/>
        <w:left w:val="none" w:sz="0" w:space="0" w:color="auto"/>
        <w:bottom w:val="none" w:sz="0" w:space="0" w:color="auto"/>
        <w:right w:val="none" w:sz="0" w:space="0" w:color="auto"/>
      </w:divBdr>
    </w:div>
    <w:div w:id="1562013377">
      <w:bodyDiv w:val="1"/>
      <w:marLeft w:val="0"/>
      <w:marRight w:val="0"/>
      <w:marTop w:val="0"/>
      <w:marBottom w:val="0"/>
      <w:divBdr>
        <w:top w:val="none" w:sz="0" w:space="0" w:color="auto"/>
        <w:left w:val="none" w:sz="0" w:space="0" w:color="auto"/>
        <w:bottom w:val="none" w:sz="0" w:space="0" w:color="auto"/>
        <w:right w:val="none" w:sz="0" w:space="0" w:color="auto"/>
      </w:divBdr>
    </w:div>
    <w:div w:id="1571235993">
      <w:bodyDiv w:val="1"/>
      <w:marLeft w:val="0"/>
      <w:marRight w:val="0"/>
      <w:marTop w:val="0"/>
      <w:marBottom w:val="0"/>
      <w:divBdr>
        <w:top w:val="none" w:sz="0" w:space="0" w:color="auto"/>
        <w:left w:val="none" w:sz="0" w:space="0" w:color="auto"/>
        <w:bottom w:val="none" w:sz="0" w:space="0" w:color="auto"/>
        <w:right w:val="none" w:sz="0" w:space="0" w:color="auto"/>
      </w:divBdr>
    </w:div>
    <w:div w:id="1609654682">
      <w:bodyDiv w:val="1"/>
      <w:marLeft w:val="0"/>
      <w:marRight w:val="0"/>
      <w:marTop w:val="0"/>
      <w:marBottom w:val="0"/>
      <w:divBdr>
        <w:top w:val="none" w:sz="0" w:space="0" w:color="auto"/>
        <w:left w:val="none" w:sz="0" w:space="0" w:color="auto"/>
        <w:bottom w:val="none" w:sz="0" w:space="0" w:color="auto"/>
        <w:right w:val="none" w:sz="0" w:space="0" w:color="auto"/>
      </w:divBdr>
    </w:div>
    <w:div w:id="1761833369">
      <w:bodyDiv w:val="1"/>
      <w:marLeft w:val="0"/>
      <w:marRight w:val="0"/>
      <w:marTop w:val="0"/>
      <w:marBottom w:val="0"/>
      <w:divBdr>
        <w:top w:val="none" w:sz="0" w:space="0" w:color="auto"/>
        <w:left w:val="none" w:sz="0" w:space="0" w:color="auto"/>
        <w:bottom w:val="none" w:sz="0" w:space="0" w:color="auto"/>
        <w:right w:val="none" w:sz="0" w:space="0" w:color="auto"/>
      </w:divBdr>
    </w:div>
    <w:div w:id="1860001589">
      <w:bodyDiv w:val="1"/>
      <w:marLeft w:val="0"/>
      <w:marRight w:val="0"/>
      <w:marTop w:val="0"/>
      <w:marBottom w:val="0"/>
      <w:divBdr>
        <w:top w:val="none" w:sz="0" w:space="0" w:color="auto"/>
        <w:left w:val="none" w:sz="0" w:space="0" w:color="auto"/>
        <w:bottom w:val="none" w:sz="0" w:space="0" w:color="auto"/>
        <w:right w:val="none" w:sz="0" w:space="0" w:color="auto"/>
      </w:divBdr>
    </w:div>
    <w:div w:id="1907375846">
      <w:bodyDiv w:val="1"/>
      <w:marLeft w:val="0"/>
      <w:marRight w:val="0"/>
      <w:marTop w:val="0"/>
      <w:marBottom w:val="0"/>
      <w:divBdr>
        <w:top w:val="none" w:sz="0" w:space="0" w:color="auto"/>
        <w:left w:val="none" w:sz="0" w:space="0" w:color="auto"/>
        <w:bottom w:val="none" w:sz="0" w:space="0" w:color="auto"/>
        <w:right w:val="none" w:sz="0" w:space="0" w:color="auto"/>
      </w:divBdr>
    </w:div>
    <w:div w:id="1936594881">
      <w:bodyDiv w:val="1"/>
      <w:marLeft w:val="0"/>
      <w:marRight w:val="0"/>
      <w:marTop w:val="0"/>
      <w:marBottom w:val="0"/>
      <w:divBdr>
        <w:top w:val="none" w:sz="0" w:space="0" w:color="auto"/>
        <w:left w:val="none" w:sz="0" w:space="0" w:color="auto"/>
        <w:bottom w:val="none" w:sz="0" w:space="0" w:color="auto"/>
        <w:right w:val="none" w:sz="0" w:space="0" w:color="auto"/>
      </w:divBdr>
    </w:div>
    <w:div w:id="2091660776">
      <w:bodyDiv w:val="1"/>
      <w:marLeft w:val="0"/>
      <w:marRight w:val="0"/>
      <w:marTop w:val="0"/>
      <w:marBottom w:val="0"/>
      <w:divBdr>
        <w:top w:val="none" w:sz="0" w:space="0" w:color="auto"/>
        <w:left w:val="none" w:sz="0" w:space="0" w:color="auto"/>
        <w:bottom w:val="none" w:sz="0" w:space="0" w:color="auto"/>
        <w:right w:val="none" w:sz="0" w:space="0" w:color="auto"/>
      </w:divBdr>
    </w:div>
    <w:div w:id="2146313220">
      <w:bodyDiv w:val="1"/>
      <w:marLeft w:val="0"/>
      <w:marRight w:val="0"/>
      <w:marTop w:val="0"/>
      <w:marBottom w:val="0"/>
      <w:divBdr>
        <w:top w:val="none" w:sz="0" w:space="0" w:color="auto"/>
        <w:left w:val="none" w:sz="0" w:space="0" w:color="auto"/>
        <w:bottom w:val="none" w:sz="0" w:space="0" w:color="auto"/>
        <w:right w:val="none" w:sz="0" w:space="0" w:color="auto"/>
      </w:divBdr>
      <w:divsChild>
        <w:div w:id="539561512">
          <w:marLeft w:val="0"/>
          <w:marRight w:val="0"/>
          <w:marTop w:val="0"/>
          <w:marBottom w:val="0"/>
          <w:divBdr>
            <w:top w:val="none" w:sz="0" w:space="0" w:color="auto"/>
            <w:left w:val="none" w:sz="0" w:space="0" w:color="auto"/>
            <w:bottom w:val="none" w:sz="0" w:space="0" w:color="auto"/>
            <w:right w:val="none" w:sz="0" w:space="0" w:color="auto"/>
          </w:divBdr>
          <w:divsChild>
            <w:div w:id="1879076579">
              <w:marLeft w:val="0"/>
              <w:marRight w:val="0"/>
              <w:marTop w:val="0"/>
              <w:marBottom w:val="0"/>
              <w:divBdr>
                <w:top w:val="none" w:sz="0" w:space="0" w:color="auto"/>
                <w:left w:val="none" w:sz="0" w:space="0" w:color="auto"/>
                <w:bottom w:val="none" w:sz="0" w:space="0" w:color="auto"/>
                <w:right w:val="none" w:sz="0" w:space="0" w:color="auto"/>
              </w:divBdr>
              <w:divsChild>
                <w:div w:id="140998200">
                  <w:marLeft w:val="0"/>
                  <w:marRight w:val="0"/>
                  <w:marTop w:val="0"/>
                  <w:marBottom w:val="0"/>
                  <w:divBdr>
                    <w:top w:val="none" w:sz="0" w:space="0" w:color="auto"/>
                    <w:left w:val="none" w:sz="0" w:space="0" w:color="auto"/>
                    <w:bottom w:val="none" w:sz="0" w:space="0" w:color="auto"/>
                    <w:right w:val="none" w:sz="0" w:space="0" w:color="auto"/>
                  </w:divBdr>
                  <w:divsChild>
                    <w:div w:id="1438017567">
                      <w:marLeft w:val="0"/>
                      <w:marRight w:val="0"/>
                      <w:marTop w:val="0"/>
                      <w:marBottom w:val="0"/>
                      <w:divBdr>
                        <w:top w:val="none" w:sz="0" w:space="0" w:color="auto"/>
                        <w:left w:val="none" w:sz="0" w:space="0" w:color="auto"/>
                        <w:bottom w:val="none" w:sz="0" w:space="0" w:color="auto"/>
                        <w:right w:val="none" w:sz="0" w:space="0" w:color="auto"/>
                      </w:divBdr>
                      <w:divsChild>
                        <w:div w:id="821769990">
                          <w:marLeft w:val="0"/>
                          <w:marRight w:val="0"/>
                          <w:marTop w:val="0"/>
                          <w:marBottom w:val="0"/>
                          <w:divBdr>
                            <w:top w:val="none" w:sz="0" w:space="0" w:color="auto"/>
                            <w:left w:val="none" w:sz="0" w:space="0" w:color="auto"/>
                            <w:bottom w:val="none" w:sz="0" w:space="0" w:color="auto"/>
                            <w:right w:val="none" w:sz="0" w:space="0" w:color="auto"/>
                          </w:divBdr>
                          <w:divsChild>
                            <w:div w:id="869607197">
                              <w:marLeft w:val="0"/>
                              <w:marRight w:val="0"/>
                              <w:marTop w:val="0"/>
                              <w:marBottom w:val="0"/>
                              <w:divBdr>
                                <w:top w:val="none" w:sz="0" w:space="0" w:color="auto"/>
                                <w:left w:val="none" w:sz="0" w:space="0" w:color="auto"/>
                                <w:bottom w:val="none" w:sz="0" w:space="0" w:color="auto"/>
                                <w:right w:val="none" w:sz="0" w:space="0" w:color="auto"/>
                              </w:divBdr>
                              <w:divsChild>
                                <w:div w:id="1250892290">
                                  <w:marLeft w:val="0"/>
                                  <w:marRight w:val="0"/>
                                  <w:marTop w:val="0"/>
                                  <w:marBottom w:val="0"/>
                                  <w:divBdr>
                                    <w:top w:val="none" w:sz="0" w:space="0" w:color="auto"/>
                                    <w:left w:val="none" w:sz="0" w:space="0" w:color="auto"/>
                                    <w:bottom w:val="none" w:sz="0" w:space="0" w:color="auto"/>
                                    <w:right w:val="none" w:sz="0" w:space="0" w:color="auto"/>
                                  </w:divBdr>
                                  <w:divsChild>
                                    <w:div w:id="1340236952">
                                      <w:marLeft w:val="0"/>
                                      <w:marRight w:val="0"/>
                                      <w:marTop w:val="0"/>
                                      <w:marBottom w:val="0"/>
                                      <w:divBdr>
                                        <w:top w:val="none" w:sz="0" w:space="0" w:color="auto"/>
                                        <w:left w:val="none" w:sz="0" w:space="0" w:color="auto"/>
                                        <w:bottom w:val="none" w:sz="0" w:space="0" w:color="auto"/>
                                        <w:right w:val="none" w:sz="0" w:space="0" w:color="auto"/>
                                      </w:divBdr>
                                      <w:divsChild>
                                        <w:div w:id="1430616366">
                                          <w:marLeft w:val="0"/>
                                          <w:marRight w:val="0"/>
                                          <w:marTop w:val="0"/>
                                          <w:marBottom w:val="0"/>
                                          <w:divBdr>
                                            <w:top w:val="none" w:sz="0" w:space="0" w:color="auto"/>
                                            <w:left w:val="none" w:sz="0" w:space="0" w:color="auto"/>
                                            <w:bottom w:val="none" w:sz="0" w:space="0" w:color="auto"/>
                                            <w:right w:val="none" w:sz="0" w:space="0" w:color="auto"/>
                                          </w:divBdr>
                                          <w:divsChild>
                                            <w:div w:id="417137458">
                                              <w:marLeft w:val="0"/>
                                              <w:marRight w:val="0"/>
                                              <w:marTop w:val="0"/>
                                              <w:marBottom w:val="0"/>
                                              <w:divBdr>
                                                <w:top w:val="none" w:sz="0" w:space="0" w:color="auto"/>
                                                <w:left w:val="none" w:sz="0" w:space="0" w:color="auto"/>
                                                <w:bottom w:val="none" w:sz="0" w:space="0" w:color="auto"/>
                                                <w:right w:val="none" w:sz="0" w:space="0" w:color="auto"/>
                                              </w:divBdr>
                                              <w:divsChild>
                                                <w:div w:id="1083910688">
                                                  <w:marLeft w:val="0"/>
                                                  <w:marRight w:val="0"/>
                                                  <w:marTop w:val="0"/>
                                                  <w:marBottom w:val="0"/>
                                                  <w:divBdr>
                                                    <w:top w:val="none" w:sz="0" w:space="0" w:color="auto"/>
                                                    <w:left w:val="none" w:sz="0" w:space="0" w:color="auto"/>
                                                    <w:bottom w:val="none" w:sz="0" w:space="0" w:color="auto"/>
                                                    <w:right w:val="none" w:sz="0" w:space="0" w:color="auto"/>
                                                  </w:divBdr>
                                                  <w:divsChild>
                                                    <w:div w:id="1934777188">
                                                      <w:marLeft w:val="0"/>
                                                      <w:marRight w:val="0"/>
                                                      <w:marTop w:val="0"/>
                                                      <w:marBottom w:val="0"/>
                                                      <w:divBdr>
                                                        <w:top w:val="none" w:sz="0" w:space="0" w:color="auto"/>
                                                        <w:left w:val="none" w:sz="0" w:space="0" w:color="auto"/>
                                                        <w:bottom w:val="none" w:sz="0" w:space="0" w:color="auto"/>
                                                        <w:right w:val="none" w:sz="0" w:space="0" w:color="auto"/>
                                                      </w:divBdr>
                                                      <w:divsChild>
                                                        <w:div w:id="1321539987">
                                                          <w:marLeft w:val="0"/>
                                                          <w:marRight w:val="0"/>
                                                          <w:marTop w:val="0"/>
                                                          <w:marBottom w:val="0"/>
                                                          <w:divBdr>
                                                            <w:top w:val="none" w:sz="0" w:space="0" w:color="auto"/>
                                                            <w:left w:val="none" w:sz="0" w:space="0" w:color="auto"/>
                                                            <w:bottom w:val="none" w:sz="0" w:space="0" w:color="auto"/>
                                                            <w:right w:val="none" w:sz="0" w:space="0" w:color="auto"/>
                                                          </w:divBdr>
                                                          <w:divsChild>
                                                            <w:div w:id="2002388774">
                                                              <w:marLeft w:val="0"/>
                                                              <w:marRight w:val="0"/>
                                                              <w:marTop w:val="0"/>
                                                              <w:marBottom w:val="0"/>
                                                              <w:divBdr>
                                                                <w:top w:val="none" w:sz="0" w:space="0" w:color="auto"/>
                                                                <w:left w:val="none" w:sz="0" w:space="0" w:color="auto"/>
                                                                <w:bottom w:val="none" w:sz="0" w:space="0" w:color="auto"/>
                                                                <w:right w:val="none" w:sz="0" w:space="0" w:color="auto"/>
                                                              </w:divBdr>
                                                              <w:divsChild>
                                                                <w:div w:id="2121680086">
                                                                  <w:marLeft w:val="0"/>
                                                                  <w:marRight w:val="0"/>
                                                                  <w:marTop w:val="0"/>
                                                                  <w:marBottom w:val="0"/>
                                                                  <w:divBdr>
                                                                    <w:top w:val="none" w:sz="0" w:space="0" w:color="auto"/>
                                                                    <w:left w:val="none" w:sz="0" w:space="0" w:color="auto"/>
                                                                    <w:bottom w:val="none" w:sz="0" w:space="0" w:color="auto"/>
                                                                    <w:right w:val="none" w:sz="0" w:space="0" w:color="auto"/>
                                                                  </w:divBdr>
                                                                  <w:divsChild>
                                                                    <w:div w:id="1265725889">
                                                                      <w:marLeft w:val="0"/>
                                                                      <w:marRight w:val="0"/>
                                                                      <w:marTop w:val="0"/>
                                                                      <w:marBottom w:val="0"/>
                                                                      <w:divBdr>
                                                                        <w:top w:val="none" w:sz="0" w:space="0" w:color="auto"/>
                                                                        <w:left w:val="none" w:sz="0" w:space="0" w:color="auto"/>
                                                                        <w:bottom w:val="none" w:sz="0" w:space="0" w:color="auto"/>
                                                                        <w:right w:val="none" w:sz="0" w:space="0" w:color="auto"/>
                                                                      </w:divBdr>
                                                                      <w:divsChild>
                                                                        <w:div w:id="1519848341">
                                                                          <w:marLeft w:val="0"/>
                                                                          <w:marRight w:val="0"/>
                                                                          <w:marTop w:val="0"/>
                                                                          <w:marBottom w:val="0"/>
                                                                          <w:divBdr>
                                                                            <w:top w:val="none" w:sz="0" w:space="0" w:color="auto"/>
                                                                            <w:left w:val="none" w:sz="0" w:space="0" w:color="auto"/>
                                                                            <w:bottom w:val="none" w:sz="0" w:space="0" w:color="auto"/>
                                                                            <w:right w:val="none" w:sz="0" w:space="0" w:color="auto"/>
                                                                          </w:divBdr>
                                                                          <w:divsChild>
                                                                            <w:div w:id="451167166">
                                                                              <w:marLeft w:val="0"/>
                                                                              <w:marRight w:val="0"/>
                                                                              <w:marTop w:val="0"/>
                                                                              <w:marBottom w:val="0"/>
                                                                              <w:divBdr>
                                                                                <w:top w:val="none" w:sz="0" w:space="0" w:color="auto"/>
                                                                                <w:left w:val="none" w:sz="0" w:space="0" w:color="auto"/>
                                                                                <w:bottom w:val="none" w:sz="0" w:space="0" w:color="auto"/>
                                                                                <w:right w:val="none" w:sz="0" w:space="0" w:color="auto"/>
                                                                              </w:divBdr>
                                                                              <w:divsChild>
                                                                                <w:div w:id="804859212">
                                                                                  <w:marLeft w:val="0"/>
                                                                                  <w:marRight w:val="0"/>
                                                                                  <w:marTop w:val="0"/>
                                                                                  <w:marBottom w:val="0"/>
                                                                                  <w:divBdr>
                                                                                    <w:top w:val="none" w:sz="0" w:space="0" w:color="auto"/>
                                                                                    <w:left w:val="none" w:sz="0" w:space="0" w:color="auto"/>
                                                                                    <w:bottom w:val="none" w:sz="0" w:space="0" w:color="auto"/>
                                                                                    <w:right w:val="none" w:sz="0" w:space="0" w:color="auto"/>
                                                                                  </w:divBdr>
                                                                                  <w:divsChild>
                                                                                    <w:div w:id="2100756811">
                                                                                      <w:marLeft w:val="0"/>
                                                                                      <w:marRight w:val="0"/>
                                                                                      <w:marTop w:val="0"/>
                                                                                      <w:marBottom w:val="0"/>
                                                                                      <w:divBdr>
                                                                                        <w:top w:val="none" w:sz="0" w:space="0" w:color="auto"/>
                                                                                        <w:left w:val="none" w:sz="0" w:space="0" w:color="auto"/>
                                                                                        <w:bottom w:val="none" w:sz="0" w:space="0" w:color="auto"/>
                                                                                        <w:right w:val="none" w:sz="0" w:space="0" w:color="auto"/>
                                                                                      </w:divBdr>
                                                                                      <w:divsChild>
                                                                                        <w:div w:id="1231620023">
                                                                                          <w:marLeft w:val="0"/>
                                                                                          <w:marRight w:val="0"/>
                                                                                          <w:marTop w:val="0"/>
                                                                                          <w:marBottom w:val="0"/>
                                                                                          <w:divBdr>
                                                                                            <w:top w:val="none" w:sz="0" w:space="0" w:color="auto"/>
                                                                                            <w:left w:val="none" w:sz="0" w:space="0" w:color="auto"/>
                                                                                            <w:bottom w:val="none" w:sz="0" w:space="0" w:color="auto"/>
                                                                                            <w:right w:val="none" w:sz="0" w:space="0" w:color="auto"/>
                                                                                          </w:divBdr>
                                                                                          <w:divsChild>
                                                                                            <w:div w:id="337854203">
                                                                                              <w:marLeft w:val="0"/>
                                                                                              <w:marRight w:val="0"/>
                                                                                              <w:marTop w:val="0"/>
                                                                                              <w:marBottom w:val="0"/>
                                                                                              <w:divBdr>
                                                                                                <w:top w:val="none" w:sz="0" w:space="0" w:color="auto"/>
                                                                                                <w:left w:val="none" w:sz="0" w:space="0" w:color="auto"/>
                                                                                                <w:bottom w:val="none" w:sz="0" w:space="0" w:color="auto"/>
                                                                                                <w:right w:val="none" w:sz="0" w:space="0" w:color="auto"/>
                                                                                              </w:divBdr>
                                                                                              <w:divsChild>
                                                                                                <w:div w:id="1451780677">
                                                                                                  <w:marLeft w:val="0"/>
                                                                                                  <w:marRight w:val="0"/>
                                                                                                  <w:marTop w:val="0"/>
                                                                                                  <w:marBottom w:val="0"/>
                                                                                                  <w:divBdr>
                                                                                                    <w:top w:val="none" w:sz="0" w:space="0" w:color="auto"/>
                                                                                                    <w:left w:val="none" w:sz="0" w:space="0" w:color="auto"/>
                                                                                                    <w:bottom w:val="none" w:sz="0" w:space="0" w:color="auto"/>
                                                                                                    <w:right w:val="none" w:sz="0" w:space="0" w:color="auto"/>
                                                                                                  </w:divBdr>
                                                                                                  <w:divsChild>
                                                                                                    <w:div w:id="1839341277">
                                                                                                      <w:marLeft w:val="0"/>
                                                                                                      <w:marRight w:val="0"/>
                                                                                                      <w:marTop w:val="0"/>
                                                                                                      <w:marBottom w:val="0"/>
                                                                                                      <w:divBdr>
                                                                                                        <w:top w:val="none" w:sz="0" w:space="0" w:color="auto"/>
                                                                                                        <w:left w:val="none" w:sz="0" w:space="0" w:color="auto"/>
                                                                                                        <w:bottom w:val="none" w:sz="0" w:space="0" w:color="auto"/>
                                                                                                        <w:right w:val="none" w:sz="0" w:space="0" w:color="auto"/>
                                                                                                      </w:divBdr>
                                                                                                      <w:divsChild>
                                                                                                        <w:div w:id="1277581">
                                                                                                          <w:marLeft w:val="0"/>
                                                                                                          <w:marRight w:val="0"/>
                                                                                                          <w:marTop w:val="0"/>
                                                                                                          <w:marBottom w:val="0"/>
                                                                                                          <w:divBdr>
                                                                                                            <w:top w:val="none" w:sz="0" w:space="0" w:color="auto"/>
                                                                                                            <w:left w:val="none" w:sz="0" w:space="0" w:color="auto"/>
                                                                                                            <w:bottom w:val="none" w:sz="0" w:space="0" w:color="auto"/>
                                                                                                            <w:right w:val="none" w:sz="0" w:space="0" w:color="auto"/>
                                                                                                          </w:divBdr>
                                                                                                          <w:divsChild>
                                                                                                            <w:div w:id="2086999207">
                                                                                                              <w:marLeft w:val="0"/>
                                                                                                              <w:marRight w:val="0"/>
                                                                                                              <w:marTop w:val="0"/>
                                                                                                              <w:marBottom w:val="0"/>
                                                                                                              <w:divBdr>
                                                                                                                <w:top w:val="none" w:sz="0" w:space="0" w:color="auto"/>
                                                                                                                <w:left w:val="none" w:sz="0" w:space="0" w:color="auto"/>
                                                                                                                <w:bottom w:val="none" w:sz="0" w:space="0" w:color="auto"/>
                                                                                                                <w:right w:val="none" w:sz="0" w:space="0" w:color="auto"/>
                                                                                                              </w:divBdr>
                                                                                                              <w:divsChild>
                                                                                                                <w:div w:id="642154012">
                                                                                                                  <w:marLeft w:val="0"/>
                                                                                                                  <w:marRight w:val="0"/>
                                                                                                                  <w:marTop w:val="0"/>
                                                                                                                  <w:marBottom w:val="0"/>
                                                                                                                  <w:divBdr>
                                                                                                                    <w:top w:val="none" w:sz="0" w:space="0" w:color="auto"/>
                                                                                                                    <w:left w:val="none" w:sz="0" w:space="0" w:color="auto"/>
                                                                                                                    <w:bottom w:val="none" w:sz="0" w:space="0" w:color="auto"/>
                                                                                                                    <w:right w:val="none" w:sz="0" w:space="0" w:color="auto"/>
                                                                                                                  </w:divBdr>
                                                                                                                  <w:divsChild>
                                                                                                                    <w:div w:id="1120413169">
                                                                                                                      <w:marLeft w:val="0"/>
                                                                                                                      <w:marRight w:val="0"/>
                                                                                                                      <w:marTop w:val="0"/>
                                                                                                                      <w:marBottom w:val="0"/>
                                                                                                                      <w:divBdr>
                                                                                                                        <w:top w:val="none" w:sz="0" w:space="0" w:color="auto"/>
                                                                                                                        <w:left w:val="none" w:sz="0" w:space="0" w:color="auto"/>
                                                                                                                        <w:bottom w:val="none" w:sz="0" w:space="0" w:color="auto"/>
                                                                                                                        <w:right w:val="none" w:sz="0" w:space="0" w:color="auto"/>
                                                                                                                      </w:divBdr>
                                                                                                                      <w:divsChild>
                                                                                                                        <w:div w:id="1513494540">
                                                                                                                          <w:marLeft w:val="0"/>
                                                                                                                          <w:marRight w:val="0"/>
                                                                                                                          <w:marTop w:val="0"/>
                                                                                                                          <w:marBottom w:val="0"/>
                                                                                                                          <w:divBdr>
                                                                                                                            <w:top w:val="none" w:sz="0" w:space="0" w:color="auto"/>
                                                                                                                            <w:left w:val="none" w:sz="0" w:space="0" w:color="auto"/>
                                                                                                                            <w:bottom w:val="none" w:sz="0" w:space="0" w:color="auto"/>
                                                                                                                            <w:right w:val="none" w:sz="0" w:space="0" w:color="auto"/>
                                                                                                                          </w:divBdr>
                                                                                                                          <w:divsChild>
                                                                                                                            <w:div w:id="738603007">
                                                                                                                              <w:marLeft w:val="0"/>
                                                                                                                              <w:marRight w:val="0"/>
                                                                                                                              <w:marTop w:val="0"/>
                                                                                                                              <w:marBottom w:val="0"/>
                                                                                                                              <w:divBdr>
                                                                                                                                <w:top w:val="none" w:sz="0" w:space="0" w:color="auto"/>
                                                                                                                                <w:left w:val="none" w:sz="0" w:space="0" w:color="auto"/>
                                                                                                                                <w:bottom w:val="none" w:sz="0" w:space="0" w:color="auto"/>
                                                                                                                                <w:right w:val="none" w:sz="0" w:space="0" w:color="auto"/>
                                                                                                                              </w:divBdr>
                                                                                                                              <w:divsChild>
                                                                                                                                <w:div w:id="1401561168">
                                                                                                                                  <w:marLeft w:val="0"/>
                                                                                                                                  <w:marRight w:val="0"/>
                                                                                                                                  <w:marTop w:val="0"/>
                                                                                                                                  <w:marBottom w:val="0"/>
                                                                                                                                  <w:divBdr>
                                                                                                                                    <w:top w:val="none" w:sz="0" w:space="0" w:color="auto"/>
                                                                                                                                    <w:left w:val="none" w:sz="0" w:space="0" w:color="auto"/>
                                                                                                                                    <w:bottom w:val="none" w:sz="0" w:space="0" w:color="auto"/>
                                                                                                                                    <w:right w:val="none" w:sz="0" w:space="0" w:color="auto"/>
                                                                                                                                  </w:divBdr>
                                                                                                                                  <w:divsChild>
                                                                                                                                    <w:div w:id="350490730">
                                                                                                                                      <w:marLeft w:val="0"/>
                                                                                                                                      <w:marRight w:val="0"/>
                                                                                                                                      <w:marTop w:val="0"/>
                                                                                                                                      <w:marBottom w:val="0"/>
                                                                                                                                      <w:divBdr>
                                                                                                                                        <w:top w:val="none" w:sz="0" w:space="0" w:color="auto"/>
                                                                                                                                        <w:left w:val="none" w:sz="0" w:space="0" w:color="auto"/>
                                                                                                                                        <w:bottom w:val="none" w:sz="0" w:space="0" w:color="auto"/>
                                                                                                                                        <w:right w:val="none" w:sz="0" w:space="0" w:color="auto"/>
                                                                                                                                      </w:divBdr>
                                                                                                                                      <w:divsChild>
                                                                                                                                        <w:div w:id="1634292141">
                                                                                                                                          <w:marLeft w:val="0"/>
                                                                                                                                          <w:marRight w:val="0"/>
                                                                                                                                          <w:marTop w:val="0"/>
                                                                                                                                          <w:marBottom w:val="0"/>
                                                                                                                                          <w:divBdr>
                                                                                                                                            <w:top w:val="none" w:sz="0" w:space="0" w:color="auto"/>
                                                                                                                                            <w:left w:val="none" w:sz="0" w:space="0" w:color="auto"/>
                                                                                                                                            <w:bottom w:val="none" w:sz="0" w:space="0" w:color="auto"/>
                                                                                                                                            <w:right w:val="none" w:sz="0" w:space="0" w:color="auto"/>
                                                                                                                                          </w:divBdr>
                                                                                                                                          <w:divsChild>
                                                                                                                                            <w:div w:id="1154221412">
                                                                                                                                              <w:marLeft w:val="0"/>
                                                                                                                                              <w:marRight w:val="0"/>
                                                                                                                                              <w:marTop w:val="0"/>
                                                                                                                                              <w:marBottom w:val="0"/>
                                                                                                                                              <w:divBdr>
                                                                                                                                                <w:top w:val="none" w:sz="0" w:space="0" w:color="auto"/>
                                                                                                                                                <w:left w:val="none" w:sz="0" w:space="0" w:color="auto"/>
                                                                                                                                                <w:bottom w:val="none" w:sz="0" w:space="0" w:color="auto"/>
                                                                                                                                                <w:right w:val="none" w:sz="0" w:space="0" w:color="auto"/>
                                                                                                                                              </w:divBdr>
                                                                                                                                              <w:divsChild>
                                                                                                                                                <w:div w:id="1659528508">
                                                                                                                                                  <w:marLeft w:val="0"/>
                                                                                                                                                  <w:marRight w:val="0"/>
                                                                                                                                                  <w:marTop w:val="0"/>
                                                                                                                                                  <w:marBottom w:val="0"/>
                                                                                                                                                  <w:divBdr>
                                                                                                                                                    <w:top w:val="none" w:sz="0" w:space="0" w:color="auto"/>
                                                                                                                                                    <w:left w:val="none" w:sz="0" w:space="0" w:color="auto"/>
                                                                                                                                                    <w:bottom w:val="none" w:sz="0" w:space="0" w:color="auto"/>
                                                                                                                                                    <w:right w:val="none" w:sz="0" w:space="0" w:color="auto"/>
                                                                                                                                                  </w:divBdr>
                                                                                                                                                  <w:divsChild>
                                                                                                                                                    <w:div w:id="243609237">
                                                                                                                                                      <w:marLeft w:val="0"/>
                                                                                                                                                      <w:marRight w:val="0"/>
                                                                                                                                                      <w:marTop w:val="0"/>
                                                                                                                                                      <w:marBottom w:val="0"/>
                                                                                                                                                      <w:divBdr>
                                                                                                                                                        <w:top w:val="none" w:sz="0" w:space="0" w:color="auto"/>
                                                                                                                                                        <w:left w:val="none" w:sz="0" w:space="0" w:color="auto"/>
                                                                                                                                                        <w:bottom w:val="none" w:sz="0" w:space="0" w:color="auto"/>
                                                                                                                                                        <w:right w:val="none" w:sz="0" w:space="0" w:color="auto"/>
                                                                                                                                                      </w:divBdr>
                                                                                                                                                      <w:divsChild>
                                                                                                                                                        <w:div w:id="1690982456">
                                                                                                                                                          <w:marLeft w:val="0"/>
                                                                                                                                                          <w:marRight w:val="0"/>
                                                                                                                                                          <w:marTop w:val="0"/>
                                                                                                                                                          <w:marBottom w:val="0"/>
                                                                                                                                                          <w:divBdr>
                                                                                                                                                            <w:top w:val="none" w:sz="0" w:space="0" w:color="auto"/>
                                                                                                                                                            <w:left w:val="none" w:sz="0" w:space="0" w:color="auto"/>
                                                                                                                                                            <w:bottom w:val="none" w:sz="0" w:space="0" w:color="auto"/>
                                                                                                                                                            <w:right w:val="none" w:sz="0" w:space="0" w:color="auto"/>
                                                                                                                                                          </w:divBdr>
                                                                                                                                                          <w:divsChild>
                                                                                                                                                            <w:div w:id="2041389928">
                                                                                                                                                              <w:marLeft w:val="0"/>
                                                                                                                                                              <w:marRight w:val="0"/>
                                                                                                                                                              <w:marTop w:val="0"/>
                                                                                                                                                              <w:marBottom w:val="0"/>
                                                                                                                                                              <w:divBdr>
                                                                                                                                                                <w:top w:val="none" w:sz="0" w:space="0" w:color="auto"/>
                                                                                                                                                                <w:left w:val="none" w:sz="0" w:space="0" w:color="auto"/>
                                                                                                                                                                <w:bottom w:val="none" w:sz="0" w:space="0" w:color="auto"/>
                                                                                                                                                                <w:right w:val="none" w:sz="0" w:space="0" w:color="auto"/>
                                                                                                                                                              </w:divBdr>
                                                                                                                                                              <w:divsChild>
                                                                                                                                                                <w:div w:id="2069302870">
                                                                                                                                                                  <w:marLeft w:val="0"/>
                                                                                                                                                                  <w:marRight w:val="0"/>
                                                                                                                                                                  <w:marTop w:val="0"/>
                                                                                                                                                                  <w:marBottom w:val="0"/>
                                                                                                                                                                  <w:divBdr>
                                                                                                                                                                    <w:top w:val="none" w:sz="0" w:space="0" w:color="auto"/>
                                                                                                                                                                    <w:left w:val="none" w:sz="0" w:space="0" w:color="auto"/>
                                                                                                                                                                    <w:bottom w:val="none" w:sz="0" w:space="0" w:color="auto"/>
                                                                                                                                                                    <w:right w:val="none" w:sz="0" w:space="0" w:color="auto"/>
                                                                                                                                                                  </w:divBdr>
                                                                                                                                                                  <w:divsChild>
                                                                                                                                                                    <w:div w:id="967665509">
                                                                                                                                                                      <w:marLeft w:val="0"/>
                                                                                                                                                                      <w:marRight w:val="0"/>
                                                                                                                                                                      <w:marTop w:val="0"/>
                                                                                                                                                                      <w:marBottom w:val="0"/>
                                                                                                                                                                      <w:divBdr>
                                                                                                                                                                        <w:top w:val="none" w:sz="0" w:space="0" w:color="auto"/>
                                                                                                                                                                        <w:left w:val="none" w:sz="0" w:space="0" w:color="auto"/>
                                                                                                                                                                        <w:bottom w:val="none" w:sz="0" w:space="0" w:color="auto"/>
                                                                                                                                                                        <w:right w:val="none" w:sz="0" w:space="0" w:color="auto"/>
                                                                                                                                                                      </w:divBdr>
                                                                                                                                                                      <w:divsChild>
                                                                                                                                                                        <w:div w:id="2103640494">
                                                                                                                                                                          <w:marLeft w:val="0"/>
                                                                                                                                                                          <w:marRight w:val="0"/>
                                                                                                                                                                          <w:marTop w:val="0"/>
                                                                                                                                                                          <w:marBottom w:val="0"/>
                                                                                                                                                                          <w:divBdr>
                                                                                                                                                                            <w:top w:val="none" w:sz="0" w:space="0" w:color="auto"/>
                                                                                                                                                                            <w:left w:val="none" w:sz="0" w:space="0" w:color="auto"/>
                                                                                                                                                                            <w:bottom w:val="none" w:sz="0" w:space="0" w:color="auto"/>
                                                                                                                                                                            <w:right w:val="none" w:sz="0" w:space="0" w:color="auto"/>
                                                                                                                                                                          </w:divBdr>
                                                                                                                                                                          <w:divsChild>
                                                                                                                                                                            <w:div w:id="1921744853">
                                                                                                                                                                              <w:marLeft w:val="0"/>
                                                                                                                                                                              <w:marRight w:val="0"/>
                                                                                                                                                                              <w:marTop w:val="0"/>
                                                                                                                                                                              <w:marBottom w:val="0"/>
                                                                                                                                                                              <w:divBdr>
                                                                                                                                                                                <w:top w:val="none" w:sz="0" w:space="0" w:color="auto"/>
                                                                                                                                                                                <w:left w:val="none" w:sz="0" w:space="0" w:color="auto"/>
                                                                                                                                                                                <w:bottom w:val="none" w:sz="0" w:space="0" w:color="auto"/>
                                                                                                                                                                                <w:right w:val="none" w:sz="0" w:space="0" w:color="auto"/>
                                                                                                                                                                              </w:divBdr>
                                                                                                                                                                              <w:divsChild>
                                                                                                                                                                                <w:div w:id="1112169231">
                                                                                                                                                                                  <w:marLeft w:val="0"/>
                                                                                                                                                                                  <w:marRight w:val="0"/>
                                                                                                                                                                                  <w:marTop w:val="0"/>
                                                                                                                                                                                  <w:marBottom w:val="0"/>
                                                                                                                                                                                  <w:divBdr>
                                                                                                                                                                                    <w:top w:val="none" w:sz="0" w:space="0" w:color="auto"/>
                                                                                                                                                                                    <w:left w:val="none" w:sz="0" w:space="0" w:color="auto"/>
                                                                                                                                                                                    <w:bottom w:val="none" w:sz="0" w:space="0" w:color="auto"/>
                                                                                                                                                                                    <w:right w:val="none" w:sz="0" w:space="0" w:color="auto"/>
                                                                                                                                                                                  </w:divBdr>
                                                                                                                                                                                  <w:divsChild>
                                                                                                                                                                                    <w:div w:id="1176117814">
                                                                                                                                                                                      <w:marLeft w:val="0"/>
                                                                                                                                                                                      <w:marRight w:val="0"/>
                                                                                                                                                                                      <w:marTop w:val="0"/>
                                                                                                                                                                                      <w:marBottom w:val="0"/>
                                                                                                                                                                                      <w:divBdr>
                                                                                                                                                                                        <w:top w:val="none" w:sz="0" w:space="0" w:color="auto"/>
                                                                                                                                                                                        <w:left w:val="none" w:sz="0" w:space="0" w:color="auto"/>
                                                                                                                                                                                        <w:bottom w:val="none" w:sz="0" w:space="0" w:color="auto"/>
                                                                                                                                                                                        <w:right w:val="none" w:sz="0" w:space="0" w:color="auto"/>
                                                                                                                                                                                      </w:divBdr>
                                                                                                                                                                                      <w:divsChild>
                                                                                                                                                                                        <w:div w:id="1486512869">
                                                                                                                                                                                          <w:marLeft w:val="0"/>
                                                                                                                                                                                          <w:marRight w:val="0"/>
                                                                                                                                                                                          <w:marTop w:val="0"/>
                                                                                                                                                                                          <w:marBottom w:val="0"/>
                                                                                                                                                                                          <w:divBdr>
                                                                                                                                                                                            <w:top w:val="none" w:sz="0" w:space="0" w:color="auto"/>
                                                                                                                                                                                            <w:left w:val="none" w:sz="0" w:space="0" w:color="auto"/>
                                                                                                                                                                                            <w:bottom w:val="none" w:sz="0" w:space="0" w:color="auto"/>
                                                                                                                                                                                            <w:right w:val="none" w:sz="0" w:space="0" w:color="auto"/>
                                                                                                                                                                                          </w:divBdr>
                                                                                                                                                                                          <w:divsChild>
                                                                                                                                                                                            <w:div w:id="785543657">
                                                                                                                                                                                              <w:marLeft w:val="0"/>
                                                                                                                                                                                              <w:marRight w:val="0"/>
                                                                                                                                                                                              <w:marTop w:val="0"/>
                                                                                                                                                                                              <w:marBottom w:val="0"/>
                                                                                                                                                                                              <w:divBdr>
                                                                                                                                                                                                <w:top w:val="none" w:sz="0" w:space="0" w:color="auto"/>
                                                                                                                                                                                                <w:left w:val="none" w:sz="0" w:space="0" w:color="auto"/>
                                                                                                                                                                                                <w:bottom w:val="none" w:sz="0" w:space="0" w:color="auto"/>
                                                                                                                                                                                                <w:right w:val="none" w:sz="0" w:space="0" w:color="auto"/>
                                                                                                                                                                                              </w:divBdr>
                                                                                                                                                                                              <w:divsChild>
                                                                                                                                                                                                <w:div w:id="825440871">
                                                                                                                                                                                                  <w:marLeft w:val="0"/>
                                                                                                                                                                                                  <w:marRight w:val="0"/>
                                                                                                                                                                                                  <w:marTop w:val="0"/>
                                                                                                                                                                                                  <w:marBottom w:val="0"/>
                                                                                                                                                                                                  <w:divBdr>
                                                                                                                                                                                                    <w:top w:val="none" w:sz="0" w:space="0" w:color="auto"/>
                                                                                                                                                                                                    <w:left w:val="none" w:sz="0" w:space="0" w:color="auto"/>
                                                                                                                                                                                                    <w:bottom w:val="none" w:sz="0" w:space="0" w:color="auto"/>
                                                                                                                                                                                                    <w:right w:val="none" w:sz="0" w:space="0" w:color="auto"/>
                                                                                                                                                                                                  </w:divBdr>
                                                                                                                                                                                                  <w:divsChild>
                                                                                                                                                                                                    <w:div w:id="246380534">
                                                                                                                                                                                                      <w:marLeft w:val="0"/>
                                                                                                                                                                                                      <w:marRight w:val="0"/>
                                                                                                                                                                                                      <w:marTop w:val="0"/>
                                                                                                                                                                                                      <w:marBottom w:val="0"/>
                                                                                                                                                                                                      <w:divBdr>
                                                                                                                                                                                                        <w:top w:val="none" w:sz="0" w:space="0" w:color="auto"/>
                                                                                                                                                                                                        <w:left w:val="none" w:sz="0" w:space="0" w:color="auto"/>
                                                                                                                                                                                                        <w:bottom w:val="none" w:sz="0" w:space="0" w:color="auto"/>
                                                                                                                                                                                                        <w:right w:val="none" w:sz="0" w:space="0" w:color="auto"/>
                                                                                                                                                                                                      </w:divBdr>
                                                                                                                                                                                                      <w:divsChild>
                                                                                                                                                                                                        <w:div w:id="2007784125">
                                                                                                                                                                                                          <w:marLeft w:val="0"/>
                                                                                                                                                                                                          <w:marRight w:val="0"/>
                                                                                                                                                                                                          <w:marTop w:val="0"/>
                                                                                                                                                                                                          <w:marBottom w:val="0"/>
                                                                                                                                                                                                          <w:divBdr>
                                                                                                                                                                                                            <w:top w:val="none" w:sz="0" w:space="0" w:color="auto"/>
                                                                                                                                                                                                            <w:left w:val="none" w:sz="0" w:space="0" w:color="auto"/>
                                                                                                                                                                                                            <w:bottom w:val="none" w:sz="0" w:space="0" w:color="auto"/>
                                                                                                                                                                                                            <w:right w:val="none" w:sz="0" w:space="0" w:color="auto"/>
                                                                                                                                                                                                          </w:divBdr>
                                                                                                                                                                                                          <w:divsChild>
                                                                                                                                                                                                            <w:div w:id="272128838">
                                                                                                                                                                                                              <w:marLeft w:val="0"/>
                                                                                                                                                                                                              <w:marRight w:val="0"/>
                                                                                                                                                                                                              <w:marTop w:val="0"/>
                                                                                                                                                                                                              <w:marBottom w:val="0"/>
                                                                                                                                                                                                              <w:divBdr>
                                                                                                                                                                                                                <w:top w:val="none" w:sz="0" w:space="0" w:color="auto"/>
                                                                                                                                                                                                                <w:left w:val="none" w:sz="0" w:space="0" w:color="auto"/>
                                                                                                                                                                                                                <w:bottom w:val="none" w:sz="0" w:space="0" w:color="auto"/>
                                                                                                                                                                                                                <w:right w:val="none" w:sz="0" w:space="0" w:color="auto"/>
                                                                                                                                                                                                              </w:divBdr>
                                                                                                                                                                                                              <w:divsChild>
                                                                                                                                                                                                                <w:div w:id="540483136">
                                                                                                                                                                                                                  <w:marLeft w:val="0"/>
                                                                                                                                                                                                                  <w:marRight w:val="0"/>
                                                                                                                                                                                                                  <w:marTop w:val="0"/>
                                                                                                                                                                                                                  <w:marBottom w:val="0"/>
                                                                                                                                                                                                                  <w:divBdr>
                                                                                                                                                                                                                    <w:top w:val="none" w:sz="0" w:space="0" w:color="auto"/>
                                                                                                                                                                                                                    <w:left w:val="none" w:sz="0" w:space="0" w:color="auto"/>
                                                                                                                                                                                                                    <w:bottom w:val="none" w:sz="0" w:space="0" w:color="auto"/>
                                                                                                                                                                                                                    <w:right w:val="none" w:sz="0" w:space="0" w:color="auto"/>
                                                                                                                                                                                                                  </w:divBdr>
                                                                                                                                                                                                                  <w:divsChild>
                                                                                                                                                                                                                    <w:div w:id="1302223560">
                                                                                                                                                                                                                      <w:marLeft w:val="0"/>
                                                                                                                                                                                                                      <w:marRight w:val="0"/>
                                                                                                                                                                                                                      <w:marTop w:val="0"/>
                                                                                                                                                                                                                      <w:marBottom w:val="0"/>
                                                                                                                                                                                                                      <w:divBdr>
                                                                                                                                                                                                                        <w:top w:val="none" w:sz="0" w:space="0" w:color="auto"/>
                                                                                                                                                                                                                        <w:left w:val="none" w:sz="0" w:space="0" w:color="auto"/>
                                                                                                                                                                                                                        <w:bottom w:val="none" w:sz="0" w:space="0" w:color="auto"/>
                                                                                                                                                                                                                        <w:right w:val="none" w:sz="0" w:space="0" w:color="auto"/>
                                                                                                                                                                                                                      </w:divBdr>
                                                                                                                                                                                                                      <w:divsChild>
                                                                                                                                                                                                                        <w:div w:id="228852715">
                                                                                                                                                                                                                          <w:marLeft w:val="0"/>
                                                                                                                                                                                                                          <w:marRight w:val="0"/>
                                                                                                                                                                                                                          <w:marTop w:val="0"/>
                                                                                                                                                                                                                          <w:marBottom w:val="0"/>
                                                                                                                                                                                                                          <w:divBdr>
                                                                                                                                                                                                                            <w:top w:val="none" w:sz="0" w:space="0" w:color="auto"/>
                                                                                                                                                                                                                            <w:left w:val="none" w:sz="0" w:space="0" w:color="auto"/>
                                                                                                                                                                                                                            <w:bottom w:val="none" w:sz="0" w:space="0" w:color="auto"/>
                                                                                                                                                                                                                            <w:right w:val="none" w:sz="0" w:space="0" w:color="auto"/>
                                                                                                                                                                                                                          </w:divBdr>
                                                                                                                                                                                                                          <w:divsChild>
                                                                                                                                                                                                                            <w:div w:id="1553881310">
                                                                                                                                                                                                                              <w:marLeft w:val="0"/>
                                                                                                                                                                                                                              <w:marRight w:val="0"/>
                                                                                                                                                                                                                              <w:marTop w:val="0"/>
                                                                                                                                                                                                                              <w:marBottom w:val="0"/>
                                                                                                                                                                                                                              <w:divBdr>
                                                                                                                                                                                                                                <w:top w:val="none" w:sz="0" w:space="0" w:color="auto"/>
                                                                                                                                                                                                                                <w:left w:val="none" w:sz="0" w:space="0" w:color="auto"/>
                                                                                                                                                                                                                                <w:bottom w:val="none" w:sz="0" w:space="0" w:color="auto"/>
                                                                                                                                                                                                                                <w:right w:val="none" w:sz="0" w:space="0" w:color="auto"/>
                                                                                                                                                                                                                              </w:divBdr>
                                                                                                                                                                                                                              <w:divsChild>
                                                                                                                                                                                                                                <w:div w:id="179301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22349</Words>
  <Characters>127393</Characters>
  <Application>Microsoft Macintosh Word</Application>
  <DocSecurity>0</DocSecurity>
  <Lines>1061</Lines>
  <Paragraphs>298</Paragraphs>
  <ScaleCrop>false</ScaleCrop>
  <Company/>
  <LinksUpToDate>false</LinksUpToDate>
  <CharactersWithSpaces>149444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dc:creator>
  <cp:keywords/>
  <dc:description/>
  <cp:lastModifiedBy>Nicole</cp:lastModifiedBy>
  <cp:revision>2</cp:revision>
  <cp:lastPrinted>2015-08-17T22:17:00Z</cp:lastPrinted>
  <dcterms:created xsi:type="dcterms:W3CDTF">2015-08-18T01:20:00Z</dcterms:created>
  <dcterms:modified xsi:type="dcterms:W3CDTF">2015-08-18T01:20:00Z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creanza@gmail.com@www.mendeley.com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http://www.zotero.org/styles/evolutionary-ecology</vt:lpwstr>
  </property>
  <property fmtid="{D5CDD505-2E9C-101B-9397-08002B2CF9AE}" pid="14" name="Mendeley Recent Style Name 4_1">
    <vt:lpwstr>Evolutionary Ecology</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http://www.zotero.org/styles/proceedings-of-the-royal-society-b</vt:lpwstr>
  </property>
  <property fmtid="{D5CDD505-2E9C-101B-9397-08002B2CF9AE}" pid="24" name="Mendeley Recent Style Name 9_1">
    <vt:lpwstr>Proceedings of the Royal Society B</vt:lpwstr>
  </property>
</Properties>
</file>