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57C04" w14:textId="21CC1673" w:rsidR="008E6F5F" w:rsidRDefault="00380293" w:rsidP="00380293">
      <w:pPr>
        <w:jc w:val="center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Supplementary Online </w:t>
      </w:r>
      <w:r w:rsidR="008E6F5F">
        <w:rPr>
          <w:rFonts w:cstheme="minorHAnsi"/>
          <w:b/>
          <w:lang w:val="en-US"/>
        </w:rPr>
        <w:t>Appendix</w:t>
      </w:r>
    </w:p>
    <w:p w14:paraId="6583733A" w14:textId="5925BC92" w:rsidR="008E6F5F" w:rsidRDefault="008E6F5F" w:rsidP="008E6F5F">
      <w:pPr>
        <w:spacing w:after="0" w:line="360" w:lineRule="auto"/>
        <w:ind w:firstLine="567"/>
        <w:rPr>
          <w:sz w:val="20"/>
          <w:szCs w:val="20"/>
          <w:lang w:val="en-US"/>
        </w:rPr>
      </w:pPr>
      <w:r>
        <w:rPr>
          <w:rFonts w:cstheme="minorHAnsi"/>
          <w:b/>
          <w:lang w:val="en-US"/>
        </w:rPr>
        <w:t xml:space="preserve">Average marginal effects: </w:t>
      </w:r>
      <w:r>
        <w:rPr>
          <w:lang w:val="en-US"/>
        </w:rPr>
        <w:t xml:space="preserve">Marginal effect of continuous explanatory variable </w:t>
      </w:r>
      <w:r>
        <w:rPr>
          <w:i/>
          <w:iCs/>
          <w:lang w:val="en-US"/>
        </w:rPr>
        <w:t>x</w:t>
      </w:r>
      <w:r>
        <w:rPr>
          <w:lang w:val="en-US"/>
        </w:rPr>
        <w:t xml:space="preserve"> on probability </w:t>
      </w:r>
      <m:oMath>
        <m:r>
          <w:rPr>
            <w:rFonts w:ascii="Cambria Math" w:hAnsi="Cambria Math" w:cstheme="minorHAnsi"/>
          </w:rPr>
          <m:t>P</m:t>
        </m:r>
        <m:r>
          <w:rPr>
            <w:rFonts w:ascii="Cambria Math" w:hAnsi="Cambria Math" w:cstheme="minorHAnsi"/>
            <w:lang w:val="en-US"/>
          </w:rPr>
          <m:t>(</m:t>
        </m:r>
        <m:sSub>
          <m:sSubPr>
            <m:ctrlPr>
              <w:rPr>
                <w:rFonts w:ascii="Cambria Math" w:eastAsia="Calibri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hAnsi="Cambria Math" w:cstheme="minorHAnsi"/>
              </w:rPr>
              <m:t>Y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r>
          <w:rPr>
            <w:rFonts w:ascii="Cambria Math" w:hAnsi="Cambria Math" w:cstheme="minorHAnsi"/>
          </w:rPr>
          <m:t>k</m:t>
        </m:r>
        <m:r>
          <w:rPr>
            <w:rFonts w:ascii="Cambria Math" w:hAnsi="Cambria Math" w:cstheme="minorHAnsi"/>
            <w:lang w:val="en-US"/>
          </w:rPr>
          <m:t>)</m:t>
        </m:r>
      </m:oMath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that individual </w:t>
      </w:r>
      <w:r>
        <w:rPr>
          <w:i/>
          <w:iCs/>
          <w:lang w:val="en-US"/>
        </w:rPr>
        <w:t>i</w:t>
      </w:r>
      <w:r>
        <w:rPr>
          <w:lang w:val="en-US"/>
        </w:rPr>
        <w:t xml:space="preserve"> chooses alternative </w:t>
      </w:r>
      <w:r>
        <w:rPr>
          <w:i/>
          <w:iCs/>
          <w:lang w:val="en-US"/>
        </w:rPr>
        <w:t xml:space="preserve">k </w:t>
      </w:r>
      <w:r>
        <w:rPr>
          <w:lang w:val="en-US"/>
        </w:rPr>
        <w:t>is</w:t>
      </w:r>
      <w:r>
        <w:rPr>
          <w:i/>
          <w:iCs/>
          <w:lang w:val="en-US"/>
        </w:rPr>
        <w:t xml:space="preserve">  </w:t>
      </w:r>
      <w:r>
        <w:rPr>
          <w:sz w:val="20"/>
          <w:szCs w:val="20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="Courier New"/>
                <w:b/>
                <w:bCs/>
                <w:i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Courier New"/>
                <w:sz w:val="20"/>
                <w:szCs w:val="20"/>
                <w:lang w:val="en-GB"/>
              </w:rPr>
              <m:t>d</m:t>
            </m:r>
            <m:r>
              <w:rPr>
                <w:rFonts w:ascii="Cambria Math" w:hAnsi="Cambria Math" w:cs="Courier New"/>
              </w:rPr>
              <m:t>P</m:t>
            </m:r>
            <m:r>
              <w:rPr>
                <w:rFonts w:ascii="Cambria Math" w:hAnsi="Cambria Math" w:cs="Courier New"/>
                <w:lang w:val="en-US"/>
              </w:rPr>
              <m:t>(</m:t>
            </m:r>
            <m:sSub>
              <m:sSubPr>
                <m:ctrlPr>
                  <w:rPr>
                    <w:rFonts w:ascii="Cambria Math" w:eastAsia="Calibri" w:hAnsi="Cambria Math" w:cs="Courier New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Y</m:t>
                </m:r>
              </m:e>
              <m:sub>
                <m:r>
                  <w:rPr>
                    <w:rFonts w:ascii="Cambria Math" w:hAnsi="Cambria Math" w:cs="Courier New"/>
                  </w:rPr>
                  <m:t>i</m:t>
                </m:r>
              </m:sub>
            </m:sSub>
            <m:r>
              <w:rPr>
                <w:rFonts w:ascii="Cambria Math" w:hAnsi="Cambria Math" w:cs="Courier New"/>
                <w:lang w:val="en-US"/>
              </w:rPr>
              <m:t>=</m:t>
            </m:r>
            <m:r>
              <w:rPr>
                <w:rFonts w:ascii="Cambria Math" w:hAnsi="Cambria Math" w:cs="Courier New"/>
              </w:rPr>
              <m:t>k</m:t>
            </m:r>
            <m:r>
              <w:rPr>
                <w:rFonts w:ascii="Cambria Math" w:hAnsi="Cambria Math" w:cs="Courier New"/>
                <w:lang w:val="en-US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Courier New"/>
                <w:sz w:val="20"/>
                <w:szCs w:val="20"/>
                <w:lang w:val="en-GB"/>
              </w:rPr>
              <m:t>dx</m:t>
            </m:r>
          </m:den>
        </m:f>
        <m:r>
          <m:rPr>
            <m:sty m:val="bi"/>
          </m:rPr>
          <w:rPr>
            <w:rFonts w:ascii="Cambria Math" w:hAnsi="Cambria Math" w:cs="Courier New"/>
            <w:lang w:val="en-US"/>
          </w:rPr>
          <m:t>=</m:t>
        </m:r>
        <m:acc>
          <m:accPr>
            <m:ctrlPr>
              <w:rPr>
                <w:rFonts w:ascii="Cambria Math" w:hAnsi="Cambria Math" w:cs="Courier New"/>
                <w:i/>
              </w:rPr>
            </m:ctrlPr>
          </m:accPr>
          <m:e>
            <m:r>
              <w:rPr>
                <w:rFonts w:ascii="Cambria Math" w:hAnsi="Cambria Math" w:cs="Courier New"/>
              </w:rPr>
              <m:t>P</m:t>
            </m:r>
          </m:e>
        </m:acc>
        <m:d>
          <m:dPr>
            <m:ctrlPr>
              <w:rPr>
                <w:rFonts w:ascii="Cambria Math" w:hAnsi="Cambria Math" w:cs="Courier New"/>
                <w:i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Courier New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Y</m:t>
                </m:r>
              </m:e>
              <m:sub>
                <m:r>
                  <w:rPr>
                    <w:rFonts w:ascii="Cambria Math" w:hAnsi="Cambria Math" w:cs="Courier New"/>
                  </w:rPr>
                  <m:t>i</m:t>
                </m:r>
              </m:sub>
            </m:sSub>
            <m:r>
              <w:rPr>
                <w:rFonts w:ascii="Cambria Math" w:hAnsi="Cambria Math" w:cs="Courier New"/>
                <w:lang w:val="en-US"/>
              </w:rPr>
              <m:t>=</m:t>
            </m:r>
            <m:r>
              <w:rPr>
                <w:rFonts w:ascii="Cambria Math" w:hAnsi="Cambria Math" w:cs="Courier New"/>
              </w:rPr>
              <m:t>k</m:t>
            </m:r>
          </m:e>
        </m:d>
        <m:r>
          <m:rPr>
            <m:sty m:val="p"/>
          </m:rPr>
          <w:rPr>
            <w:rFonts w:ascii="Cambria Math" w:hAnsi="Cambria Math" w:cs="Courier New"/>
            <w:lang w:val="en-US"/>
          </w:rPr>
          <w:softHyphen/>
        </m:r>
        <m:sSub>
          <m:sSubPr>
            <m:ctrlPr>
              <w:rPr>
                <w:rFonts w:ascii="Cambria Math" w:eastAsia="Calibri" w:hAnsi="Cambria Math" w:cs="Courier New"/>
                <w:i/>
                <w:lang w:val="en-GB"/>
              </w:rPr>
            </m:ctrlPr>
          </m:sSubPr>
          <m:e>
            <m:r>
              <w:rPr>
                <w:rFonts w:ascii="Cambria Math" w:hAnsi="Cambria Math" w:cs="Courier New"/>
              </w:rPr>
              <m:t>β</m:t>
            </m:r>
          </m:e>
          <m:sub>
            <m:r>
              <w:rPr>
                <w:rFonts w:ascii="Cambria Math" w:hAnsi="Cambria Math" w:cs="Courier New"/>
              </w:rPr>
              <m:t>k</m:t>
            </m:r>
          </m:sub>
        </m:sSub>
        <m:r>
          <w:rPr>
            <w:rFonts w:ascii="Cambria Math" w:hAnsi="Cambria Math" w:cs="Courier New"/>
            <w:lang w:val="en-US"/>
          </w:rPr>
          <m:t>-</m:t>
        </m:r>
        <m:nary>
          <m:naryPr>
            <m:chr m:val="∑"/>
            <m:limLoc m:val="undOvr"/>
            <m:ctrlPr>
              <w:rPr>
                <w:rFonts w:ascii="Cambria Math" w:eastAsia="Calibri" w:hAnsi="Cambria Math" w:cs="Courier New"/>
                <w:i/>
                <w:lang w:val="en-GB"/>
              </w:rPr>
            </m:ctrlPr>
          </m:naryPr>
          <m:sub>
            <m:r>
              <w:rPr>
                <w:rFonts w:ascii="Cambria Math" w:hAnsi="Cambria Math" w:cs="Courier New"/>
              </w:rPr>
              <m:t>j</m:t>
            </m:r>
            <m:r>
              <w:rPr>
                <w:rFonts w:ascii="Cambria Math" w:hAnsi="Cambria Math" w:cs="Courier New"/>
                <w:lang w:val="en-US"/>
              </w:rPr>
              <m:t>=1</m:t>
            </m:r>
          </m:sub>
          <m:sup>
            <m:r>
              <w:rPr>
                <w:rFonts w:ascii="Cambria Math" w:hAnsi="Cambria Math" w:cs="Courier New"/>
              </w:rPr>
              <m:t>K</m:t>
            </m:r>
          </m:sup>
          <m:e>
            <m:acc>
              <m:accPr>
                <m:ctrlPr>
                  <w:rPr>
                    <w:rFonts w:ascii="Cambria Math" w:hAnsi="Cambria Math" w:cs="Courier New"/>
                    <w:i/>
                  </w:rPr>
                </m:ctrlPr>
              </m:accPr>
              <m:e>
                <m:r>
                  <w:rPr>
                    <w:rFonts w:ascii="Cambria Math" w:hAnsi="Cambria Math" w:cs="Courier New"/>
                  </w:rPr>
                  <m:t>P</m:t>
                </m:r>
              </m:e>
            </m:acc>
            <m:d>
              <m:dPr>
                <m:ctrlPr>
                  <w:rPr>
                    <w:rFonts w:ascii="Cambria Math" w:hAnsi="Cambria Math" w:cs="Courier New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 w:cs="Courier New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Courier New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ourier New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Courier New"/>
                    <w:lang w:val="en-US"/>
                  </w:rPr>
                  <m:t>=</m:t>
                </m:r>
                <m:r>
                  <w:rPr>
                    <w:rFonts w:ascii="Cambria Math" w:hAnsi="Cambria Math" w:cs="Courier New"/>
                  </w:rPr>
                  <m:t>j</m:t>
                </m:r>
              </m:e>
            </m:d>
            <m:r>
              <m:rPr>
                <m:sty m:val="p"/>
              </m:rPr>
              <w:rPr>
                <w:rFonts w:ascii="Cambria Math" w:hAnsi="Cambria Math" w:cs="Courier New"/>
                <w:lang w:val="en-US"/>
              </w:rPr>
              <w:softHyphen/>
            </m:r>
            <m:sSub>
              <m:sSubPr>
                <m:ctrlPr>
                  <w:rPr>
                    <w:rFonts w:ascii="Cambria Math" w:eastAsia="Calibri" w:hAnsi="Cambria Math" w:cs="Courier New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β</m:t>
                </m:r>
              </m:e>
              <m:sub>
                <m:r>
                  <w:rPr>
                    <w:rFonts w:ascii="Cambria Math" w:hAnsi="Cambria Math" w:cs="Courier New"/>
                  </w:rPr>
                  <m:t>j</m:t>
                </m:r>
              </m:sub>
            </m:sSub>
          </m:e>
        </m:nary>
      </m:oMath>
      <w:r>
        <w:rPr>
          <w:lang w:val="en-US"/>
        </w:rPr>
        <w:t xml:space="preserve"> , where </w:t>
      </w:r>
      <m:oMath>
        <m:acc>
          <m:accPr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P</m:t>
            </m:r>
          </m:e>
        </m:acc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Y</m:t>
                </m:r>
              </m:e>
              <m:sub>
                <m:r>
                  <w:rPr>
                    <w:rFonts w:ascii="Cambria Math" w:hAnsi="Cambria Math" w:cstheme="minorHAnsi"/>
                  </w:rPr>
                  <m:t>i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=</m:t>
            </m:r>
            <m:r>
              <w:rPr>
                <w:rFonts w:ascii="Cambria Math" w:hAnsi="Cambria Math" w:cstheme="minorHAnsi"/>
              </w:rPr>
              <m:t>j</m:t>
            </m:r>
          </m:e>
        </m:d>
      </m:oMath>
      <w:r>
        <w:rPr>
          <w:rFonts w:eastAsiaTheme="minorEastAsia"/>
          <w:lang w:val="en-US"/>
        </w:rPr>
        <w:t xml:space="preserve"> are predicted probabilities of corresponding outcomes and</w:t>
      </w:r>
      <w:r>
        <w:rPr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w:softHyphen/>
        </m:r>
        <m:sSub>
          <m:sSubPr>
            <m:ctrlPr>
              <w:rPr>
                <w:rFonts w:ascii="Cambria Math" w:eastAsia="Calibri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hAnsi="Cambria Math" w:cstheme="minorHAnsi"/>
              </w:rPr>
              <m:t>β</m:t>
            </m:r>
          </m:e>
          <m:sub>
            <m:r>
              <w:rPr>
                <w:rFonts w:ascii="Cambria Math" w:hAnsi="Cambria Math" w:cstheme="minorHAnsi"/>
              </w:rPr>
              <m:t>j</m:t>
            </m:r>
          </m:sub>
        </m:sSub>
      </m:oMath>
      <w:r>
        <w:rPr>
          <w:lang w:val="en-US"/>
        </w:rPr>
        <w:t xml:space="preserve"> are the coefficient estimates on explanatory variable </w:t>
      </w:r>
      <w:r>
        <w:rPr>
          <w:i/>
          <w:iCs/>
          <w:lang w:val="en-US"/>
        </w:rPr>
        <w:t>x</w:t>
      </w:r>
      <w:r>
        <w:rPr>
          <w:lang w:val="en-US"/>
        </w:rPr>
        <w:t xml:space="preserve"> from the corresponding logit regressions, odds ratios relatively to 0 baseline outcome, </w:t>
      </w:r>
      <m:oMath>
        <m:sSub>
          <m:sSubPr>
            <m:ctrlPr>
              <w:rPr>
                <w:rFonts w:ascii="Cambria Math" w:eastAsia="Calibri" w:hAnsi="Cambria Math" w:cstheme="minorHAnsi"/>
                <w:i/>
                <w:lang w:val="en-GB"/>
              </w:rPr>
            </m:ctrlPr>
          </m:sSubPr>
          <m:e>
            <m:r>
              <w:rPr>
                <w:rFonts w:ascii="Cambria Math" w:hAnsi="Cambria Math" w:cstheme="minorHAnsi"/>
              </w:rPr>
              <m:t>β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0</m:t>
            </m:r>
          </m:sub>
        </m:sSub>
        <m:r>
          <w:rPr>
            <w:rFonts w:ascii="Cambria Math" w:eastAsia="Calibri" w:hAnsi="Cambria Math" w:cstheme="minorHAnsi"/>
            <w:lang w:val="en-GB"/>
          </w:rPr>
          <m:t>=0</m:t>
        </m:r>
      </m:oMath>
      <w:r>
        <w:rPr>
          <w:lang w:val="en-US"/>
        </w:rPr>
        <w:t xml:space="preserve">. Note that the computed marginal effect is individual specific. To compute the overall marginal effect we average all individual marginal effects. For a discrete explanatory variable, the marginal effect is computed by calculating the average predicted probabilities for each value of the discrete variable and then taking differences. </w:t>
      </w:r>
      <w:r>
        <w:rPr>
          <w:lang w:val="en-AU"/>
        </w:rPr>
        <w:t>Estimation</w:t>
      </w:r>
      <w:r w:rsidR="00C97ED0">
        <w:rPr>
          <w:lang w:val="en-AU"/>
        </w:rPr>
        <w:t xml:space="preserve">, </w:t>
      </w:r>
      <w:r>
        <w:rPr>
          <w:lang w:val="en-AU"/>
        </w:rPr>
        <w:t>transformations to the average marginal effects</w:t>
      </w:r>
      <w:r w:rsidR="00C97ED0">
        <w:rPr>
          <w:lang w:val="en-AU"/>
        </w:rPr>
        <w:t>,</w:t>
      </w:r>
      <w:r>
        <w:rPr>
          <w:lang w:val="en-AU"/>
        </w:rPr>
        <w:t xml:space="preserve"> and testing were performed in Stata 16.</w:t>
      </w:r>
      <w:r>
        <w:rPr>
          <w:sz w:val="20"/>
          <w:szCs w:val="20"/>
          <w:lang w:val="en-US"/>
        </w:rPr>
        <w:t xml:space="preserve"> </w:t>
      </w:r>
    </w:p>
    <w:p w14:paraId="7EE866BC" w14:textId="4427EC33" w:rsidR="008E6F5F" w:rsidRDefault="008E6F5F" w:rsidP="008E6F5F">
      <w:pPr>
        <w:spacing w:after="0" w:line="360" w:lineRule="auto"/>
        <w:ind w:firstLine="567"/>
        <w:rPr>
          <w:rFonts w:cstheme="minorHAnsi"/>
          <w:bCs/>
          <w:lang w:val="en-US"/>
        </w:rPr>
      </w:pPr>
      <w:r>
        <w:rPr>
          <w:rFonts w:cstheme="minorHAnsi"/>
          <w:b/>
          <w:lang w:val="en-US"/>
        </w:rPr>
        <w:t xml:space="preserve">Models: </w:t>
      </w:r>
      <w:r>
        <w:rPr>
          <w:rFonts w:cstheme="minorHAnsi"/>
          <w:bCs/>
          <w:lang w:val="en-US"/>
        </w:rPr>
        <w:t xml:space="preserve">In addition to the 4-outcome logit presented and discussed in the main text, we considered several alternative model specifications such as binary logit EUT consistent vs non-EUT consistent outcomes, linear probability model with the same two outcomes, 3-outcome logit EUT consistent vs </w:t>
      </w:r>
      <w:r w:rsidR="0076601E">
        <w:rPr>
          <w:rFonts w:cstheme="minorHAnsi"/>
          <w:bCs/>
          <w:lang w:val="en-US"/>
        </w:rPr>
        <w:t xml:space="preserve">common ratio </w:t>
      </w:r>
      <w:r>
        <w:rPr>
          <w:rFonts w:cstheme="minorHAnsi"/>
          <w:bCs/>
          <w:lang w:val="en-US"/>
        </w:rPr>
        <w:t xml:space="preserve">vs </w:t>
      </w:r>
      <w:r w:rsidR="0076601E">
        <w:rPr>
          <w:rFonts w:cstheme="minorHAnsi"/>
          <w:bCs/>
          <w:lang w:val="en-US"/>
        </w:rPr>
        <w:t>reverse common ratio</w:t>
      </w:r>
      <w:r>
        <w:rPr>
          <w:rFonts w:cstheme="minorHAnsi"/>
          <w:bCs/>
          <w:lang w:val="en-US"/>
        </w:rPr>
        <w:t xml:space="preserve">, and ordered 3-outcome logit with the following order: </w:t>
      </w:r>
      <w:r w:rsidR="0076601E">
        <w:rPr>
          <w:rFonts w:cstheme="minorHAnsi"/>
          <w:bCs/>
          <w:lang w:val="en-US"/>
        </w:rPr>
        <w:t>common ratio</w:t>
      </w:r>
      <w:r>
        <w:rPr>
          <w:rFonts w:cstheme="minorHAnsi"/>
          <w:bCs/>
          <w:lang w:val="en-US"/>
        </w:rPr>
        <w:t>, EUT consistent</w:t>
      </w:r>
      <w:r w:rsidR="0076601E">
        <w:rPr>
          <w:rFonts w:cstheme="minorHAnsi"/>
          <w:bCs/>
          <w:lang w:val="en-US"/>
        </w:rPr>
        <w:t>,</w:t>
      </w:r>
      <w:r>
        <w:rPr>
          <w:rFonts w:cstheme="minorHAnsi"/>
          <w:bCs/>
          <w:lang w:val="en-US"/>
        </w:rPr>
        <w:t xml:space="preserve"> and </w:t>
      </w:r>
      <w:r w:rsidR="0076601E">
        <w:rPr>
          <w:rFonts w:cstheme="minorHAnsi"/>
          <w:bCs/>
          <w:lang w:val="en-US"/>
        </w:rPr>
        <w:t>reverse common ratio</w:t>
      </w:r>
      <w:r>
        <w:rPr>
          <w:rFonts w:cstheme="minorHAnsi"/>
          <w:bCs/>
          <w:lang w:val="en-US"/>
        </w:rPr>
        <w:t xml:space="preserve">. </w:t>
      </w:r>
      <w:r w:rsidRPr="00C97ED0">
        <w:rPr>
          <w:rFonts w:cstheme="minorHAnsi"/>
          <w:bCs/>
          <w:lang w:val="en-US"/>
        </w:rPr>
        <w:t>The</w:t>
      </w:r>
      <w:r>
        <w:rPr>
          <w:rFonts w:cstheme="minorHAnsi"/>
          <w:bCs/>
          <w:i/>
          <w:iCs/>
          <w:lang w:val="en-US"/>
        </w:rPr>
        <w:t xml:space="preserve"> </w:t>
      </w:r>
      <w:r w:rsidRPr="00C97ED0">
        <w:rPr>
          <w:rFonts w:cstheme="minorHAnsi"/>
          <w:bCs/>
          <w:lang w:val="en-US"/>
        </w:rPr>
        <w:t>ordered logit</w:t>
      </w:r>
      <w:r>
        <w:rPr>
          <w:rFonts w:cstheme="minorHAnsi"/>
          <w:bCs/>
          <w:lang w:val="en-US"/>
        </w:rPr>
        <w:t xml:space="preserve"> model assumes that outcomes can be ordered in a specific way and that the coefficients of the linear relationships for all the logs of “higher outcome” to “lower outcome” ratios are the same.</w:t>
      </w:r>
      <w:r w:rsidR="003C3796">
        <w:rPr>
          <w:rFonts w:cstheme="minorHAnsi"/>
          <w:bCs/>
          <w:lang w:val="en-US"/>
        </w:rPr>
        <w:t xml:space="preserve"> The </w:t>
      </w:r>
      <w:r w:rsidR="00E4538E">
        <w:rPr>
          <w:rFonts w:cstheme="minorHAnsi"/>
          <w:bCs/>
          <w:lang w:val="en-US"/>
        </w:rPr>
        <w:t>results</w:t>
      </w:r>
      <w:r w:rsidR="00860133">
        <w:rPr>
          <w:rFonts w:cstheme="minorHAnsi"/>
          <w:bCs/>
          <w:lang w:val="en-US"/>
        </w:rPr>
        <w:t xml:space="preserve"> for</w:t>
      </w:r>
      <w:r w:rsidR="003C3796">
        <w:rPr>
          <w:rFonts w:cstheme="minorHAnsi"/>
          <w:bCs/>
          <w:lang w:val="en-US"/>
        </w:rPr>
        <w:t xml:space="preserve"> these specification</w:t>
      </w:r>
      <w:r w:rsidR="00860133">
        <w:rPr>
          <w:rFonts w:cstheme="minorHAnsi"/>
          <w:bCs/>
          <w:lang w:val="en-US"/>
        </w:rPr>
        <w:t>s</w:t>
      </w:r>
      <w:r w:rsidR="003C3796">
        <w:rPr>
          <w:rFonts w:cstheme="minorHAnsi"/>
          <w:bCs/>
          <w:lang w:val="en-US"/>
        </w:rPr>
        <w:t xml:space="preserve"> </w:t>
      </w:r>
      <w:r w:rsidR="00E4538E">
        <w:rPr>
          <w:rFonts w:cstheme="minorHAnsi"/>
          <w:bCs/>
          <w:lang w:val="en-US"/>
        </w:rPr>
        <w:t>are</w:t>
      </w:r>
      <w:r w:rsidR="003C3796">
        <w:rPr>
          <w:rFonts w:cstheme="minorHAnsi"/>
          <w:bCs/>
          <w:lang w:val="en-US"/>
        </w:rPr>
        <w:t xml:space="preserve"> presented in Table 4.</w:t>
      </w:r>
    </w:p>
    <w:p w14:paraId="34BA455D" w14:textId="0B9BA7EC" w:rsidR="008E6F5F" w:rsidRDefault="008E6F5F" w:rsidP="008E6F5F">
      <w:pPr>
        <w:spacing w:after="0" w:line="360" w:lineRule="auto"/>
        <w:ind w:firstLine="426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 xml:space="preserve">Discussion: </w:t>
      </w:r>
      <w:r w:rsidR="00C97ED0">
        <w:rPr>
          <w:rFonts w:cstheme="minorHAnsi"/>
          <w:lang w:val="en-US"/>
        </w:rPr>
        <w:t>T</w:t>
      </w:r>
      <w:r>
        <w:rPr>
          <w:rFonts w:cstheme="minorHAnsi"/>
          <w:lang w:val="en-US"/>
        </w:rPr>
        <w:t>he 3-outcome specification has the largest pseudo R</w:t>
      </w:r>
      <w:r>
        <w:rPr>
          <w:rFonts w:cstheme="minorHAnsi"/>
          <w:vertAlign w:val="superscript"/>
          <w:lang w:val="en-US"/>
        </w:rPr>
        <w:t>2</w:t>
      </w:r>
      <w:r>
        <w:rPr>
          <w:rFonts w:cstheme="minorHAnsi"/>
          <w:lang w:val="en-US"/>
        </w:rPr>
        <w:t>, closely followed by the 4-outcome specification. The average marginal effects of the combined outcomes of the 4-outcome  specification, generally agree with the average marginal effects of the binary and 3-outcome logit models. The average marginal effects of the binary EUT/non-EUT logit model are nearly the same as the coefficient estimates of the analogous linear probability model. The pseudo R</w:t>
      </w:r>
      <w:r>
        <w:rPr>
          <w:rFonts w:cstheme="minorHAnsi"/>
          <w:vertAlign w:val="superscript"/>
          <w:lang w:val="en-US"/>
        </w:rPr>
        <w:t>2</w:t>
      </w:r>
      <w:r>
        <w:rPr>
          <w:rFonts w:cstheme="minorHAnsi"/>
          <w:lang w:val="en-US"/>
        </w:rPr>
        <w:t xml:space="preserve"> and the marginal effects of the ordered 3-outcome logit model suggest that this specification is not a good choice. Likely, the assumptions behind the ordered logit model do not hold in this case. </w:t>
      </w:r>
    </w:p>
    <w:p w14:paraId="6903DF6B" w14:textId="5D1209D9" w:rsidR="008E6F5F" w:rsidRDefault="008E6F5F" w:rsidP="008E6F5F">
      <w:pPr>
        <w:spacing w:after="0" w:line="360" w:lineRule="auto"/>
        <w:ind w:firstLine="426"/>
        <w:rPr>
          <w:lang w:val="en-US"/>
        </w:rPr>
      </w:pPr>
      <w:r>
        <w:rPr>
          <w:rFonts w:cstheme="minorHAnsi"/>
          <w:lang w:val="en-US"/>
        </w:rPr>
        <w:t xml:space="preserve">The independence of irrelevant alternatives (IIA) assumption is one of important conditions necessary for multivariate logit model to hold. While conceptually removing one of possible choice patterns, say, </w:t>
      </w:r>
      <w:r w:rsidR="00DB3166">
        <w:rPr>
          <w:rFonts w:ascii="Calibri" w:eastAsia="Times New Roman" w:hAnsi="Calibri" w:cs="Calibri"/>
          <w:color w:val="000000"/>
          <w:lang w:val="en-AU" w:eastAsia="en-AU"/>
        </w:rPr>
        <w:t>common ratio</w:t>
      </w:r>
      <w:r w:rsidR="00406951">
        <w:rPr>
          <w:rFonts w:ascii="Calibri" w:eastAsia="Times New Roman" w:hAnsi="Calibri" w:cs="Calibri"/>
          <w:color w:val="000000"/>
          <w:lang w:val="en-AU" w:eastAsia="en-AU"/>
        </w:rPr>
        <w:t xml:space="preserve"> AD</w:t>
      </w:r>
      <w:r>
        <w:rPr>
          <w:rFonts w:cstheme="minorHAnsi"/>
          <w:lang w:val="en-US"/>
        </w:rPr>
        <w:t xml:space="preserve">, is not possible without distorting the experiment, technically we </w:t>
      </w:r>
      <w:r w:rsidR="002F40BC">
        <w:rPr>
          <w:rFonts w:cstheme="minorHAnsi"/>
          <w:lang w:val="en-US"/>
        </w:rPr>
        <w:t>can</w:t>
      </w:r>
      <w:r>
        <w:rPr>
          <w:rFonts w:cstheme="minorHAnsi"/>
          <w:lang w:val="en-US"/>
        </w:rPr>
        <w:t xml:space="preserve"> still test for IIA. The results of the </w:t>
      </w:r>
      <w:r>
        <w:rPr>
          <w:lang w:val="en-US"/>
        </w:rPr>
        <w:t>Small-Hsiao tests indicate no eviden</w:t>
      </w:r>
      <w:r w:rsidR="005D0923">
        <w:rPr>
          <w:lang w:val="en-US"/>
        </w:rPr>
        <w:t>ce</w:t>
      </w:r>
      <w:r>
        <w:rPr>
          <w:lang w:val="en-US"/>
        </w:rPr>
        <w:t xml:space="preserve"> of IIA violation.</w:t>
      </w:r>
    </w:p>
    <w:p w14:paraId="549EF585" w14:textId="77777777" w:rsidR="008E6F5F" w:rsidRDefault="008E6F5F" w:rsidP="008E6F5F">
      <w:pPr>
        <w:spacing w:after="0" w:line="240" w:lineRule="auto"/>
        <w:ind w:firstLine="425"/>
        <w:rPr>
          <w:lang w:val="en-US"/>
        </w:rPr>
      </w:pPr>
      <w:r>
        <w:rPr>
          <w:lang w:val="en-US"/>
        </w:rPr>
        <w:t>Small-Hsiao tests of IIA assumption (N=14909)</w:t>
      </w:r>
      <w:r>
        <w:rPr>
          <w:lang w:val="en-US"/>
        </w:rPr>
        <w:tab/>
      </w:r>
    </w:p>
    <w:p w14:paraId="713DCD80" w14:textId="77777777" w:rsidR="008E6F5F" w:rsidRDefault="008E6F5F" w:rsidP="008E6F5F">
      <w:pPr>
        <w:spacing w:after="0" w:line="240" w:lineRule="auto"/>
        <w:ind w:firstLine="425"/>
        <w:rPr>
          <w:lang w:val="en-US"/>
        </w:rPr>
      </w:pPr>
      <w:r>
        <w:rPr>
          <w:lang w:val="en-US"/>
        </w:rPr>
        <w:t>Ho: Odds(Outcome-J vs Outcome-K) are independent of other alternatives</w:t>
      </w:r>
    </w:p>
    <w:tbl>
      <w:tblPr>
        <w:tblW w:w="6852" w:type="dxa"/>
        <w:tblInd w:w="89" w:type="dxa"/>
        <w:tblLook w:val="04A0" w:firstRow="1" w:lastRow="0" w:firstColumn="1" w:lastColumn="0" w:noHBand="0" w:noVBand="1"/>
      </w:tblPr>
      <w:tblGrid>
        <w:gridCol w:w="328"/>
        <w:gridCol w:w="1716"/>
        <w:gridCol w:w="1750"/>
        <w:gridCol w:w="1345"/>
        <w:gridCol w:w="531"/>
        <w:gridCol w:w="1182"/>
      </w:tblGrid>
      <w:tr w:rsidR="008E6F5F" w14:paraId="39430A99" w14:textId="77777777" w:rsidTr="008E6F5F">
        <w:trPr>
          <w:trHeight w:val="9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018DB3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02F1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lnL(full)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9538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lnL(omit)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4BA0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chi2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2180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df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40650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 xml:space="preserve">        p-val</w:t>
            </w:r>
          </w:p>
        </w:tc>
      </w:tr>
      <w:tr w:rsidR="008E6F5F" w14:paraId="761A3382" w14:textId="77777777" w:rsidTr="008E6F5F">
        <w:trPr>
          <w:trHeight w:val="80"/>
        </w:trPr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FA59C2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 </w:t>
            </w:r>
          </w:p>
        </w:tc>
        <w:tc>
          <w:tcPr>
            <w:tcW w:w="1716" w:type="dxa"/>
            <w:noWrap/>
            <w:vAlign w:val="bottom"/>
            <w:hideMark/>
          </w:tcPr>
          <w:p w14:paraId="2E5260F0" w14:textId="77777777" w:rsidR="008E6F5F" w:rsidRDefault="008E6F5F">
            <w:pPr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95D9B86" w14:textId="77777777" w:rsidR="008E6F5F" w:rsidRDefault="008E6F5F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  <w:tc>
          <w:tcPr>
            <w:tcW w:w="1345" w:type="dxa"/>
            <w:noWrap/>
            <w:vAlign w:val="bottom"/>
            <w:hideMark/>
          </w:tcPr>
          <w:p w14:paraId="07243056" w14:textId="77777777" w:rsidR="008E6F5F" w:rsidRDefault="008E6F5F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125EFFC1" w14:textId="77777777" w:rsidR="008E6F5F" w:rsidRDefault="008E6F5F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63E8B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 </w:t>
            </w:r>
          </w:p>
        </w:tc>
      </w:tr>
      <w:tr w:rsidR="008E6F5F" w14:paraId="1FF6EE38" w14:textId="77777777" w:rsidTr="008E6F5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6FA56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1</w:t>
            </w:r>
          </w:p>
        </w:tc>
        <w:tc>
          <w:tcPr>
            <w:tcW w:w="1716" w:type="dxa"/>
            <w:noWrap/>
            <w:vAlign w:val="bottom"/>
            <w:hideMark/>
          </w:tcPr>
          <w:p w14:paraId="662E95AC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-4250.92</w:t>
            </w:r>
          </w:p>
        </w:tc>
        <w:tc>
          <w:tcPr>
            <w:tcW w:w="1750" w:type="dxa"/>
            <w:noWrap/>
            <w:vAlign w:val="bottom"/>
            <w:hideMark/>
          </w:tcPr>
          <w:p w14:paraId="2430DEEC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-4238.69</w:t>
            </w:r>
          </w:p>
        </w:tc>
        <w:tc>
          <w:tcPr>
            <w:tcW w:w="1345" w:type="dxa"/>
            <w:noWrap/>
            <w:vAlign w:val="bottom"/>
            <w:hideMark/>
          </w:tcPr>
          <w:p w14:paraId="01E4CBBF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24.465</w:t>
            </w:r>
          </w:p>
        </w:tc>
        <w:tc>
          <w:tcPr>
            <w:tcW w:w="531" w:type="dxa"/>
            <w:noWrap/>
            <w:vAlign w:val="bottom"/>
            <w:hideMark/>
          </w:tcPr>
          <w:p w14:paraId="416900DB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29A50" w14:textId="6D85B098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0.14</w:t>
            </w:r>
            <w:r w:rsidR="00C97ED0">
              <w:rPr>
                <w:rFonts w:ascii="Calibri" w:eastAsia="Times New Roman" w:hAnsi="Calibri" w:cs="Calibri"/>
                <w:color w:val="000000"/>
                <w:lang w:val="en-AU" w:eastAsia="zh-CN"/>
              </w:rPr>
              <w:t>0</w:t>
            </w:r>
          </w:p>
        </w:tc>
      </w:tr>
      <w:tr w:rsidR="008E6F5F" w14:paraId="13411538" w14:textId="77777777" w:rsidTr="008E6F5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D9742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2</w:t>
            </w:r>
          </w:p>
        </w:tc>
        <w:tc>
          <w:tcPr>
            <w:tcW w:w="1716" w:type="dxa"/>
            <w:noWrap/>
            <w:vAlign w:val="bottom"/>
            <w:hideMark/>
          </w:tcPr>
          <w:p w14:paraId="0D40B2AB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-5668.12</w:t>
            </w:r>
          </w:p>
        </w:tc>
        <w:tc>
          <w:tcPr>
            <w:tcW w:w="1750" w:type="dxa"/>
            <w:noWrap/>
            <w:vAlign w:val="bottom"/>
            <w:hideMark/>
          </w:tcPr>
          <w:p w14:paraId="06130EFC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-5655.69</w:t>
            </w:r>
          </w:p>
        </w:tc>
        <w:tc>
          <w:tcPr>
            <w:tcW w:w="1345" w:type="dxa"/>
            <w:noWrap/>
            <w:vAlign w:val="bottom"/>
            <w:hideMark/>
          </w:tcPr>
          <w:p w14:paraId="24328A41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24.862</w:t>
            </w:r>
          </w:p>
        </w:tc>
        <w:tc>
          <w:tcPr>
            <w:tcW w:w="531" w:type="dxa"/>
            <w:noWrap/>
            <w:vAlign w:val="bottom"/>
            <w:hideMark/>
          </w:tcPr>
          <w:p w14:paraId="41EE95A3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F66A1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0.129</w:t>
            </w:r>
          </w:p>
        </w:tc>
      </w:tr>
      <w:tr w:rsidR="008E6F5F" w14:paraId="0774B73A" w14:textId="77777777" w:rsidTr="008E6F5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7BA05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3</w:t>
            </w:r>
          </w:p>
        </w:tc>
        <w:tc>
          <w:tcPr>
            <w:tcW w:w="1716" w:type="dxa"/>
            <w:noWrap/>
            <w:vAlign w:val="bottom"/>
            <w:hideMark/>
          </w:tcPr>
          <w:p w14:paraId="69081FE4" w14:textId="3CD4A956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-4717.4</w:t>
            </w:r>
            <w:r w:rsidR="00C97ED0">
              <w:rPr>
                <w:rFonts w:ascii="Calibri" w:eastAsia="Times New Roman" w:hAnsi="Calibri" w:cs="Calibri"/>
                <w:color w:val="000000"/>
                <w:lang w:val="en-AU" w:eastAsia="zh-CN"/>
              </w:rPr>
              <w:t>0</w:t>
            </w:r>
          </w:p>
        </w:tc>
        <w:tc>
          <w:tcPr>
            <w:tcW w:w="1750" w:type="dxa"/>
            <w:noWrap/>
            <w:vAlign w:val="bottom"/>
            <w:hideMark/>
          </w:tcPr>
          <w:p w14:paraId="77BC5201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-4707.04</w:t>
            </w:r>
          </w:p>
        </w:tc>
        <w:tc>
          <w:tcPr>
            <w:tcW w:w="1345" w:type="dxa"/>
            <w:noWrap/>
            <w:vAlign w:val="bottom"/>
            <w:hideMark/>
          </w:tcPr>
          <w:p w14:paraId="0EA2EAF3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20.705</w:t>
            </w:r>
          </w:p>
        </w:tc>
        <w:tc>
          <w:tcPr>
            <w:tcW w:w="531" w:type="dxa"/>
            <w:noWrap/>
            <w:vAlign w:val="bottom"/>
            <w:hideMark/>
          </w:tcPr>
          <w:p w14:paraId="1B1C260D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C75ED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0.295</w:t>
            </w:r>
          </w:p>
        </w:tc>
      </w:tr>
      <w:tr w:rsidR="008E6F5F" w14:paraId="7724EFBC" w14:textId="77777777" w:rsidTr="008E6F5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5F367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78D43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-6607.95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30AD2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-6597.68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2FF11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20.541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014DB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DBB2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zh-CN"/>
              </w:rPr>
              <w:t>0.303</w:t>
            </w:r>
          </w:p>
        </w:tc>
      </w:tr>
    </w:tbl>
    <w:p w14:paraId="5F0E08B7" w14:textId="77777777" w:rsidR="008E6F5F" w:rsidRDefault="008E6F5F" w:rsidP="008E6F5F">
      <w:pPr>
        <w:spacing w:after="0" w:line="360" w:lineRule="auto"/>
        <w:ind w:firstLine="426"/>
        <w:rPr>
          <w:rFonts w:cstheme="minorHAnsi"/>
          <w:b/>
          <w:bCs/>
          <w:lang w:val="en-GB"/>
        </w:rPr>
      </w:pPr>
      <w:r>
        <w:rPr>
          <w:rFonts w:cstheme="minorHAnsi"/>
          <w:lang w:val="en-US"/>
        </w:rPr>
        <w:t>Note: A significant test is evidence against Ho.</w:t>
      </w:r>
      <w:r>
        <w:rPr>
          <w:rFonts w:cstheme="minorHAnsi"/>
          <w:b/>
          <w:bCs/>
          <w:lang w:val="en-GB"/>
        </w:rPr>
        <w:br w:type="page"/>
      </w:r>
    </w:p>
    <w:tbl>
      <w:tblPr>
        <w:tblW w:w="9120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5"/>
        <w:gridCol w:w="994"/>
        <w:gridCol w:w="993"/>
        <w:gridCol w:w="992"/>
        <w:gridCol w:w="992"/>
        <w:gridCol w:w="993"/>
        <w:gridCol w:w="708"/>
        <w:gridCol w:w="851"/>
        <w:gridCol w:w="992"/>
      </w:tblGrid>
      <w:tr w:rsidR="008E6F5F" w14:paraId="1CF99B78" w14:textId="77777777" w:rsidTr="008E6F5F">
        <w:trPr>
          <w:trHeight w:val="6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vAlign w:val="bottom"/>
          </w:tcPr>
          <w:p w14:paraId="3871336A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lastRenderedPageBreak/>
              <w:t>Explanatory variables</w:t>
            </w:r>
          </w:p>
          <w:p w14:paraId="69CE48AA" w14:textId="77777777" w:rsidR="008E6F5F" w:rsidRDefault="008E6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  <w:p w14:paraId="29C695D3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Prob.</w:t>
            </w:r>
          </w:p>
          <w:p w14:paraId="426E80FD" w14:textId="77777777" w:rsidR="008E6F5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of choice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752BD" w14:textId="77777777" w:rsidR="008E6F5F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</m:func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×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DD48F" w14:textId="77777777" w:rsidR="008E6F5F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</m:func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(1-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I)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038C2" w14:textId="77777777" w:rsidR="008E6F5F" w:rsidRDefault="008E6F5F">
            <w:pPr>
              <w:spacing w:after="0" w:line="240" w:lineRule="auto"/>
              <w:jc w:val="center"/>
              <w:rPr>
                <w:rFonts w:ascii="Cambria Math" w:hAnsi="Cambria Math" w:cstheme="minorHAnsi"/>
                <w:b/>
                <w:sz w:val="24"/>
                <w:szCs w:val="24"/>
              </w:rPr>
            </w:pPr>
            <w:r>
              <w:rPr>
                <w:rFonts w:ascii="Cambria Math" w:hAnsi="Cambria Math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E36E8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  <w:t>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D203F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O</m:t>
                </m:r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AF30A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L</m:t>
                </m:r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5AC509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S</m:t>
                </m:r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5D499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CR</m:t>
                </m:r>
              </m:oMath>
            </m:oMathPara>
          </w:p>
        </w:tc>
      </w:tr>
      <w:tr w:rsidR="008E6F5F" w14:paraId="1C2936FA" w14:textId="77777777" w:rsidTr="008E6F5F">
        <w:trPr>
          <w:trHeight w:val="522"/>
        </w:trPr>
        <w:tc>
          <w:tcPr>
            <w:tcW w:w="9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CE12AD" w14:textId="77777777" w:rsidR="008E6F5F" w:rsidRDefault="008E6F5F">
            <w:pPr>
              <w:spacing w:after="0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F46A6" w14:textId="77777777" w:rsidR="008E6F5F" w:rsidRDefault="008E6F5F">
            <w:pPr>
              <w:spacing w:after="0" w:line="240" w:lineRule="auto"/>
              <w:ind w:left="-24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(ln payoffs,</w:t>
            </w:r>
          </w:p>
          <w:p w14:paraId="093612F1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real)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169B6" w14:textId="77777777" w:rsidR="008E6F5F" w:rsidRDefault="008E6F5F">
            <w:pPr>
              <w:spacing w:after="0" w:line="240" w:lineRule="auto"/>
              <w:ind w:left="-29" w:right="-39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(ln payoffs,  hypoth.)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153DE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(=1, real incent.)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B4318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(prob. of high outc.)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09A239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(=mid/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high outc.)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12885" w14:textId="30EAE74C" w:rsidR="008E6F5F" w:rsidRDefault="008E6F5F">
            <w:pPr>
              <w:spacing w:after="0" w:line="240" w:lineRule="auto"/>
              <w:ind w:left="-79" w:right="-108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(=1, </w:t>
            </w:r>
            <w:r w:rsidR="0071502D"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sim. </w:t>
            </w: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lottery)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C440E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(=1, student)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BA516" w14:textId="77777777" w:rsidR="008E6F5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(common ratio)</w:t>
            </w:r>
          </w:p>
        </w:tc>
      </w:tr>
      <w:tr w:rsidR="008E6F5F" w14:paraId="45DD2E35" w14:textId="77777777" w:rsidTr="008E6F5F">
        <w:trPr>
          <w:trHeight w:val="284"/>
        </w:trPr>
        <w:tc>
          <w:tcPr>
            <w:tcW w:w="9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2EE391" w14:textId="77777777" w:rsidR="008E6F5F" w:rsidRDefault="008E6F5F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Logit 2-outcome spec: EUT vs non-EUT; pseudo R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vertAlign w:val="superscript"/>
                <w:lang w:eastAsia="en-AU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= 0.037</w:t>
            </w:r>
          </w:p>
        </w:tc>
      </w:tr>
      <w:tr w:rsidR="002E3A6F" w:rsidRPr="002E3A6F" w14:paraId="314882CC" w14:textId="77777777" w:rsidTr="008E6F5F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427CE5" w14:textId="77777777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(non-EUT)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BE4EA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DB76D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6AF5C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0.245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641E8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F2DF5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6F6B24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6E300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3632D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-0.380</w:t>
            </w:r>
          </w:p>
        </w:tc>
      </w:tr>
      <w:tr w:rsidR="002E3A6F" w:rsidRPr="002E3A6F" w14:paraId="2C4F2EE1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CEA426" w14:textId="77777777" w:rsidR="008E6F5F" w:rsidRPr="002E3A6F" w:rsidRDefault="008E6F5F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7C300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4C524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FDCC7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9A5E3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(0.046)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1DC53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23B4C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35DACD7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086D20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(0.023)</w:t>
            </w:r>
          </w:p>
        </w:tc>
      </w:tr>
      <w:tr w:rsidR="002E3A6F" w:rsidRPr="002E3A6F" w14:paraId="248A14B9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C647CD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BD6A0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9A41D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DC120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AD1A7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DD4BC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B0F77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3E1393A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15848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65906480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49C357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D7BB0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(0.044)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2F780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1D698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(0.139)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65717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(0.194)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BE1EB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AD5FC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(0.064)</w:t>
            </w:r>
          </w:p>
        </w:tc>
        <w:tc>
          <w:tcPr>
            <w:tcW w:w="851" w:type="dxa"/>
            <w:vAlign w:val="bottom"/>
            <w:hideMark/>
          </w:tcPr>
          <w:p w14:paraId="5E40DE9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A90E24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(0.041)</w:t>
            </w:r>
          </w:p>
        </w:tc>
      </w:tr>
      <w:tr w:rsidR="002E3A6F" w:rsidRPr="002E3A6F" w14:paraId="01ACA7D4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6C7237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66A184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4F1068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353C4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552E40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DDC46A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8E9894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805CE7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78DC6A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C97ED0" w14:paraId="72288A85" w14:textId="77777777" w:rsidTr="008E6F5F">
        <w:trPr>
          <w:trHeight w:val="284"/>
        </w:trPr>
        <w:tc>
          <w:tcPr>
            <w:tcW w:w="9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AF10E8" w14:textId="77777777" w:rsidR="008E6F5F" w:rsidRPr="002E3A6F" w:rsidRDefault="008E6F5F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Linear probability model with 2 outcomes: EUT (0) vs non-EUT (1); adj R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vertAlign w:val="superscript"/>
                <w:lang w:val="en-AU" w:eastAsia="en-AU"/>
              </w:rPr>
              <w:t>2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= 0.048</w:t>
            </w:r>
          </w:p>
        </w:tc>
      </w:tr>
      <w:tr w:rsidR="002E3A6F" w:rsidRPr="002E3A6F" w14:paraId="6D2920CF" w14:textId="77777777" w:rsidTr="008E6F5F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56F2ED" w14:textId="77777777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(non-EUT)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B2231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F8537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A7B61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0.243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01FF9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B78FF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1AA21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0.166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CA12E4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43A54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-0.374</w:t>
            </w:r>
          </w:p>
        </w:tc>
      </w:tr>
      <w:tr w:rsidR="002E3A6F" w:rsidRPr="002E3A6F" w14:paraId="48B3356E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DC9B0F" w14:textId="77777777" w:rsidR="008E6F5F" w:rsidRPr="002E3A6F" w:rsidRDefault="008E6F5F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35840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1640B4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BD1C85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FC001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(0.045)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9B7FA4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7C8CE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5B361C15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E04B3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(0.023)</w:t>
            </w:r>
          </w:p>
        </w:tc>
      </w:tr>
      <w:tr w:rsidR="002E3A6F" w:rsidRPr="002E3A6F" w14:paraId="11CC4939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15A7BC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D0AAE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39C81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BF236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BF0875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B42DA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47F52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7A9577D7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2371A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1C6BAAD4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21C79A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F34C1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(0.043)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BBE754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A63F7C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(0.136)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DE33D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(0.183)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77970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E890F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(0.058)</w:t>
            </w:r>
          </w:p>
        </w:tc>
        <w:tc>
          <w:tcPr>
            <w:tcW w:w="851" w:type="dxa"/>
            <w:vAlign w:val="bottom"/>
            <w:hideMark/>
          </w:tcPr>
          <w:p w14:paraId="7C0D8BB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B6230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(0.035)</w:t>
            </w:r>
          </w:p>
        </w:tc>
      </w:tr>
      <w:tr w:rsidR="002E3A6F" w:rsidRPr="002E3A6F" w14:paraId="5D38201E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853937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F0E7A5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F377A9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427C9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3744B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81323E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715BEC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E0600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D19B1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C97ED0" w14:paraId="04511B2C" w14:textId="77777777" w:rsidTr="008E6F5F">
        <w:trPr>
          <w:trHeight w:val="284"/>
        </w:trPr>
        <w:tc>
          <w:tcPr>
            <w:tcW w:w="9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4F969" w14:textId="084B950A" w:rsidR="008E6F5F" w:rsidRPr="002E3A6F" w:rsidRDefault="008E6F5F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Logit 3-outcome spec: EUT, </w:t>
            </w:r>
            <w:r w:rsidR="00797F80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common ratio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 AD</w:t>
            </w:r>
            <w:r w:rsidR="00631364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,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 and </w:t>
            </w:r>
            <w:r w:rsidR="00797F80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reverse common ratio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 BC; pseudo R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vertAlign w:val="superscript"/>
                <w:lang w:val="en-AU" w:eastAsia="en-AU"/>
              </w:rPr>
              <w:t>2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= 0.052</w:t>
            </w:r>
          </w:p>
        </w:tc>
      </w:tr>
      <w:tr w:rsidR="002E3A6F" w:rsidRPr="002E3A6F" w14:paraId="4C411986" w14:textId="77777777" w:rsidTr="008E6F5F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C1B49" w14:textId="77777777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(AC &amp; BD, EUT)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FF911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6EFE5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1F622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04A41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17FC3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33BF7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-0.197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A45313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7ED86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0.407</w:t>
            </w:r>
          </w:p>
        </w:tc>
      </w:tr>
      <w:tr w:rsidR="002E3A6F" w:rsidRPr="002E3A6F" w14:paraId="164E0183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7CFA60" w14:textId="77777777" w:rsidR="008E6F5F" w:rsidRPr="002E3A6F" w:rsidRDefault="008E6F5F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9E26C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420AA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9EFC8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(0.042)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4AEE2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(0.047)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9E6A9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6BED5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7D7CC4D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98930C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</w:tr>
      <w:tr w:rsidR="002E3A6F" w:rsidRPr="002E3A6F" w14:paraId="740E2726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9CC360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0009F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8B75F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395CC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A8DBD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0.318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05C12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CF17E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79D40D7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15A2AA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32545310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00E360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1FBC6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(0.049)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8BB62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D7BDE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(0.153)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9C0DB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(0.189)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C63EE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680A9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(0.067)</w:t>
            </w:r>
          </w:p>
        </w:tc>
        <w:tc>
          <w:tcPr>
            <w:tcW w:w="851" w:type="dxa"/>
            <w:vAlign w:val="bottom"/>
            <w:hideMark/>
          </w:tcPr>
          <w:p w14:paraId="136A570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99BF7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(0.053)</w:t>
            </w:r>
          </w:p>
        </w:tc>
      </w:tr>
      <w:tr w:rsidR="002E3A6F" w:rsidRPr="002E3A6F" w14:paraId="16AE0D02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036440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29EA7A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15347F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8BAE6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AD623A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9E449B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BAB99D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6F8491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3D81E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3C972682" w14:textId="77777777" w:rsidTr="008E6F5F">
        <w:trPr>
          <w:trHeight w:val="22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5CA23" w14:textId="6832B652" w:rsidR="008E6F5F" w:rsidRPr="002E3A6F" w:rsidRDefault="008E6F5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 xml:space="preserve">(AD, </w:t>
            </w:r>
            <w:r w:rsidR="00FE551E"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CR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987455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B3D5FE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25477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0.246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328F8B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B9AB01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0.146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E2013C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A56134A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2EFC71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-0.538</w:t>
            </w:r>
          </w:p>
        </w:tc>
      </w:tr>
      <w:tr w:rsidR="002E3A6F" w:rsidRPr="002E3A6F" w14:paraId="764F2863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AD308F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2C9492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(0.010)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4C8ED6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1093D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(0.039)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05635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(0.044)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C0190E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(0.010)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8E06E0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0CAAA295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2BF47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(0.023)</w:t>
            </w:r>
          </w:p>
        </w:tc>
      </w:tr>
      <w:tr w:rsidR="002E3A6F" w:rsidRPr="002E3A6F" w14:paraId="05F6E03F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CD5B05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29AEC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23BC1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F3EBD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AA778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B7944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BFA69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4367611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004DF4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16F29D71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057394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2FD26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(0.039)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A87B8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(0.003)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980BB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(0.103)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072AC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(0.117)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FFE07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(0.029)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53117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(0.054)</w:t>
            </w:r>
          </w:p>
        </w:tc>
        <w:tc>
          <w:tcPr>
            <w:tcW w:w="851" w:type="dxa"/>
            <w:vAlign w:val="bottom"/>
            <w:hideMark/>
          </w:tcPr>
          <w:p w14:paraId="4BD1F31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66E88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(0.077)</w:t>
            </w:r>
          </w:p>
        </w:tc>
      </w:tr>
      <w:tr w:rsidR="002E3A6F" w:rsidRPr="002E3A6F" w14:paraId="5474F0AF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8EC633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567DAD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202619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62552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69FC0F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F79016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5F5E27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ABE6E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C69CA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0FCDBF4F" w14:textId="77777777" w:rsidTr="008E6F5F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25BFE" w14:textId="2684DF6B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 xml:space="preserve">(BC, </w:t>
            </w:r>
            <w:r w:rsidR="00E415BA"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reverse CR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CFE0C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EE693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0.006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481F4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E3CF2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0.130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8E595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-0.056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06407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-0.024</w:t>
            </w:r>
          </w:p>
        </w:tc>
        <w:tc>
          <w:tcPr>
            <w:tcW w:w="851" w:type="dxa"/>
            <w:vAlign w:val="bottom"/>
            <w:hideMark/>
          </w:tcPr>
          <w:p w14:paraId="3CE3D166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E50A6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0.131</w:t>
            </w:r>
          </w:p>
        </w:tc>
      </w:tr>
      <w:tr w:rsidR="002E3A6F" w:rsidRPr="002E3A6F" w14:paraId="151DAE7E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30E6A8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0D9445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FE01B8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94C3D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(0.025)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29DA54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(0.031)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A9D6CE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A27447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(0.014)</w:t>
            </w:r>
          </w:p>
        </w:tc>
        <w:tc>
          <w:tcPr>
            <w:tcW w:w="851" w:type="dxa"/>
            <w:vAlign w:val="bottom"/>
            <w:hideMark/>
          </w:tcPr>
          <w:p w14:paraId="5F53A0A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473735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(0.014)</w:t>
            </w:r>
          </w:p>
        </w:tc>
      </w:tr>
      <w:tr w:rsidR="002E3A6F" w:rsidRPr="002E3A6F" w14:paraId="3F9B47FE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BBE121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B8822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662A3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6DAF2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0.743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E4859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E4D9D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855EE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0.093</w:t>
            </w:r>
          </w:p>
        </w:tc>
        <w:tc>
          <w:tcPr>
            <w:tcW w:w="851" w:type="dxa"/>
            <w:vAlign w:val="bottom"/>
            <w:hideMark/>
          </w:tcPr>
          <w:p w14:paraId="27958E85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89414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39085BFC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25C260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9EB45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78604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(0.003)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12E10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(0.090)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50BEB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(0.086)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B02F4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(0.020)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13236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(0.033)</w:t>
            </w:r>
          </w:p>
        </w:tc>
        <w:tc>
          <w:tcPr>
            <w:tcW w:w="851" w:type="dxa"/>
            <w:vAlign w:val="bottom"/>
            <w:hideMark/>
          </w:tcPr>
          <w:p w14:paraId="18428B2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E205E1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(0.045)</w:t>
            </w:r>
          </w:p>
        </w:tc>
      </w:tr>
      <w:tr w:rsidR="002E3A6F" w:rsidRPr="002E3A6F" w14:paraId="10DF9D01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BDA4D2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68D0B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1B36A7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0C4D0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F4E842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7EDB1B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A87E50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02A54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8C0D1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2E3A6F" w:rsidRPr="00C97ED0" w14:paraId="4F55919D" w14:textId="77777777" w:rsidTr="008E6F5F">
        <w:trPr>
          <w:trHeight w:val="284"/>
        </w:trPr>
        <w:tc>
          <w:tcPr>
            <w:tcW w:w="911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hideMark/>
          </w:tcPr>
          <w:p w14:paraId="6D96DAD2" w14:textId="5C1CD40F" w:rsidR="008E6F5F" w:rsidRPr="002E3A6F" w:rsidRDefault="008E6F5F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Ordered logit 3-outcome spec in the following order: </w:t>
            </w:r>
            <w:r w:rsidR="00631364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common ratio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 BC, EUT, </w:t>
            </w:r>
            <w:r w:rsidR="007A7F7C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and </w:t>
            </w:r>
            <w:r w:rsidR="00631364"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reverse common ratio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 xml:space="preserve"> AD; pseudo R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vertAlign w:val="superscript"/>
                <w:lang w:val="en-AU" w:eastAsia="en-AU"/>
              </w:rPr>
              <w:t>2</w:t>
            </w: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=0.019</w:t>
            </w:r>
          </w:p>
        </w:tc>
      </w:tr>
      <w:tr w:rsidR="002E3A6F" w:rsidRPr="002E3A6F" w14:paraId="51B030F4" w14:textId="77777777" w:rsidTr="008E6F5F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02075" w14:textId="77777777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(AC &amp; BD, EUT)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A9FBF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3466A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52334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-0.228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85661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AA1E2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54896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-0.146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528F5B6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671C2A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0.283</w:t>
            </w:r>
          </w:p>
        </w:tc>
      </w:tr>
      <w:tr w:rsidR="002E3A6F" w:rsidRPr="002E3A6F" w14:paraId="0FBB2189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52D53B" w14:textId="77777777" w:rsidR="008E6F5F" w:rsidRPr="002E3A6F" w:rsidRDefault="008E6F5F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CB3B6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AB2F21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FEA9C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(0.040)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C5464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(0.046)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26416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A8C37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775EC5E0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DA1DE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(0.023)</w:t>
            </w:r>
          </w:p>
        </w:tc>
      </w:tr>
      <w:tr w:rsidR="002E3A6F" w:rsidRPr="002E3A6F" w14:paraId="26DBB614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0231BB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3A85D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2C3CD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274B3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7C620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C98E7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6B68F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4AA67743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3A33A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6F5EA329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E4EA37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FA2EB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(0.047)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DF5AE2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AE444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(0.156)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7D354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(0.203)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71991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(0.021)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0AFF5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(0.076)</w:t>
            </w:r>
          </w:p>
        </w:tc>
        <w:tc>
          <w:tcPr>
            <w:tcW w:w="851" w:type="dxa"/>
            <w:vAlign w:val="bottom"/>
            <w:hideMark/>
          </w:tcPr>
          <w:p w14:paraId="7FF198D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818F2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(0.050)</w:t>
            </w:r>
          </w:p>
        </w:tc>
      </w:tr>
      <w:tr w:rsidR="002E3A6F" w:rsidRPr="002E3A6F" w14:paraId="7970E5C2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A658CD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A98285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00FE2F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24310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7ADA1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0CEBA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B892CD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479F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28F5F6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0E6CEA82" w14:textId="77777777" w:rsidTr="008E6F5F">
        <w:trPr>
          <w:trHeight w:val="22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B4C5E" w14:textId="23EC4C26" w:rsidR="008E6F5F" w:rsidRPr="002E3A6F" w:rsidRDefault="008E6F5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 xml:space="preserve">(AD, </w:t>
            </w:r>
            <w:r w:rsidR="007A7F7C"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CR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1DACF5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0.044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8101C1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2D1F4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0.142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15E2A7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A4DDD0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DE306E" w14:textId="77777777" w:rsidR="008E6F5F" w:rsidRPr="002E3A6F" w:rsidRDefault="008E6F5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9F4CAD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15B27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-0.176</w:t>
            </w:r>
          </w:p>
        </w:tc>
      </w:tr>
      <w:tr w:rsidR="002E3A6F" w:rsidRPr="002E3A6F" w14:paraId="06E83780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6D3E32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F7A3C9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532286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60339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(0.025)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A8EC12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(0.029)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7546CD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2A25A1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(0.015)</w:t>
            </w:r>
          </w:p>
        </w:tc>
        <w:tc>
          <w:tcPr>
            <w:tcW w:w="851" w:type="dxa"/>
            <w:vAlign w:val="bottom"/>
            <w:hideMark/>
          </w:tcPr>
          <w:p w14:paraId="48F24E68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B6B91D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(0.015)</w:t>
            </w:r>
          </w:p>
        </w:tc>
      </w:tr>
      <w:tr w:rsidR="002E3A6F" w:rsidRPr="002E3A6F" w14:paraId="66CCEC91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A5D230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7D471E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1E0EE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2EBF49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6D27A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9794E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391EB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5C5C2B6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FA9903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6379121B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9C66C4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1F633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(0.032)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2E120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(0.002)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76FA6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(0.107)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71030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(0.122)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8F0E6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(0.016)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29130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(0.054)</w:t>
            </w:r>
          </w:p>
        </w:tc>
        <w:tc>
          <w:tcPr>
            <w:tcW w:w="851" w:type="dxa"/>
            <w:vAlign w:val="bottom"/>
            <w:hideMark/>
          </w:tcPr>
          <w:p w14:paraId="54CB228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FF92124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(0.041)</w:t>
            </w:r>
          </w:p>
        </w:tc>
      </w:tr>
      <w:tr w:rsidR="002E3A6F" w:rsidRPr="002E3A6F" w14:paraId="5D90BA15" w14:textId="77777777" w:rsidTr="008E6F5F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88035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1B4865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B52E0C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B456A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6D2BC6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34FC0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B4B197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0DD807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25789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5DD35DCE" w14:textId="77777777" w:rsidTr="008E6F5F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FA76D" w14:textId="0D6C0116" w:rsidR="008E6F5F" w:rsidRPr="002E3A6F" w:rsidRDefault="008E6F5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P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 xml:space="preserve">(BC, </w:t>
            </w:r>
            <w:r w:rsidR="007A7F7C"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reverse CR</w:t>
            </w: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06B45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0.027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428E0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509E5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0.086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D7D8C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A454A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51AA4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DFEEEA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16CD6B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-0.107</w:t>
            </w:r>
          </w:p>
        </w:tc>
      </w:tr>
      <w:tr w:rsidR="002E3A6F" w:rsidRPr="002E3A6F" w14:paraId="50124687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C2A32C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5FA81B7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(0.004)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4EFBD5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1FF69D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(0.015)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44D5E0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(0.018)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CDE158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(0.004)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4AC72E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(0.009)</w:t>
            </w:r>
          </w:p>
        </w:tc>
        <w:tc>
          <w:tcPr>
            <w:tcW w:w="851" w:type="dxa"/>
            <w:vAlign w:val="bottom"/>
            <w:hideMark/>
          </w:tcPr>
          <w:p w14:paraId="5BC82439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2289E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(0.009)</w:t>
            </w:r>
          </w:p>
        </w:tc>
      </w:tr>
      <w:tr w:rsidR="002E3A6F" w:rsidRPr="002E3A6F" w14:paraId="5AE6D7DD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28856D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593A560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3C3A9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A100FB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AF919F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72651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9D0583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  <w:hideMark/>
          </w:tcPr>
          <w:p w14:paraId="63E94AA1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E0ECB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E3A6F" w:rsidRPr="002E3A6F" w14:paraId="6182F7F9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F424E1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37C5A7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(0.015)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A6391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(0.001)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E8DB48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(0.052)</w:t>
            </w:r>
          </w:p>
        </w:tc>
        <w:tc>
          <w:tcPr>
            <w:tcW w:w="99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312E46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(0.082)</w:t>
            </w:r>
          </w:p>
        </w:tc>
        <w:tc>
          <w:tcPr>
            <w:tcW w:w="99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C91A75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(0.006)</w:t>
            </w:r>
          </w:p>
        </w:tc>
        <w:tc>
          <w:tcPr>
            <w:tcW w:w="70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08CAFA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(0.024)</w:t>
            </w:r>
          </w:p>
        </w:tc>
        <w:tc>
          <w:tcPr>
            <w:tcW w:w="851" w:type="dxa"/>
            <w:vAlign w:val="bottom"/>
            <w:hideMark/>
          </w:tcPr>
          <w:p w14:paraId="215FB5CF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CE89A2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(0.022)</w:t>
            </w:r>
          </w:p>
        </w:tc>
      </w:tr>
      <w:tr w:rsidR="002E3A6F" w:rsidRPr="002E3A6F" w14:paraId="15733F69" w14:textId="77777777" w:rsidTr="008E6F5F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6FE97D" w14:textId="77777777" w:rsidR="008E6F5F" w:rsidRPr="002E3A6F" w:rsidRDefault="008E6F5F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5D5F09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13DB9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DB6141" w14:textId="77777777" w:rsidR="008E6F5F" w:rsidRPr="002E3A6F" w:rsidRDefault="008E6F5F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2EE610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3CB96B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A23443" w14:textId="77777777" w:rsidR="008E6F5F" w:rsidRPr="002E3A6F" w:rsidRDefault="008E6F5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BBA185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30211E" w14:textId="77777777" w:rsidR="008E6F5F" w:rsidRPr="002E3A6F" w:rsidRDefault="008E6F5F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1546BE0" w14:textId="43D047C4" w:rsidR="008E6F5F" w:rsidRPr="002E3A6F" w:rsidRDefault="008E6F5F" w:rsidP="008E6F5F">
      <w:pPr>
        <w:spacing w:after="0" w:line="240" w:lineRule="auto"/>
        <w:rPr>
          <w:rFonts w:cstheme="minorHAnsi"/>
          <w:b/>
          <w:bCs/>
          <w:color w:val="000000" w:themeColor="text1"/>
          <w:lang w:val="en-GB"/>
        </w:rPr>
      </w:pPr>
      <w:r w:rsidRPr="002E3A6F">
        <w:rPr>
          <w:rFonts w:cstheme="minorHAnsi"/>
          <w:b/>
          <w:bCs/>
          <w:color w:val="000000" w:themeColor="text1"/>
          <w:lang w:val="en-GB"/>
        </w:rPr>
        <w:t xml:space="preserve">Table </w:t>
      </w:r>
      <w:r w:rsidR="005D0923">
        <w:rPr>
          <w:rFonts w:cstheme="minorHAnsi"/>
          <w:b/>
          <w:bCs/>
          <w:color w:val="000000" w:themeColor="text1"/>
          <w:lang w:val="en-GB"/>
        </w:rPr>
        <w:t>4</w:t>
      </w:r>
      <w:r w:rsidRPr="002E3A6F">
        <w:rPr>
          <w:rFonts w:cstheme="minorHAnsi"/>
          <w:b/>
          <w:bCs/>
          <w:color w:val="000000" w:themeColor="text1"/>
          <w:lang w:val="en-GB"/>
        </w:rPr>
        <w:t>. Logit average marginal effects and linear probability model</w:t>
      </w:r>
    </w:p>
    <w:p w14:paraId="1EBB23DA" w14:textId="77777777" w:rsidR="008E6F5F" w:rsidRPr="002E3A6F" w:rsidRDefault="008E6F5F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374FC861" w14:textId="77777777" w:rsidR="005D0923" w:rsidRDefault="005D0923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100F5ACE" w14:textId="77777777" w:rsidR="005D0923" w:rsidRDefault="005D0923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0929C1F6" w14:textId="77777777" w:rsidR="005D0923" w:rsidRDefault="005D0923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5DCDF261" w14:textId="77777777" w:rsidR="005D0923" w:rsidRDefault="005D0923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7F4FD825" w14:textId="77777777" w:rsidR="003C3796" w:rsidRDefault="003C3796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p w14:paraId="0C5B33DF" w14:textId="3A5C3AFD" w:rsidR="008E6F5F" w:rsidRPr="002E3A6F" w:rsidRDefault="008E6F5F" w:rsidP="008E6F5F">
      <w:pPr>
        <w:spacing w:after="0" w:line="240" w:lineRule="auto"/>
        <w:rPr>
          <w:rFonts w:cstheme="minorHAnsi"/>
          <w:color w:val="000000" w:themeColor="text1"/>
          <w:lang w:val="en-US"/>
        </w:rPr>
      </w:pPr>
      <w:r w:rsidRPr="002E3A6F">
        <w:rPr>
          <w:rFonts w:cstheme="minorHAnsi"/>
          <w:color w:val="000000" w:themeColor="text1"/>
          <w:lang w:val="en-US"/>
        </w:rPr>
        <w:lastRenderedPageBreak/>
        <w:t xml:space="preserve">For completeness in Table </w:t>
      </w:r>
      <w:r w:rsidR="005D0923">
        <w:rPr>
          <w:rFonts w:cstheme="minorHAnsi"/>
          <w:color w:val="000000" w:themeColor="text1"/>
          <w:lang w:val="en-US"/>
        </w:rPr>
        <w:t>5</w:t>
      </w:r>
      <w:r w:rsidRPr="002E3A6F">
        <w:rPr>
          <w:rFonts w:cstheme="minorHAnsi"/>
          <w:color w:val="000000" w:themeColor="text1"/>
          <w:lang w:val="en-US"/>
        </w:rPr>
        <w:t>, we present the logit regression coefficients for log odds ratios.</w:t>
      </w:r>
    </w:p>
    <w:tbl>
      <w:tblPr>
        <w:tblpPr w:leftFromText="180" w:rightFromText="180" w:vertAnchor="text" w:horzAnchor="margin" w:tblpY="407"/>
        <w:tblW w:w="86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3"/>
        <w:gridCol w:w="993"/>
        <w:gridCol w:w="991"/>
        <w:gridCol w:w="991"/>
        <w:gridCol w:w="850"/>
        <w:gridCol w:w="849"/>
        <w:gridCol w:w="709"/>
        <w:gridCol w:w="892"/>
        <w:gridCol w:w="807"/>
      </w:tblGrid>
      <w:tr w:rsidR="005D0923" w:rsidRPr="002E3A6F" w14:paraId="4203E558" w14:textId="77777777" w:rsidTr="005D0923">
        <w:trPr>
          <w:trHeight w:val="6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  <w:vAlign w:val="bottom"/>
          </w:tcPr>
          <w:p w14:paraId="1A2A8869" w14:textId="77777777" w:rsidR="005D0923" w:rsidRPr="002E3A6F" w:rsidRDefault="005D0923" w:rsidP="005D0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Explanatory variables</w:t>
            </w:r>
          </w:p>
          <w:p w14:paraId="6CBFF6A3" w14:textId="77777777" w:rsidR="005D0923" w:rsidRPr="002E3A6F" w:rsidRDefault="005D0923" w:rsidP="005D0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</w:p>
          <w:p w14:paraId="1B65CAE5" w14:textId="77777777" w:rsidR="005D0923" w:rsidRPr="002E3A6F" w:rsidRDefault="005D0923" w:rsidP="005D0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</w:p>
          <w:p w14:paraId="2B257A73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Odds ratios</w:t>
            </w:r>
          </w:p>
          <w:p w14:paraId="57D75DA6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09B44" w14:textId="77777777" w:rsidR="005D0923" w:rsidRPr="002E3A6F" w:rsidRDefault="00000000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</m:func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×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18A7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6EEA06B7" w14:textId="77777777" w:rsidR="005D0923" w:rsidRPr="002E3A6F" w:rsidRDefault="00000000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ln</m:t>
                    </m:r>
                  </m:fName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</m:func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(1-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I)</m:t>
                </m:r>
              </m:oMath>
            </m:oMathPara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94B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mbria Math" w:hAnsi="Cambria Math" w:cstheme="minorHAnsi"/>
                <w:b/>
                <w:color w:val="000000" w:themeColor="text1"/>
                <w:sz w:val="24"/>
                <w:szCs w:val="24"/>
              </w:rPr>
            </w:pPr>
          </w:p>
          <w:p w14:paraId="4E2507A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mbria Math" w:hAnsi="Cambria Math" w:cstheme="minorHAnsi"/>
                <w:b/>
                <w:color w:val="000000" w:themeColor="text1"/>
                <w:sz w:val="24"/>
                <w:szCs w:val="24"/>
              </w:rPr>
            </w:pPr>
            <w:r w:rsidRPr="002E3A6F">
              <w:rPr>
                <w:rFonts w:ascii="Cambria Math" w:hAnsi="Cambria Math" w:cstheme="minorHAnsi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3FBE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  <w:t>PH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52B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O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8035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L</m:t>
                </m:r>
              </m:oMath>
            </m:oMathPara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F47BBD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S</m:t>
                </m:r>
              </m:oMath>
            </m:oMathPara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BF3C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CR</m:t>
                </m:r>
              </m:oMath>
            </m:oMathPara>
          </w:p>
        </w:tc>
      </w:tr>
      <w:tr w:rsidR="005D0923" w:rsidRPr="002E3A6F" w14:paraId="54EE66E8" w14:textId="77777777" w:rsidTr="005D0923">
        <w:trPr>
          <w:trHeight w:val="900"/>
        </w:trPr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8248D2" w14:textId="77777777" w:rsidR="005D0923" w:rsidRPr="002E3A6F" w:rsidRDefault="005D0923" w:rsidP="005D0923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3070AF" w14:textId="77777777" w:rsidR="005D0923" w:rsidRPr="002E3A6F" w:rsidRDefault="005D0923" w:rsidP="005D0923">
            <w:pPr>
              <w:spacing w:after="0" w:line="240" w:lineRule="auto"/>
              <w:ind w:left="-24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ln payoffs,</w:t>
            </w:r>
          </w:p>
          <w:p w14:paraId="545FE5F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real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5AF8F" w14:textId="77777777" w:rsidR="005D0923" w:rsidRPr="002E3A6F" w:rsidRDefault="005D0923" w:rsidP="005D0923">
            <w:pPr>
              <w:spacing w:after="0" w:line="240" w:lineRule="auto"/>
              <w:ind w:left="-29" w:right="-39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ln payoffs,  hypoth.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CECB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=1, real incentives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814A4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prob. of highest outcome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C131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=mid/</w:t>
            </w:r>
          </w:p>
          <w:p w14:paraId="464505C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high outcome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FBE535" w14:textId="77777777" w:rsidR="005D0923" w:rsidRPr="002E3A6F" w:rsidRDefault="005D0923" w:rsidP="005D0923">
            <w:pPr>
              <w:spacing w:after="0" w:line="240" w:lineRule="auto"/>
              <w:ind w:left="-79" w:right="-108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=1, sim. lottery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94FF6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=1, student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670B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common ratio</w:t>
            </w:r>
          </w:p>
        </w:tc>
      </w:tr>
      <w:tr w:rsidR="005D0923" w:rsidRPr="002E3A6F" w14:paraId="5808D5FE" w14:textId="77777777" w:rsidTr="005D0923">
        <w:trPr>
          <w:trHeight w:val="284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EEB0FE" w14:textId="77777777" w:rsidR="005D0923" w:rsidRPr="002E3A6F" w:rsidRDefault="005D0923" w:rsidP="005D0923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AU"/>
              </w:rPr>
              <w:t>Logit 2-outcome spec: EUT vs non-EUT (baseline EUT)</w:t>
            </w:r>
          </w:p>
        </w:tc>
      </w:tr>
      <w:tr w:rsidR="005D0923" w:rsidRPr="002E3A6F" w14:paraId="245D32B1" w14:textId="77777777" w:rsidTr="005D0923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064351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non-EUT/EUT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5176A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-0.303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41EB0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0.026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E1C61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1.056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78CDF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0.195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839C9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1ADE2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0.734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C9C999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-0.161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47D256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-1.636</w:t>
            </w:r>
          </w:p>
        </w:tc>
      </w:tr>
      <w:tr w:rsidR="005D0923" w:rsidRPr="002E3A6F" w14:paraId="520F4A8F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6E771C" w14:textId="77777777" w:rsidR="005D0923" w:rsidRPr="002E3A6F" w:rsidRDefault="005D0923" w:rsidP="005D0923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DC399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(0.048)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9A86E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367AE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(0.179)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14C25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(0.199)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6F2FD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(0.049)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8BD8A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(0.105)</w:t>
            </w:r>
          </w:p>
        </w:tc>
        <w:tc>
          <w:tcPr>
            <w:tcW w:w="892" w:type="dxa"/>
            <w:vAlign w:val="bottom"/>
            <w:hideMark/>
          </w:tcPr>
          <w:p w14:paraId="04023377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7D1EB1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(0.104)</w:t>
            </w:r>
          </w:p>
        </w:tc>
      </w:tr>
      <w:tr w:rsidR="005D0923" w:rsidRPr="002E3A6F" w14:paraId="240BE60D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AC3D1F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B19AA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88364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96B0F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D0E9FB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10D4C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BF408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bottom"/>
            <w:hideMark/>
          </w:tcPr>
          <w:p w14:paraId="511B4AA7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0BD58B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63D4BE50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854F2B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CI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3B2BA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(0.194)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0618B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(0.005)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EEA15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(0.608)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B021F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(0.832)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1372F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(0.094)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2D779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(0.286)</w:t>
            </w:r>
          </w:p>
        </w:tc>
        <w:tc>
          <w:tcPr>
            <w:tcW w:w="892" w:type="dxa"/>
            <w:vAlign w:val="bottom"/>
            <w:hideMark/>
          </w:tcPr>
          <w:p w14:paraId="2650E4B9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63482E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(0.170)</w:t>
            </w:r>
          </w:p>
        </w:tc>
      </w:tr>
      <w:tr w:rsidR="005D0923" w:rsidRPr="002E3A6F" w14:paraId="59CFFD72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95E657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B28B4B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96A778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A37DA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1898C8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AA091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2ADE45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9DB1A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0.283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B5B43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C97ED0" w14:paraId="3BAC659B" w14:textId="77777777" w:rsidTr="005D0923">
        <w:trPr>
          <w:trHeight w:val="284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3AD93B" w14:textId="77777777" w:rsidR="005D0923" w:rsidRPr="002E3A6F" w:rsidRDefault="005D0923" w:rsidP="005D0923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Logit 3-outcome spec: EUT vs common ratio AD, and reverse common ratio BC (baseline EUT)</w:t>
            </w:r>
          </w:p>
        </w:tc>
      </w:tr>
      <w:tr w:rsidR="005D0923" w:rsidRPr="002E3A6F" w14:paraId="273BC77B" w14:textId="77777777" w:rsidTr="005D0923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2B57C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AD/EUT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B94F8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-0.321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2BF29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0.047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054AF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1.303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19B89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-0.217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CBC1E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DA086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1.119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81BA61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-0.210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D7D60F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-2.597</w:t>
            </w:r>
          </w:p>
        </w:tc>
      </w:tr>
      <w:tr w:rsidR="005D0923" w:rsidRPr="002E3A6F" w14:paraId="03C90DD5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07ED8" w14:textId="77777777" w:rsidR="005D0923" w:rsidRPr="002E3A6F" w:rsidRDefault="005D0923" w:rsidP="005D0923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EEF10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(0.053)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A2254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(0.008)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7C555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(0.199)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E2572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(0.222)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3537C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(0.054)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A975E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(0.121)</w:t>
            </w:r>
          </w:p>
        </w:tc>
        <w:tc>
          <w:tcPr>
            <w:tcW w:w="892" w:type="dxa"/>
            <w:vAlign w:val="bottom"/>
            <w:hideMark/>
          </w:tcPr>
          <w:p w14:paraId="591D0A24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(0.062)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A1ADE25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(0.123)</w:t>
            </w:r>
          </w:p>
        </w:tc>
      </w:tr>
      <w:tr w:rsidR="005D0923" w:rsidRPr="002E3A6F" w14:paraId="7BECE95B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24566E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14A0B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655AE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5D170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49297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0.329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C9278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FE49B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bottom"/>
            <w:hideMark/>
          </w:tcPr>
          <w:p w14:paraId="515E21FB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4A7EBD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504610FD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C139F3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D8FCB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(0.221)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63BF5D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(0.008)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B1265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(0.607)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1852A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(0.735)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27F7A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(0.157)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55C9C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(0.304)</w:t>
            </w:r>
          </w:p>
        </w:tc>
        <w:tc>
          <w:tcPr>
            <w:tcW w:w="892" w:type="dxa"/>
            <w:vAlign w:val="bottom"/>
            <w:hideMark/>
          </w:tcPr>
          <w:p w14:paraId="0A2A5247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(0.169)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A31AC1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(0.291)</w:t>
            </w:r>
          </w:p>
        </w:tc>
      </w:tr>
      <w:tr w:rsidR="005D0923" w:rsidRPr="002E3A6F" w14:paraId="75200EB8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06A090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4A884F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5C09EE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F5B10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950A8C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FC26EC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1FD06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8B0E02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A52F9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52192C04" w14:textId="77777777" w:rsidTr="005D0923">
        <w:trPr>
          <w:trHeight w:val="22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E198B6" w14:textId="77777777" w:rsidR="005D0923" w:rsidRPr="002E3A6F" w:rsidRDefault="005D0923" w:rsidP="005D092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BC/EUT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AC5F4D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D0D701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-0.047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D5068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0.515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680F43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1.383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1E22E0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-0.403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2CEBA8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0.091</w:t>
            </w:r>
          </w:p>
        </w:tc>
        <w:tc>
          <w:tcPr>
            <w:tcW w:w="892" w:type="dxa"/>
            <w:vAlign w:val="bottom"/>
            <w:hideMark/>
          </w:tcPr>
          <w:p w14:paraId="2E59556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-0.009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2D8A2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0.615</w:t>
            </w:r>
          </w:p>
        </w:tc>
      </w:tr>
      <w:tr w:rsidR="005D0923" w:rsidRPr="002E3A6F" w14:paraId="698490BF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BA8459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741D94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(0.077)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9F890A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(0.013)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59090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(0.290)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BCBE9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(0.352)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E98225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(0.083)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32C1FA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(0.165)</w:t>
            </w:r>
          </w:p>
        </w:tc>
        <w:tc>
          <w:tcPr>
            <w:tcW w:w="892" w:type="dxa"/>
            <w:vAlign w:val="bottom"/>
            <w:hideMark/>
          </w:tcPr>
          <w:p w14:paraId="70484319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430787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(0.159)</w:t>
            </w:r>
          </w:p>
        </w:tc>
      </w:tr>
      <w:tr w:rsidR="005D0923" w:rsidRPr="002E3A6F" w14:paraId="1578294B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CCE6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0E616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BBA20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44D3A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79262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B8A61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C9967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892" w:type="dxa"/>
            <w:vAlign w:val="bottom"/>
            <w:hideMark/>
          </w:tcPr>
          <w:p w14:paraId="6B9EAE65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953DFF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5B9D75DC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D4EAED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45674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(0.287)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97FF2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(0.031)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25999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(1.119)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824F3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(1.094)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E2683A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(0.211)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960D1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(0.397)</w:t>
            </w:r>
          </w:p>
        </w:tc>
        <w:tc>
          <w:tcPr>
            <w:tcW w:w="892" w:type="dxa"/>
            <w:vAlign w:val="bottom"/>
            <w:hideMark/>
          </w:tcPr>
          <w:p w14:paraId="158005C4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(0.296)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69F9B5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(0.339)</w:t>
            </w:r>
          </w:p>
        </w:tc>
      </w:tr>
      <w:tr w:rsidR="005D0923" w:rsidRPr="002E3A6F" w14:paraId="137D4942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BF6259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2CB99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D9883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4C5B9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6251A5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E3241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EBAD9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6E6425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04E2C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5D0923" w:rsidRPr="00C97ED0" w14:paraId="13C9143C" w14:textId="77777777" w:rsidTr="005D0923">
        <w:trPr>
          <w:trHeight w:val="284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7035B4" w14:textId="77777777" w:rsidR="005D0923" w:rsidRPr="002E3A6F" w:rsidRDefault="005D0923" w:rsidP="005D0923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Ordered logit in the order: common ratio BC, EUT, reverse common ratio AD</w:t>
            </w:r>
          </w:p>
        </w:tc>
      </w:tr>
      <w:tr w:rsidR="005D0923" w:rsidRPr="002E3A6F" w14:paraId="0A11D426" w14:textId="77777777" w:rsidTr="005D0923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9ED1C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 xml:space="preserve">Higher/Lower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A9FE3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-0.302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89B8C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818FDD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0.968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7903A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0.358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18CF20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2D0B4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0.619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15458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-0.129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1948FC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-1.205</w:t>
            </w:r>
          </w:p>
        </w:tc>
      </w:tr>
      <w:tr w:rsidR="005D0923" w:rsidRPr="002E3A6F" w14:paraId="79AD57AD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047F28" w14:textId="77777777" w:rsidR="005D0923" w:rsidRPr="002E3A6F" w:rsidRDefault="005D0923" w:rsidP="005D0923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8F1B1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(0.046)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0E267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(0.007)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E7054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(0.172)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C2C21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(0.197)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9D073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(0.047)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2B4D9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(0.104)</w:t>
            </w:r>
          </w:p>
        </w:tc>
        <w:tc>
          <w:tcPr>
            <w:tcW w:w="892" w:type="dxa"/>
            <w:vAlign w:val="bottom"/>
            <w:hideMark/>
          </w:tcPr>
          <w:p w14:paraId="244C1D3B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0A1AA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(0.101)</w:t>
            </w:r>
          </w:p>
        </w:tc>
      </w:tr>
      <w:tr w:rsidR="005D0923" w:rsidRPr="002E3A6F" w14:paraId="5E6F6B60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096DFB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CCD97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BFE60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E76F2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A1281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8C58F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3DEEA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bottom"/>
            <w:hideMark/>
          </w:tcPr>
          <w:p w14:paraId="2AFA086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2097E1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78216C5D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773D81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CI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7F72D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(0.202)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64F75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(0.010)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70E97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(0.671)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BA656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(0.859)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D1306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(0.089)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3BCA2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(0.331)</w:t>
            </w:r>
          </w:p>
        </w:tc>
        <w:tc>
          <w:tcPr>
            <w:tcW w:w="892" w:type="dxa"/>
            <w:vAlign w:val="bottom"/>
            <w:hideMark/>
          </w:tcPr>
          <w:p w14:paraId="43C6D3A5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(0.150)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B2317D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(0.219)</w:t>
            </w:r>
          </w:p>
        </w:tc>
      </w:tr>
      <w:tr w:rsidR="005D0923" w:rsidRPr="002E3A6F" w14:paraId="064E203C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471177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75C871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975217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3541A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2499D4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2E4518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1D4C7B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0.061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0C15AD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A86596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2B35BC1A" w14:textId="77777777" w:rsidTr="005D0923">
        <w:trPr>
          <w:trHeight w:val="284"/>
        </w:trPr>
        <w:tc>
          <w:tcPr>
            <w:tcW w:w="86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375145" w14:textId="77777777" w:rsidR="005D0923" w:rsidRPr="002E3A6F" w:rsidRDefault="005D0923" w:rsidP="005D0923">
            <w:pPr>
              <w:spacing w:after="0" w:line="240" w:lineRule="auto"/>
              <w:ind w:right="196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2E3A6F">
              <w:rPr>
                <w:rFonts w:ascii="Calibri" w:eastAsia="Times New Roman" w:hAnsi="Calibri" w:cs="Calibri"/>
                <w:i/>
                <w:iCs/>
                <w:color w:val="000000" w:themeColor="text1"/>
                <w:lang w:val="en-AU" w:eastAsia="en-AU"/>
              </w:rPr>
              <w:t>Logit 4-outcome spec (baseline EUT risk-averse AC)</w:t>
            </w:r>
          </w:p>
        </w:tc>
      </w:tr>
      <w:tr w:rsidR="005D0923" w:rsidRPr="002E3A6F" w14:paraId="18699DD4" w14:textId="77777777" w:rsidTr="005D0923">
        <w:trPr>
          <w:trHeight w:hRule="exact" w:val="284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7E0AFC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BD/AC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7841B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0.165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7DA6A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-0.015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6E3B3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-0.351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E286D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2.893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5AF7F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E771E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-0.762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09AD71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0.089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4FB1EC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-1.732</w:t>
            </w:r>
          </w:p>
        </w:tc>
      </w:tr>
      <w:tr w:rsidR="005D0923" w:rsidRPr="002E3A6F" w14:paraId="6FA25F32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D8817E" w14:textId="77777777" w:rsidR="005D0923" w:rsidRPr="002E3A6F" w:rsidRDefault="005D0923" w:rsidP="005D0923">
            <w:pPr>
              <w:spacing w:after="0" w:line="240" w:lineRule="auto"/>
              <w:ind w:left="194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EC907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(0.064)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6E3EC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(0.011)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6C330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(0.243)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1EFB89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(0.271)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885EA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(0.065)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A40D8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(0.133)</w:t>
            </w:r>
          </w:p>
        </w:tc>
        <w:tc>
          <w:tcPr>
            <w:tcW w:w="892" w:type="dxa"/>
            <w:vAlign w:val="bottom"/>
            <w:hideMark/>
          </w:tcPr>
          <w:p w14:paraId="46A8AEBE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4484A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(0.140)</w:t>
            </w:r>
          </w:p>
        </w:tc>
      </w:tr>
      <w:tr w:rsidR="005D0923" w:rsidRPr="002E3A6F" w14:paraId="69D89E99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2B0184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E604A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4CB95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0.164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C6EBCB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4B3D6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7E9E3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0.788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884DB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bottom"/>
            <w:hideMark/>
          </w:tcPr>
          <w:p w14:paraId="701A45FC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0.296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FBD2F4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09356039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494A1F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AD486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(0.403)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6BE5EC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(0.055)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477C6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(1.526)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7B0E4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(0.622)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DF4B0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(0.252)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94E2B3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(0.380)</w:t>
            </w:r>
          </w:p>
        </w:tc>
        <w:tc>
          <w:tcPr>
            <w:tcW w:w="892" w:type="dxa"/>
            <w:vAlign w:val="bottom"/>
            <w:hideMark/>
          </w:tcPr>
          <w:p w14:paraId="36DD284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(0.341)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D5E6429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(0.566)</w:t>
            </w:r>
          </w:p>
        </w:tc>
      </w:tr>
      <w:tr w:rsidR="005D0923" w:rsidRPr="002E3A6F" w14:paraId="23C4265E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B930B0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8DC2C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771DC4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BDEC9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2AA84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86D847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23FB07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621036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0.795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14CB32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5D0923" w:rsidRPr="002E3A6F" w14:paraId="45DDF869" w14:textId="77777777" w:rsidTr="005D0923">
        <w:trPr>
          <w:trHeight w:val="22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009886" w14:textId="77777777" w:rsidR="005D0923" w:rsidRPr="002E3A6F" w:rsidRDefault="005D0923" w:rsidP="005D092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AD/AC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E8253F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</w:t>
            </w: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0.258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E9B02F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0.042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18F42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1.181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5B90C0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0.740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CCF702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0.683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2CE65D" w14:textId="77777777" w:rsidR="005D0923" w:rsidRPr="002E3A6F" w:rsidRDefault="005D0923" w:rsidP="005D092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0.816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8E411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i/>
                <w:color w:val="000000" w:themeColor="text1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-0.173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632DB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b/>
                <w:bCs/>
                <w:color w:val="000000" w:themeColor="text1"/>
              </w:rPr>
              <w:t>-3.159</w:t>
            </w:r>
          </w:p>
        </w:tc>
      </w:tr>
      <w:tr w:rsidR="005D0923" w:rsidRPr="002E3A6F" w14:paraId="71AB80CC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8FBBB1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20768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(0.058)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70E5C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(0.008)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2CB69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(0.216)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64FBB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(0.239)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19A547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(0.059)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E649B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(0.131)</w:t>
            </w:r>
          </w:p>
        </w:tc>
        <w:tc>
          <w:tcPr>
            <w:tcW w:w="892" w:type="dxa"/>
            <w:vAlign w:val="bottom"/>
            <w:hideMark/>
          </w:tcPr>
          <w:p w14:paraId="28A5EE4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(0.067)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B317FA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(0.132)</w:t>
            </w:r>
          </w:p>
        </w:tc>
      </w:tr>
      <w:tr w:rsidR="005D0923" w:rsidRPr="002E3A6F" w14:paraId="3FC9CBB5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790E0A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1C8BA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261601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26EEC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A2BD3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41523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FC48E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2" w:type="dxa"/>
            <w:vAlign w:val="bottom"/>
            <w:hideMark/>
          </w:tcPr>
          <w:p w14:paraId="0386550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780E4F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21B954E4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98C4E2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C5DBA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(0.339)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898A4A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(0.015)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8AF7E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(1.045)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55032E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(0.961)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67C04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(0.214)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47F89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(0.409)</w:t>
            </w:r>
          </w:p>
        </w:tc>
        <w:tc>
          <w:tcPr>
            <w:tcW w:w="892" w:type="dxa"/>
            <w:vAlign w:val="bottom"/>
            <w:hideMark/>
          </w:tcPr>
          <w:p w14:paraId="1F19D8A3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(0.218)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D9895D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(0.310)</w:t>
            </w:r>
          </w:p>
        </w:tc>
      </w:tr>
      <w:tr w:rsidR="005D0923" w:rsidRPr="002E3A6F" w14:paraId="1F223D3F" w14:textId="77777777" w:rsidTr="005D0923">
        <w:trPr>
          <w:trHeight w:hRule="exact"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FA6500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01975A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18362E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E35E6C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AA3BA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0.441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BBFA7E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299E74B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4B0AEC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0.429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EF0867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0923" w:rsidRPr="002E3A6F" w14:paraId="49D732F8" w14:textId="77777777" w:rsidTr="005D0923">
        <w:trPr>
          <w:trHeight w:val="30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46DF4" w14:textId="77777777" w:rsidR="005D0923" w:rsidRPr="002E3A6F" w:rsidRDefault="005D0923" w:rsidP="005D092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</w:pPr>
            <w:r w:rsidRPr="002E3A6F">
              <w:rPr>
                <w:rFonts w:ascii="Calibri" w:eastAsia="Times New Roman" w:hAnsi="Calibri" w:cs="Calibri"/>
                <w:color w:val="000000" w:themeColor="text1"/>
                <w:lang w:val="en-AU" w:eastAsia="en-AU"/>
              </w:rPr>
              <w:t>BC/AC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4B2232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-0.250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6BE26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-0.052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AD98E9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0.406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73F21E6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2.278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044A8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b/>
                <w:bCs/>
                <w:i/>
                <w:color w:val="000000" w:themeColor="text1"/>
              </w:rPr>
              <w:t>-0.390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AAD117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-0.191</w:t>
            </w:r>
          </w:p>
        </w:tc>
        <w:tc>
          <w:tcPr>
            <w:tcW w:w="892" w:type="dxa"/>
            <w:vAlign w:val="bottom"/>
            <w:hideMark/>
          </w:tcPr>
          <w:p w14:paraId="032428DD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40610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AU" w:eastAsia="en-AU"/>
              </w:rPr>
            </w:pPr>
            <w:r w:rsidRPr="002E3A6F">
              <w:rPr>
                <w:rFonts w:ascii="Calibri" w:hAnsi="Calibri" w:cs="Calibri"/>
                <w:color w:val="000000" w:themeColor="text1"/>
              </w:rPr>
              <w:t>0.070</w:t>
            </w:r>
          </w:p>
        </w:tc>
      </w:tr>
      <w:tr w:rsidR="005D0923" w:rsidRPr="002E3A6F" w14:paraId="353BC527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CB3460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A53061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(0.080)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3DA320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(0.014)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A7CAB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(0.301)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18518D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(0.364)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BFD7938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(0.086)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2041DE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(0.173)</w:t>
            </w:r>
          </w:p>
        </w:tc>
        <w:tc>
          <w:tcPr>
            <w:tcW w:w="892" w:type="dxa"/>
            <w:vAlign w:val="bottom"/>
            <w:hideMark/>
          </w:tcPr>
          <w:p w14:paraId="5E8BCA79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(0.106)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E36238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(0.165)</w:t>
            </w:r>
          </w:p>
        </w:tc>
      </w:tr>
      <w:tr w:rsidR="005D0923" w:rsidRPr="002E3A6F" w14:paraId="1059438F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073598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9FEC8D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429904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F5065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0.178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013A48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25AD9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81D7CB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0.271</w:t>
            </w:r>
          </w:p>
        </w:tc>
        <w:tc>
          <w:tcPr>
            <w:tcW w:w="892" w:type="dxa"/>
            <w:vAlign w:val="bottom"/>
            <w:hideMark/>
          </w:tcPr>
          <w:p w14:paraId="14406156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E2EAE0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0.67</w:t>
            </w:r>
          </w:p>
        </w:tc>
      </w:tr>
      <w:tr w:rsidR="005D0923" w:rsidRPr="002E3A6F" w14:paraId="49261641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81708F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stand errors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C7ECD9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(0.403)</w:t>
            </w:r>
          </w:p>
        </w:tc>
        <w:tc>
          <w:tcPr>
            <w:tcW w:w="9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3D624E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(0.040)</w:t>
            </w:r>
          </w:p>
        </w:tc>
        <w:tc>
          <w:tcPr>
            <w:tcW w:w="99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53D86F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(1.578)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A32505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(1.370)</w:t>
            </w:r>
          </w:p>
        </w:tc>
        <w:tc>
          <w:tcPr>
            <w:tcW w:w="8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CFECB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(0.243)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B7D470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(0.485)</w:t>
            </w:r>
          </w:p>
        </w:tc>
        <w:tc>
          <w:tcPr>
            <w:tcW w:w="892" w:type="dxa"/>
            <w:vAlign w:val="bottom"/>
            <w:hideMark/>
          </w:tcPr>
          <w:p w14:paraId="535D7E84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(0.393)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CB5FC6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(0.386)</w:t>
            </w:r>
          </w:p>
        </w:tc>
      </w:tr>
      <w:tr w:rsidR="005D0923" w:rsidRPr="002E3A6F" w14:paraId="0FA277BF" w14:textId="77777777" w:rsidTr="005D0923">
        <w:trPr>
          <w:trHeight w:val="227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30A7F5" w14:textId="77777777" w:rsidR="005D0923" w:rsidRPr="002E3A6F" w:rsidRDefault="005D0923" w:rsidP="005D0923">
            <w:pPr>
              <w:spacing w:after="0" w:line="240" w:lineRule="auto"/>
              <w:ind w:left="194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color w:val="000000" w:themeColor="text1"/>
                <w:sz w:val="20"/>
                <w:szCs w:val="20"/>
              </w:rPr>
              <w:t>Cl p-values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A854DE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0.536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CCB3F2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2028F3" w14:textId="77777777" w:rsidR="005D0923" w:rsidRPr="002E3A6F" w:rsidRDefault="005D0923" w:rsidP="005D092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CFCA8A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0.096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9A0F4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4946B9" w14:textId="77777777" w:rsidR="005D0923" w:rsidRPr="002E3A6F" w:rsidRDefault="005D0923" w:rsidP="005D092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0.694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2B13EE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0.938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A85A72" w14:textId="77777777" w:rsidR="005D0923" w:rsidRPr="002E3A6F" w:rsidRDefault="005D0923" w:rsidP="005D0923">
            <w:pPr>
              <w:spacing w:after="0" w:line="240" w:lineRule="auto"/>
              <w:ind w:right="196"/>
              <w:jc w:val="center"/>
              <w:rPr>
                <w:color w:val="000000" w:themeColor="text1"/>
                <w:sz w:val="20"/>
                <w:szCs w:val="20"/>
              </w:rPr>
            </w:pPr>
            <w:r w:rsidRPr="002E3A6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0.855</w:t>
            </w:r>
          </w:p>
        </w:tc>
      </w:tr>
    </w:tbl>
    <w:p w14:paraId="21E1B08B" w14:textId="3F8A4F2E" w:rsidR="008E6F5F" w:rsidRPr="002E3A6F" w:rsidRDefault="008E6F5F" w:rsidP="008E6F5F">
      <w:pPr>
        <w:rPr>
          <w:rFonts w:cstheme="minorHAnsi"/>
          <w:color w:val="000000" w:themeColor="text1"/>
          <w:lang w:val="en-US"/>
        </w:rPr>
      </w:pPr>
    </w:p>
    <w:p w14:paraId="72672FAD" w14:textId="615F7FD2" w:rsidR="008E6F5F" w:rsidRPr="005D0923" w:rsidRDefault="008E6F5F" w:rsidP="005D0923">
      <w:pPr>
        <w:spacing w:after="0" w:line="240" w:lineRule="auto"/>
        <w:rPr>
          <w:rFonts w:cstheme="minorHAnsi"/>
          <w:b/>
          <w:bCs/>
        </w:rPr>
      </w:pPr>
      <w:r w:rsidRPr="002E3A6F">
        <w:rPr>
          <w:rFonts w:cstheme="minorHAnsi"/>
          <w:b/>
          <w:color w:val="000000" w:themeColor="text1"/>
        </w:rPr>
        <w:t xml:space="preserve">Table </w:t>
      </w:r>
      <w:r w:rsidR="005D0923">
        <w:rPr>
          <w:rFonts w:cstheme="minorHAnsi"/>
          <w:b/>
          <w:color w:val="000000" w:themeColor="text1"/>
        </w:rPr>
        <w:t>5</w:t>
      </w:r>
      <w:r w:rsidRPr="002E3A6F">
        <w:rPr>
          <w:rFonts w:cstheme="minorHAnsi"/>
          <w:b/>
          <w:color w:val="000000" w:themeColor="text1"/>
        </w:rPr>
        <w:t>. Logit regression coefficients for log odds r</w:t>
      </w:r>
      <w:r>
        <w:rPr>
          <w:rFonts w:cstheme="minorHAnsi"/>
          <w:b/>
        </w:rPr>
        <w:t>atios</w:t>
      </w:r>
    </w:p>
    <w:sectPr w:rsidR="008E6F5F" w:rsidRPr="005D0923" w:rsidSect="00860133">
      <w:footerReference w:type="default" r:id="rId8"/>
      <w:pgSz w:w="11906" w:h="16838"/>
      <w:pgMar w:top="993" w:right="1417" w:bottom="1134" w:left="1417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D585" w14:textId="77777777" w:rsidR="00DD2ACF" w:rsidRDefault="00DD2ACF" w:rsidP="006B58BC">
      <w:pPr>
        <w:spacing w:after="0" w:line="240" w:lineRule="auto"/>
      </w:pPr>
      <w:r>
        <w:separator/>
      </w:r>
    </w:p>
  </w:endnote>
  <w:endnote w:type="continuationSeparator" w:id="0">
    <w:p w14:paraId="7C416DE3" w14:textId="77777777" w:rsidR="00DD2ACF" w:rsidRDefault="00DD2ACF" w:rsidP="006B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1279176"/>
      <w:docPartObj>
        <w:docPartGallery w:val="Page Numbers (Bottom of Page)"/>
        <w:docPartUnique/>
      </w:docPartObj>
    </w:sdtPr>
    <w:sdtContent>
      <w:p w14:paraId="4B2AE83F" w14:textId="005932DA" w:rsidR="009C1AD9" w:rsidRDefault="009C1A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A6F">
          <w:rPr>
            <w:noProof/>
          </w:rPr>
          <w:t>3</w:t>
        </w:r>
        <w:r>
          <w:fldChar w:fldCharType="end"/>
        </w:r>
      </w:p>
    </w:sdtContent>
  </w:sdt>
  <w:p w14:paraId="481CA036" w14:textId="77777777" w:rsidR="009C1AD9" w:rsidRDefault="009C1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8692" w14:textId="77777777" w:rsidR="00DD2ACF" w:rsidRDefault="00DD2ACF" w:rsidP="006B58BC">
      <w:pPr>
        <w:spacing w:after="0" w:line="240" w:lineRule="auto"/>
      </w:pPr>
      <w:r>
        <w:separator/>
      </w:r>
    </w:p>
  </w:footnote>
  <w:footnote w:type="continuationSeparator" w:id="0">
    <w:p w14:paraId="0C231F87" w14:textId="77777777" w:rsidR="00DD2ACF" w:rsidRDefault="00DD2ACF" w:rsidP="006B5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4C16"/>
    <w:multiLevelType w:val="hybridMultilevel"/>
    <w:tmpl w:val="A4C23342"/>
    <w:lvl w:ilvl="0" w:tplc="39FCD5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136747"/>
    <w:multiLevelType w:val="hybridMultilevel"/>
    <w:tmpl w:val="DB0CFCD6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323E5"/>
    <w:multiLevelType w:val="hybridMultilevel"/>
    <w:tmpl w:val="E9DE9DC4"/>
    <w:lvl w:ilvl="0" w:tplc="176289B8">
      <w:start w:val="1"/>
      <w:numFmt w:val="decimal"/>
      <w:lvlText w:val="%1)"/>
      <w:lvlJc w:val="left"/>
      <w:pPr>
        <w:ind w:left="1069" w:hanging="36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21E1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0306BC"/>
    <w:multiLevelType w:val="hybridMultilevel"/>
    <w:tmpl w:val="AE9E5EA2"/>
    <w:lvl w:ilvl="0" w:tplc="B8A634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64E97"/>
    <w:multiLevelType w:val="hybridMultilevel"/>
    <w:tmpl w:val="F8D842EA"/>
    <w:lvl w:ilvl="0" w:tplc="ECEE216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333C74"/>
    <w:multiLevelType w:val="hybridMultilevel"/>
    <w:tmpl w:val="3EF6AD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A0815"/>
    <w:multiLevelType w:val="hybridMultilevel"/>
    <w:tmpl w:val="3EF6AD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2016"/>
    <w:multiLevelType w:val="hybridMultilevel"/>
    <w:tmpl w:val="5EC4F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28339">
    <w:abstractNumId w:val="6"/>
  </w:num>
  <w:num w:numId="2" w16cid:durableId="952056420">
    <w:abstractNumId w:val="3"/>
  </w:num>
  <w:num w:numId="3" w16cid:durableId="204828484">
    <w:abstractNumId w:val="8"/>
  </w:num>
  <w:num w:numId="4" w16cid:durableId="1182738796">
    <w:abstractNumId w:val="7"/>
  </w:num>
  <w:num w:numId="5" w16cid:durableId="357202379">
    <w:abstractNumId w:val="5"/>
  </w:num>
  <w:num w:numId="6" w16cid:durableId="309986120">
    <w:abstractNumId w:val="0"/>
  </w:num>
  <w:num w:numId="7" w16cid:durableId="1500388214">
    <w:abstractNumId w:val="2"/>
  </w:num>
  <w:num w:numId="8" w16cid:durableId="1531215706">
    <w:abstractNumId w:val="1"/>
  </w:num>
  <w:num w:numId="9" w16cid:durableId="1315991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wMTUwsjA3MTE2s7RQ0lEKTi0uzszPAykwqgUAWDPNRiwAAAA="/>
  </w:docVars>
  <w:rsids>
    <w:rsidRoot w:val="00256B3B"/>
    <w:rsid w:val="0000107C"/>
    <w:rsid w:val="000042C9"/>
    <w:rsid w:val="000046E1"/>
    <w:rsid w:val="000117CD"/>
    <w:rsid w:val="00014DE8"/>
    <w:rsid w:val="000153AF"/>
    <w:rsid w:val="00015640"/>
    <w:rsid w:val="00016012"/>
    <w:rsid w:val="00021271"/>
    <w:rsid w:val="00021B01"/>
    <w:rsid w:val="000267CD"/>
    <w:rsid w:val="000302AF"/>
    <w:rsid w:val="00031083"/>
    <w:rsid w:val="00031DC7"/>
    <w:rsid w:val="00034DFB"/>
    <w:rsid w:val="000375BD"/>
    <w:rsid w:val="0004178C"/>
    <w:rsid w:val="00042335"/>
    <w:rsid w:val="000436EA"/>
    <w:rsid w:val="000508BB"/>
    <w:rsid w:val="00052C38"/>
    <w:rsid w:val="00054206"/>
    <w:rsid w:val="00056D55"/>
    <w:rsid w:val="000627C2"/>
    <w:rsid w:val="00062AE0"/>
    <w:rsid w:val="000713DD"/>
    <w:rsid w:val="00072091"/>
    <w:rsid w:val="000758C5"/>
    <w:rsid w:val="00075DE1"/>
    <w:rsid w:val="000761D4"/>
    <w:rsid w:val="00077999"/>
    <w:rsid w:val="00080639"/>
    <w:rsid w:val="00082A5F"/>
    <w:rsid w:val="000830B5"/>
    <w:rsid w:val="00091639"/>
    <w:rsid w:val="000949F7"/>
    <w:rsid w:val="00096124"/>
    <w:rsid w:val="00096BB9"/>
    <w:rsid w:val="000A0BF7"/>
    <w:rsid w:val="000A17C2"/>
    <w:rsid w:val="000A4AE0"/>
    <w:rsid w:val="000A4F32"/>
    <w:rsid w:val="000A58A3"/>
    <w:rsid w:val="000A6996"/>
    <w:rsid w:val="000B0E1D"/>
    <w:rsid w:val="000B1C51"/>
    <w:rsid w:val="000B5C9B"/>
    <w:rsid w:val="000B68A5"/>
    <w:rsid w:val="000C3138"/>
    <w:rsid w:val="000C369D"/>
    <w:rsid w:val="000C6E98"/>
    <w:rsid w:val="000D0033"/>
    <w:rsid w:val="000D04B0"/>
    <w:rsid w:val="000D0813"/>
    <w:rsid w:val="000D198E"/>
    <w:rsid w:val="000D2538"/>
    <w:rsid w:val="000E055E"/>
    <w:rsid w:val="000E0F68"/>
    <w:rsid w:val="000E17FA"/>
    <w:rsid w:val="000E20D5"/>
    <w:rsid w:val="000E6588"/>
    <w:rsid w:val="000E7F0D"/>
    <w:rsid w:val="000F0A86"/>
    <w:rsid w:val="000F10DB"/>
    <w:rsid w:val="000F1369"/>
    <w:rsid w:val="000F1B2E"/>
    <w:rsid w:val="000F4C4B"/>
    <w:rsid w:val="000F553C"/>
    <w:rsid w:val="001001E6"/>
    <w:rsid w:val="00104C12"/>
    <w:rsid w:val="00105314"/>
    <w:rsid w:val="00107F62"/>
    <w:rsid w:val="001106C0"/>
    <w:rsid w:val="00111A2A"/>
    <w:rsid w:val="00111E34"/>
    <w:rsid w:val="0011418B"/>
    <w:rsid w:val="00116DED"/>
    <w:rsid w:val="00116EEA"/>
    <w:rsid w:val="00117562"/>
    <w:rsid w:val="00117DC9"/>
    <w:rsid w:val="001210F9"/>
    <w:rsid w:val="0012449D"/>
    <w:rsid w:val="00130D81"/>
    <w:rsid w:val="00135435"/>
    <w:rsid w:val="001354BF"/>
    <w:rsid w:val="00141D16"/>
    <w:rsid w:val="001424DB"/>
    <w:rsid w:val="00143F67"/>
    <w:rsid w:val="00144CF6"/>
    <w:rsid w:val="0014551A"/>
    <w:rsid w:val="00147D06"/>
    <w:rsid w:val="00151128"/>
    <w:rsid w:val="00154ED4"/>
    <w:rsid w:val="0015555D"/>
    <w:rsid w:val="00155A99"/>
    <w:rsid w:val="001575C0"/>
    <w:rsid w:val="00161930"/>
    <w:rsid w:val="00167066"/>
    <w:rsid w:val="00167826"/>
    <w:rsid w:val="00173F40"/>
    <w:rsid w:val="0017683D"/>
    <w:rsid w:val="00176A55"/>
    <w:rsid w:val="00176D0E"/>
    <w:rsid w:val="00180EEA"/>
    <w:rsid w:val="001853E9"/>
    <w:rsid w:val="001860B4"/>
    <w:rsid w:val="001861FF"/>
    <w:rsid w:val="0019557A"/>
    <w:rsid w:val="0019584E"/>
    <w:rsid w:val="0019791D"/>
    <w:rsid w:val="001A0430"/>
    <w:rsid w:val="001A19DA"/>
    <w:rsid w:val="001A269A"/>
    <w:rsid w:val="001A30FA"/>
    <w:rsid w:val="001A5E76"/>
    <w:rsid w:val="001A62E8"/>
    <w:rsid w:val="001B1C44"/>
    <w:rsid w:val="001B54DC"/>
    <w:rsid w:val="001B66DB"/>
    <w:rsid w:val="001B6E0C"/>
    <w:rsid w:val="001C0CE2"/>
    <w:rsid w:val="001C108E"/>
    <w:rsid w:val="001C39C2"/>
    <w:rsid w:val="001D2645"/>
    <w:rsid w:val="001D3CF0"/>
    <w:rsid w:val="001D4751"/>
    <w:rsid w:val="001E105C"/>
    <w:rsid w:val="00202074"/>
    <w:rsid w:val="00205CCA"/>
    <w:rsid w:val="00206D8C"/>
    <w:rsid w:val="00206FA4"/>
    <w:rsid w:val="00207463"/>
    <w:rsid w:val="0020763B"/>
    <w:rsid w:val="0021496E"/>
    <w:rsid w:val="002173D8"/>
    <w:rsid w:val="00222849"/>
    <w:rsid w:val="00224371"/>
    <w:rsid w:val="00224439"/>
    <w:rsid w:val="002326DC"/>
    <w:rsid w:val="002343B8"/>
    <w:rsid w:val="00240FE2"/>
    <w:rsid w:val="0024552E"/>
    <w:rsid w:val="00245CCF"/>
    <w:rsid w:val="002508D1"/>
    <w:rsid w:val="00256B3B"/>
    <w:rsid w:val="00264254"/>
    <w:rsid w:val="00267355"/>
    <w:rsid w:val="00272502"/>
    <w:rsid w:val="0027574F"/>
    <w:rsid w:val="002770EB"/>
    <w:rsid w:val="00283E27"/>
    <w:rsid w:val="0028407F"/>
    <w:rsid w:val="00287160"/>
    <w:rsid w:val="00290362"/>
    <w:rsid w:val="00293D4B"/>
    <w:rsid w:val="00296625"/>
    <w:rsid w:val="002A26DA"/>
    <w:rsid w:val="002A45B0"/>
    <w:rsid w:val="002A5DAB"/>
    <w:rsid w:val="002A65A5"/>
    <w:rsid w:val="002C140E"/>
    <w:rsid w:val="002C1C51"/>
    <w:rsid w:val="002C22CD"/>
    <w:rsid w:val="002C2567"/>
    <w:rsid w:val="002C2728"/>
    <w:rsid w:val="002C43F4"/>
    <w:rsid w:val="002C4735"/>
    <w:rsid w:val="002C62A3"/>
    <w:rsid w:val="002C7E69"/>
    <w:rsid w:val="002D3DD2"/>
    <w:rsid w:val="002D5645"/>
    <w:rsid w:val="002E1754"/>
    <w:rsid w:val="002E3A6F"/>
    <w:rsid w:val="002E3DF8"/>
    <w:rsid w:val="002E697E"/>
    <w:rsid w:val="002F0251"/>
    <w:rsid w:val="002F206C"/>
    <w:rsid w:val="002F2E9C"/>
    <w:rsid w:val="002F40BC"/>
    <w:rsid w:val="002F5385"/>
    <w:rsid w:val="00303869"/>
    <w:rsid w:val="00306E23"/>
    <w:rsid w:val="00316A2E"/>
    <w:rsid w:val="00316BC0"/>
    <w:rsid w:val="00327836"/>
    <w:rsid w:val="003340E9"/>
    <w:rsid w:val="00334A2D"/>
    <w:rsid w:val="00334D73"/>
    <w:rsid w:val="00335E9B"/>
    <w:rsid w:val="00336239"/>
    <w:rsid w:val="003407BC"/>
    <w:rsid w:val="00342E11"/>
    <w:rsid w:val="00343377"/>
    <w:rsid w:val="00343AFE"/>
    <w:rsid w:val="00344ACD"/>
    <w:rsid w:val="00346F60"/>
    <w:rsid w:val="0035032C"/>
    <w:rsid w:val="003504D7"/>
    <w:rsid w:val="00352599"/>
    <w:rsid w:val="00353DE5"/>
    <w:rsid w:val="00356337"/>
    <w:rsid w:val="00357D13"/>
    <w:rsid w:val="00357EA8"/>
    <w:rsid w:val="00363854"/>
    <w:rsid w:val="003654BA"/>
    <w:rsid w:val="003703D1"/>
    <w:rsid w:val="00370F72"/>
    <w:rsid w:val="0037170B"/>
    <w:rsid w:val="00375DF1"/>
    <w:rsid w:val="00380293"/>
    <w:rsid w:val="00380A31"/>
    <w:rsid w:val="003823AA"/>
    <w:rsid w:val="003863B7"/>
    <w:rsid w:val="00392299"/>
    <w:rsid w:val="00392E06"/>
    <w:rsid w:val="0039629C"/>
    <w:rsid w:val="003A0B8D"/>
    <w:rsid w:val="003A3B1B"/>
    <w:rsid w:val="003A4730"/>
    <w:rsid w:val="003B1F4A"/>
    <w:rsid w:val="003B4F9E"/>
    <w:rsid w:val="003B5F0F"/>
    <w:rsid w:val="003B6BF6"/>
    <w:rsid w:val="003C24AF"/>
    <w:rsid w:val="003C329F"/>
    <w:rsid w:val="003C3796"/>
    <w:rsid w:val="003C78A5"/>
    <w:rsid w:val="003C7ACA"/>
    <w:rsid w:val="003D05BF"/>
    <w:rsid w:val="003D316C"/>
    <w:rsid w:val="003D3C6B"/>
    <w:rsid w:val="003D5BD5"/>
    <w:rsid w:val="003D6325"/>
    <w:rsid w:val="003D688C"/>
    <w:rsid w:val="003E6E5A"/>
    <w:rsid w:val="003E7B09"/>
    <w:rsid w:val="003F4CBF"/>
    <w:rsid w:val="003F659C"/>
    <w:rsid w:val="00401310"/>
    <w:rsid w:val="004021BF"/>
    <w:rsid w:val="004039B7"/>
    <w:rsid w:val="00404730"/>
    <w:rsid w:val="00404A34"/>
    <w:rsid w:val="00404B18"/>
    <w:rsid w:val="00406951"/>
    <w:rsid w:val="004076FF"/>
    <w:rsid w:val="0040790A"/>
    <w:rsid w:val="00407E17"/>
    <w:rsid w:val="004106B1"/>
    <w:rsid w:val="00410F10"/>
    <w:rsid w:val="0041351A"/>
    <w:rsid w:val="00415553"/>
    <w:rsid w:val="004255BB"/>
    <w:rsid w:val="00426491"/>
    <w:rsid w:val="0043058C"/>
    <w:rsid w:val="0043305D"/>
    <w:rsid w:val="00434BD7"/>
    <w:rsid w:val="00440D10"/>
    <w:rsid w:val="0044239A"/>
    <w:rsid w:val="00442562"/>
    <w:rsid w:val="0044279F"/>
    <w:rsid w:val="00444B37"/>
    <w:rsid w:val="00445D59"/>
    <w:rsid w:val="00445D72"/>
    <w:rsid w:val="00446A9B"/>
    <w:rsid w:val="004520FC"/>
    <w:rsid w:val="00457EA5"/>
    <w:rsid w:val="004601CF"/>
    <w:rsid w:val="00463044"/>
    <w:rsid w:val="004666FB"/>
    <w:rsid w:val="004705DA"/>
    <w:rsid w:val="00470BE8"/>
    <w:rsid w:val="00472497"/>
    <w:rsid w:val="004726A3"/>
    <w:rsid w:val="00476CCA"/>
    <w:rsid w:val="0048141D"/>
    <w:rsid w:val="00481C20"/>
    <w:rsid w:val="00482B57"/>
    <w:rsid w:val="004843E7"/>
    <w:rsid w:val="00484628"/>
    <w:rsid w:val="00484F71"/>
    <w:rsid w:val="0049050B"/>
    <w:rsid w:val="00492F07"/>
    <w:rsid w:val="004930D5"/>
    <w:rsid w:val="00494A0A"/>
    <w:rsid w:val="00494C59"/>
    <w:rsid w:val="00495379"/>
    <w:rsid w:val="0049713B"/>
    <w:rsid w:val="004A3F5D"/>
    <w:rsid w:val="004A4536"/>
    <w:rsid w:val="004A6721"/>
    <w:rsid w:val="004A7341"/>
    <w:rsid w:val="004B32D5"/>
    <w:rsid w:val="004B36F3"/>
    <w:rsid w:val="004B6733"/>
    <w:rsid w:val="004C2715"/>
    <w:rsid w:val="004C279C"/>
    <w:rsid w:val="004C5718"/>
    <w:rsid w:val="004C6373"/>
    <w:rsid w:val="004C6396"/>
    <w:rsid w:val="004D0B0D"/>
    <w:rsid w:val="004D0E1E"/>
    <w:rsid w:val="004D2D9E"/>
    <w:rsid w:val="004D62BF"/>
    <w:rsid w:val="004E2FD8"/>
    <w:rsid w:val="004E381F"/>
    <w:rsid w:val="004F067C"/>
    <w:rsid w:val="004F0BA5"/>
    <w:rsid w:val="004F567F"/>
    <w:rsid w:val="004F6AD7"/>
    <w:rsid w:val="005009CC"/>
    <w:rsid w:val="00501F9B"/>
    <w:rsid w:val="00502046"/>
    <w:rsid w:val="0050259F"/>
    <w:rsid w:val="00502830"/>
    <w:rsid w:val="0050412C"/>
    <w:rsid w:val="00506EDC"/>
    <w:rsid w:val="00507380"/>
    <w:rsid w:val="00507550"/>
    <w:rsid w:val="0051057E"/>
    <w:rsid w:val="0051072C"/>
    <w:rsid w:val="005112DE"/>
    <w:rsid w:val="0051329A"/>
    <w:rsid w:val="005177B6"/>
    <w:rsid w:val="00521D2E"/>
    <w:rsid w:val="0052313F"/>
    <w:rsid w:val="005327F8"/>
    <w:rsid w:val="00532E53"/>
    <w:rsid w:val="00533A22"/>
    <w:rsid w:val="00533D70"/>
    <w:rsid w:val="00541B45"/>
    <w:rsid w:val="00542190"/>
    <w:rsid w:val="00542684"/>
    <w:rsid w:val="005432EF"/>
    <w:rsid w:val="005438BE"/>
    <w:rsid w:val="005438E7"/>
    <w:rsid w:val="00550A50"/>
    <w:rsid w:val="00550AD5"/>
    <w:rsid w:val="00550D42"/>
    <w:rsid w:val="005538D4"/>
    <w:rsid w:val="00553AB6"/>
    <w:rsid w:val="00553DA1"/>
    <w:rsid w:val="005540F6"/>
    <w:rsid w:val="00554B02"/>
    <w:rsid w:val="005558EC"/>
    <w:rsid w:val="005572DA"/>
    <w:rsid w:val="00557D08"/>
    <w:rsid w:val="00562BBC"/>
    <w:rsid w:val="005648F1"/>
    <w:rsid w:val="00571F5E"/>
    <w:rsid w:val="00576A01"/>
    <w:rsid w:val="005806C7"/>
    <w:rsid w:val="005843B8"/>
    <w:rsid w:val="00585274"/>
    <w:rsid w:val="00585A72"/>
    <w:rsid w:val="00587BB1"/>
    <w:rsid w:val="00587C45"/>
    <w:rsid w:val="00590C33"/>
    <w:rsid w:val="00592AEF"/>
    <w:rsid w:val="005933E0"/>
    <w:rsid w:val="00595ED5"/>
    <w:rsid w:val="005A28EE"/>
    <w:rsid w:val="005A3309"/>
    <w:rsid w:val="005A3FBF"/>
    <w:rsid w:val="005B170E"/>
    <w:rsid w:val="005B42D7"/>
    <w:rsid w:val="005C00D2"/>
    <w:rsid w:val="005C1175"/>
    <w:rsid w:val="005C3C17"/>
    <w:rsid w:val="005C4DE1"/>
    <w:rsid w:val="005D0835"/>
    <w:rsid w:val="005D0923"/>
    <w:rsid w:val="005D3960"/>
    <w:rsid w:val="005D57E2"/>
    <w:rsid w:val="005E0B14"/>
    <w:rsid w:val="005E6AE1"/>
    <w:rsid w:val="005F3414"/>
    <w:rsid w:val="005F43C4"/>
    <w:rsid w:val="005F4F49"/>
    <w:rsid w:val="006004B5"/>
    <w:rsid w:val="006046B7"/>
    <w:rsid w:val="00604E24"/>
    <w:rsid w:val="00604FF2"/>
    <w:rsid w:val="00605E4A"/>
    <w:rsid w:val="00613CCE"/>
    <w:rsid w:val="00615063"/>
    <w:rsid w:val="00615179"/>
    <w:rsid w:val="00624DCA"/>
    <w:rsid w:val="006271E3"/>
    <w:rsid w:val="00630349"/>
    <w:rsid w:val="00631364"/>
    <w:rsid w:val="006323BE"/>
    <w:rsid w:val="0063465E"/>
    <w:rsid w:val="00644422"/>
    <w:rsid w:val="00650A68"/>
    <w:rsid w:val="006512FC"/>
    <w:rsid w:val="00653786"/>
    <w:rsid w:val="006543CE"/>
    <w:rsid w:val="006658E4"/>
    <w:rsid w:val="0066590A"/>
    <w:rsid w:val="006705E1"/>
    <w:rsid w:val="00672412"/>
    <w:rsid w:val="00674E23"/>
    <w:rsid w:val="0067685F"/>
    <w:rsid w:val="00680BBA"/>
    <w:rsid w:val="006847F2"/>
    <w:rsid w:val="006849BC"/>
    <w:rsid w:val="006860FB"/>
    <w:rsid w:val="006871F0"/>
    <w:rsid w:val="006920A5"/>
    <w:rsid w:val="006925CC"/>
    <w:rsid w:val="0069362E"/>
    <w:rsid w:val="00694249"/>
    <w:rsid w:val="006963CB"/>
    <w:rsid w:val="006A1D2B"/>
    <w:rsid w:val="006A38C3"/>
    <w:rsid w:val="006A505D"/>
    <w:rsid w:val="006A641F"/>
    <w:rsid w:val="006B0434"/>
    <w:rsid w:val="006B1A02"/>
    <w:rsid w:val="006B43E8"/>
    <w:rsid w:val="006B46F6"/>
    <w:rsid w:val="006B4C63"/>
    <w:rsid w:val="006B58BC"/>
    <w:rsid w:val="006C3C93"/>
    <w:rsid w:val="006C4AA1"/>
    <w:rsid w:val="006C4E30"/>
    <w:rsid w:val="006D3E69"/>
    <w:rsid w:val="006D4B30"/>
    <w:rsid w:val="006D5F7D"/>
    <w:rsid w:val="006D6498"/>
    <w:rsid w:val="006E14BE"/>
    <w:rsid w:val="006E170F"/>
    <w:rsid w:val="006E1BEE"/>
    <w:rsid w:val="006E38CF"/>
    <w:rsid w:val="006E55C9"/>
    <w:rsid w:val="006E605E"/>
    <w:rsid w:val="006E6265"/>
    <w:rsid w:val="006E7E82"/>
    <w:rsid w:val="006F1BB1"/>
    <w:rsid w:val="006F29F1"/>
    <w:rsid w:val="006F48D0"/>
    <w:rsid w:val="006F6D23"/>
    <w:rsid w:val="006F7DEC"/>
    <w:rsid w:val="007010FC"/>
    <w:rsid w:val="0071082C"/>
    <w:rsid w:val="00713D24"/>
    <w:rsid w:val="0071502D"/>
    <w:rsid w:val="007161B2"/>
    <w:rsid w:val="00716C38"/>
    <w:rsid w:val="00717F0F"/>
    <w:rsid w:val="00730AEF"/>
    <w:rsid w:val="00730B28"/>
    <w:rsid w:val="00731692"/>
    <w:rsid w:val="00734E33"/>
    <w:rsid w:val="0074089C"/>
    <w:rsid w:val="00742C34"/>
    <w:rsid w:val="00742DCD"/>
    <w:rsid w:val="00743052"/>
    <w:rsid w:val="00743239"/>
    <w:rsid w:val="007436D6"/>
    <w:rsid w:val="00744303"/>
    <w:rsid w:val="00745077"/>
    <w:rsid w:val="007461FD"/>
    <w:rsid w:val="007472FC"/>
    <w:rsid w:val="00747875"/>
    <w:rsid w:val="00752E80"/>
    <w:rsid w:val="0075357C"/>
    <w:rsid w:val="0075412F"/>
    <w:rsid w:val="007571C1"/>
    <w:rsid w:val="00761C9B"/>
    <w:rsid w:val="0076601E"/>
    <w:rsid w:val="00772C90"/>
    <w:rsid w:val="007818C9"/>
    <w:rsid w:val="0078385B"/>
    <w:rsid w:val="00783BFF"/>
    <w:rsid w:val="0079131B"/>
    <w:rsid w:val="00794B41"/>
    <w:rsid w:val="00797F80"/>
    <w:rsid w:val="007A25A2"/>
    <w:rsid w:val="007A2925"/>
    <w:rsid w:val="007A57FF"/>
    <w:rsid w:val="007A7F7C"/>
    <w:rsid w:val="007B13ED"/>
    <w:rsid w:val="007B4259"/>
    <w:rsid w:val="007B48AF"/>
    <w:rsid w:val="007B7E96"/>
    <w:rsid w:val="007C0489"/>
    <w:rsid w:val="007C0970"/>
    <w:rsid w:val="007C431B"/>
    <w:rsid w:val="007C61B3"/>
    <w:rsid w:val="007C62EE"/>
    <w:rsid w:val="007C7625"/>
    <w:rsid w:val="007D0747"/>
    <w:rsid w:val="007D19AD"/>
    <w:rsid w:val="007D39EC"/>
    <w:rsid w:val="007D5B8D"/>
    <w:rsid w:val="007D5E0D"/>
    <w:rsid w:val="007D66C8"/>
    <w:rsid w:val="007D6EE4"/>
    <w:rsid w:val="007D72FB"/>
    <w:rsid w:val="007D774D"/>
    <w:rsid w:val="007E3EE4"/>
    <w:rsid w:val="007E544C"/>
    <w:rsid w:val="007F207D"/>
    <w:rsid w:val="007F3A23"/>
    <w:rsid w:val="007F4299"/>
    <w:rsid w:val="007F4F76"/>
    <w:rsid w:val="007F71D4"/>
    <w:rsid w:val="00801101"/>
    <w:rsid w:val="00803296"/>
    <w:rsid w:val="00812726"/>
    <w:rsid w:val="00812F58"/>
    <w:rsid w:val="00813007"/>
    <w:rsid w:val="00813A5C"/>
    <w:rsid w:val="008152D9"/>
    <w:rsid w:val="00816931"/>
    <w:rsid w:val="008211A5"/>
    <w:rsid w:val="00822B19"/>
    <w:rsid w:val="008255F5"/>
    <w:rsid w:val="008261FF"/>
    <w:rsid w:val="008262AF"/>
    <w:rsid w:val="00826396"/>
    <w:rsid w:val="008321FA"/>
    <w:rsid w:val="008335C3"/>
    <w:rsid w:val="00837061"/>
    <w:rsid w:val="008422EB"/>
    <w:rsid w:val="00842DB1"/>
    <w:rsid w:val="008436D5"/>
    <w:rsid w:val="00844131"/>
    <w:rsid w:val="00844858"/>
    <w:rsid w:val="00845AC5"/>
    <w:rsid w:val="00846FE2"/>
    <w:rsid w:val="008474FF"/>
    <w:rsid w:val="00850291"/>
    <w:rsid w:val="00850923"/>
    <w:rsid w:val="00851227"/>
    <w:rsid w:val="0085501A"/>
    <w:rsid w:val="008555A1"/>
    <w:rsid w:val="00860133"/>
    <w:rsid w:val="00860E2E"/>
    <w:rsid w:val="00863C35"/>
    <w:rsid w:val="008640D6"/>
    <w:rsid w:val="0086696A"/>
    <w:rsid w:val="00866C5B"/>
    <w:rsid w:val="00867C0E"/>
    <w:rsid w:val="008751CC"/>
    <w:rsid w:val="00883427"/>
    <w:rsid w:val="00886FB5"/>
    <w:rsid w:val="00887C5B"/>
    <w:rsid w:val="00892997"/>
    <w:rsid w:val="00895090"/>
    <w:rsid w:val="00895DB9"/>
    <w:rsid w:val="00896DBA"/>
    <w:rsid w:val="008A0B95"/>
    <w:rsid w:val="008A1E84"/>
    <w:rsid w:val="008A65BC"/>
    <w:rsid w:val="008A751B"/>
    <w:rsid w:val="008B4F96"/>
    <w:rsid w:val="008C1EEF"/>
    <w:rsid w:val="008C26B6"/>
    <w:rsid w:val="008C2D45"/>
    <w:rsid w:val="008D0B3E"/>
    <w:rsid w:val="008D16EA"/>
    <w:rsid w:val="008D2186"/>
    <w:rsid w:val="008D28C7"/>
    <w:rsid w:val="008D33BF"/>
    <w:rsid w:val="008D4FE4"/>
    <w:rsid w:val="008E168A"/>
    <w:rsid w:val="008E50DF"/>
    <w:rsid w:val="008E6843"/>
    <w:rsid w:val="008E6F5F"/>
    <w:rsid w:val="008F0B86"/>
    <w:rsid w:val="008F2C77"/>
    <w:rsid w:val="009021B0"/>
    <w:rsid w:val="00903DB6"/>
    <w:rsid w:val="00905C07"/>
    <w:rsid w:val="00906136"/>
    <w:rsid w:val="00907915"/>
    <w:rsid w:val="00912395"/>
    <w:rsid w:val="00917876"/>
    <w:rsid w:val="00917E6D"/>
    <w:rsid w:val="00920697"/>
    <w:rsid w:val="0092197F"/>
    <w:rsid w:val="00922046"/>
    <w:rsid w:val="0093083E"/>
    <w:rsid w:val="00940B78"/>
    <w:rsid w:val="00944F1C"/>
    <w:rsid w:val="00944FBE"/>
    <w:rsid w:val="00950485"/>
    <w:rsid w:val="009519FA"/>
    <w:rsid w:val="00954332"/>
    <w:rsid w:val="009577B8"/>
    <w:rsid w:val="00962536"/>
    <w:rsid w:val="00962C5D"/>
    <w:rsid w:val="009635D9"/>
    <w:rsid w:val="00964790"/>
    <w:rsid w:val="009659FB"/>
    <w:rsid w:val="0097224C"/>
    <w:rsid w:val="00973473"/>
    <w:rsid w:val="00974ED0"/>
    <w:rsid w:val="00975127"/>
    <w:rsid w:val="009803A2"/>
    <w:rsid w:val="00983FB7"/>
    <w:rsid w:val="00985C03"/>
    <w:rsid w:val="0098686B"/>
    <w:rsid w:val="00986DE9"/>
    <w:rsid w:val="009903A0"/>
    <w:rsid w:val="00991542"/>
    <w:rsid w:val="009967BF"/>
    <w:rsid w:val="0099753A"/>
    <w:rsid w:val="00997B59"/>
    <w:rsid w:val="00997EC5"/>
    <w:rsid w:val="009A08D2"/>
    <w:rsid w:val="009A4170"/>
    <w:rsid w:val="009A6245"/>
    <w:rsid w:val="009B02C3"/>
    <w:rsid w:val="009B079A"/>
    <w:rsid w:val="009B2275"/>
    <w:rsid w:val="009B6401"/>
    <w:rsid w:val="009B656C"/>
    <w:rsid w:val="009C1AD9"/>
    <w:rsid w:val="009C27BA"/>
    <w:rsid w:val="009C293A"/>
    <w:rsid w:val="009C2A7C"/>
    <w:rsid w:val="009C2E25"/>
    <w:rsid w:val="009D17AB"/>
    <w:rsid w:val="009D299D"/>
    <w:rsid w:val="009D36B5"/>
    <w:rsid w:val="009D37FF"/>
    <w:rsid w:val="009D723F"/>
    <w:rsid w:val="009D7E25"/>
    <w:rsid w:val="009E710C"/>
    <w:rsid w:val="009F0941"/>
    <w:rsid w:val="009F0FD5"/>
    <w:rsid w:val="009F1C53"/>
    <w:rsid w:val="009F48FA"/>
    <w:rsid w:val="00A003D3"/>
    <w:rsid w:val="00A02B25"/>
    <w:rsid w:val="00A05A4E"/>
    <w:rsid w:val="00A06D42"/>
    <w:rsid w:val="00A07240"/>
    <w:rsid w:val="00A07943"/>
    <w:rsid w:val="00A11073"/>
    <w:rsid w:val="00A11673"/>
    <w:rsid w:val="00A13034"/>
    <w:rsid w:val="00A20D46"/>
    <w:rsid w:val="00A224BF"/>
    <w:rsid w:val="00A22597"/>
    <w:rsid w:val="00A231A2"/>
    <w:rsid w:val="00A27A34"/>
    <w:rsid w:val="00A27C70"/>
    <w:rsid w:val="00A30161"/>
    <w:rsid w:val="00A31072"/>
    <w:rsid w:val="00A31205"/>
    <w:rsid w:val="00A3138C"/>
    <w:rsid w:val="00A32449"/>
    <w:rsid w:val="00A33285"/>
    <w:rsid w:val="00A346CF"/>
    <w:rsid w:val="00A34843"/>
    <w:rsid w:val="00A3487D"/>
    <w:rsid w:val="00A419DB"/>
    <w:rsid w:val="00A42CDB"/>
    <w:rsid w:val="00A45196"/>
    <w:rsid w:val="00A4664F"/>
    <w:rsid w:val="00A46E53"/>
    <w:rsid w:val="00A506D1"/>
    <w:rsid w:val="00A5213E"/>
    <w:rsid w:val="00A52505"/>
    <w:rsid w:val="00A603F3"/>
    <w:rsid w:val="00A61DDB"/>
    <w:rsid w:val="00A62988"/>
    <w:rsid w:val="00A62B8D"/>
    <w:rsid w:val="00A6502E"/>
    <w:rsid w:val="00A7146B"/>
    <w:rsid w:val="00A77F13"/>
    <w:rsid w:val="00A813CA"/>
    <w:rsid w:val="00A814A9"/>
    <w:rsid w:val="00A8220B"/>
    <w:rsid w:val="00A82517"/>
    <w:rsid w:val="00A86346"/>
    <w:rsid w:val="00A90334"/>
    <w:rsid w:val="00A91D77"/>
    <w:rsid w:val="00A93173"/>
    <w:rsid w:val="00AA0141"/>
    <w:rsid w:val="00AA1073"/>
    <w:rsid w:val="00AA2487"/>
    <w:rsid w:val="00AA4D3C"/>
    <w:rsid w:val="00AA54F5"/>
    <w:rsid w:val="00AA72BC"/>
    <w:rsid w:val="00AA7D43"/>
    <w:rsid w:val="00AA7F17"/>
    <w:rsid w:val="00AB3AAC"/>
    <w:rsid w:val="00AB5F22"/>
    <w:rsid w:val="00AB6BE6"/>
    <w:rsid w:val="00AB7129"/>
    <w:rsid w:val="00AC390B"/>
    <w:rsid w:val="00AC3A61"/>
    <w:rsid w:val="00AC6956"/>
    <w:rsid w:val="00AD148E"/>
    <w:rsid w:val="00AD33FA"/>
    <w:rsid w:val="00AD3AF1"/>
    <w:rsid w:val="00AD4A87"/>
    <w:rsid w:val="00AD4DA1"/>
    <w:rsid w:val="00AE3D0F"/>
    <w:rsid w:val="00AE56D9"/>
    <w:rsid w:val="00AE5802"/>
    <w:rsid w:val="00AE58CD"/>
    <w:rsid w:val="00AF0A3B"/>
    <w:rsid w:val="00AF3F68"/>
    <w:rsid w:val="00AF4A98"/>
    <w:rsid w:val="00AF6606"/>
    <w:rsid w:val="00AF6F7E"/>
    <w:rsid w:val="00AF704F"/>
    <w:rsid w:val="00B00D5C"/>
    <w:rsid w:val="00B0365B"/>
    <w:rsid w:val="00B04631"/>
    <w:rsid w:val="00B10994"/>
    <w:rsid w:val="00B10F59"/>
    <w:rsid w:val="00B12972"/>
    <w:rsid w:val="00B20954"/>
    <w:rsid w:val="00B2195E"/>
    <w:rsid w:val="00B239EB"/>
    <w:rsid w:val="00B270BD"/>
    <w:rsid w:val="00B27AB0"/>
    <w:rsid w:val="00B30C32"/>
    <w:rsid w:val="00B311F7"/>
    <w:rsid w:val="00B3275C"/>
    <w:rsid w:val="00B41862"/>
    <w:rsid w:val="00B441B9"/>
    <w:rsid w:val="00B4686A"/>
    <w:rsid w:val="00B503BF"/>
    <w:rsid w:val="00B5142E"/>
    <w:rsid w:val="00B57D77"/>
    <w:rsid w:val="00B65F75"/>
    <w:rsid w:val="00B672AF"/>
    <w:rsid w:val="00B67B88"/>
    <w:rsid w:val="00B85C9D"/>
    <w:rsid w:val="00B85E95"/>
    <w:rsid w:val="00B86226"/>
    <w:rsid w:val="00B86D53"/>
    <w:rsid w:val="00BA147B"/>
    <w:rsid w:val="00BA1660"/>
    <w:rsid w:val="00BA21C7"/>
    <w:rsid w:val="00BA2519"/>
    <w:rsid w:val="00BA58E6"/>
    <w:rsid w:val="00BB01CD"/>
    <w:rsid w:val="00BB07C0"/>
    <w:rsid w:val="00BB2A08"/>
    <w:rsid w:val="00BB4189"/>
    <w:rsid w:val="00BB42C6"/>
    <w:rsid w:val="00BB504A"/>
    <w:rsid w:val="00BB6AFF"/>
    <w:rsid w:val="00BB6D77"/>
    <w:rsid w:val="00BB7D51"/>
    <w:rsid w:val="00BC12A0"/>
    <w:rsid w:val="00BC3F75"/>
    <w:rsid w:val="00BC46F3"/>
    <w:rsid w:val="00BC567E"/>
    <w:rsid w:val="00BC705F"/>
    <w:rsid w:val="00BD057D"/>
    <w:rsid w:val="00BD2C24"/>
    <w:rsid w:val="00BD436D"/>
    <w:rsid w:val="00BD48E9"/>
    <w:rsid w:val="00BE3A5D"/>
    <w:rsid w:val="00BE5B5E"/>
    <w:rsid w:val="00BE667C"/>
    <w:rsid w:val="00BF3D24"/>
    <w:rsid w:val="00BF7F0D"/>
    <w:rsid w:val="00C02137"/>
    <w:rsid w:val="00C022A3"/>
    <w:rsid w:val="00C0241F"/>
    <w:rsid w:val="00C061C5"/>
    <w:rsid w:val="00C06CFC"/>
    <w:rsid w:val="00C07103"/>
    <w:rsid w:val="00C0774B"/>
    <w:rsid w:val="00C122ED"/>
    <w:rsid w:val="00C1277C"/>
    <w:rsid w:val="00C14548"/>
    <w:rsid w:val="00C200F0"/>
    <w:rsid w:val="00C21E4B"/>
    <w:rsid w:val="00C22C3B"/>
    <w:rsid w:val="00C237A5"/>
    <w:rsid w:val="00C23E66"/>
    <w:rsid w:val="00C26373"/>
    <w:rsid w:val="00C2723E"/>
    <w:rsid w:val="00C310C3"/>
    <w:rsid w:val="00C318D3"/>
    <w:rsid w:val="00C33442"/>
    <w:rsid w:val="00C34358"/>
    <w:rsid w:val="00C34E5E"/>
    <w:rsid w:val="00C433E9"/>
    <w:rsid w:val="00C519AC"/>
    <w:rsid w:val="00C5260F"/>
    <w:rsid w:val="00C52D64"/>
    <w:rsid w:val="00C5621E"/>
    <w:rsid w:val="00C56BC4"/>
    <w:rsid w:val="00C57BBD"/>
    <w:rsid w:val="00C6059D"/>
    <w:rsid w:val="00C620F1"/>
    <w:rsid w:val="00C641A2"/>
    <w:rsid w:val="00C64A7D"/>
    <w:rsid w:val="00C6594E"/>
    <w:rsid w:val="00C6634C"/>
    <w:rsid w:val="00C66D0E"/>
    <w:rsid w:val="00C7208B"/>
    <w:rsid w:val="00C90D57"/>
    <w:rsid w:val="00C9645E"/>
    <w:rsid w:val="00C97772"/>
    <w:rsid w:val="00C97ED0"/>
    <w:rsid w:val="00CA0667"/>
    <w:rsid w:val="00CA139D"/>
    <w:rsid w:val="00CA3723"/>
    <w:rsid w:val="00CA7AD2"/>
    <w:rsid w:val="00CA7E26"/>
    <w:rsid w:val="00CB0B55"/>
    <w:rsid w:val="00CB1623"/>
    <w:rsid w:val="00CB42F2"/>
    <w:rsid w:val="00CB4EE4"/>
    <w:rsid w:val="00CB5116"/>
    <w:rsid w:val="00CC20AC"/>
    <w:rsid w:val="00CC4B8B"/>
    <w:rsid w:val="00CC4F93"/>
    <w:rsid w:val="00CC5EE4"/>
    <w:rsid w:val="00CC6BAE"/>
    <w:rsid w:val="00CD0EFA"/>
    <w:rsid w:val="00CD10AC"/>
    <w:rsid w:val="00CD38C2"/>
    <w:rsid w:val="00CE4382"/>
    <w:rsid w:val="00CE777D"/>
    <w:rsid w:val="00CE799B"/>
    <w:rsid w:val="00CE7D41"/>
    <w:rsid w:val="00CF0618"/>
    <w:rsid w:val="00CF0D78"/>
    <w:rsid w:val="00CF1E82"/>
    <w:rsid w:val="00CF4E6F"/>
    <w:rsid w:val="00CF7FA1"/>
    <w:rsid w:val="00D0519A"/>
    <w:rsid w:val="00D07FFB"/>
    <w:rsid w:val="00D1061B"/>
    <w:rsid w:val="00D108B3"/>
    <w:rsid w:val="00D11052"/>
    <w:rsid w:val="00D13636"/>
    <w:rsid w:val="00D13941"/>
    <w:rsid w:val="00D142FD"/>
    <w:rsid w:val="00D15C8A"/>
    <w:rsid w:val="00D1605E"/>
    <w:rsid w:val="00D17783"/>
    <w:rsid w:val="00D258CE"/>
    <w:rsid w:val="00D306F0"/>
    <w:rsid w:val="00D30EBD"/>
    <w:rsid w:val="00D34B2B"/>
    <w:rsid w:val="00D36338"/>
    <w:rsid w:val="00D40FBF"/>
    <w:rsid w:val="00D4148D"/>
    <w:rsid w:val="00D420AA"/>
    <w:rsid w:val="00D43617"/>
    <w:rsid w:val="00D46457"/>
    <w:rsid w:val="00D46750"/>
    <w:rsid w:val="00D5102B"/>
    <w:rsid w:val="00D53B0B"/>
    <w:rsid w:val="00D655AF"/>
    <w:rsid w:val="00D655EB"/>
    <w:rsid w:val="00D662F0"/>
    <w:rsid w:val="00D7585D"/>
    <w:rsid w:val="00D76565"/>
    <w:rsid w:val="00D8013E"/>
    <w:rsid w:val="00D8089F"/>
    <w:rsid w:val="00D808E2"/>
    <w:rsid w:val="00D8102E"/>
    <w:rsid w:val="00D8683A"/>
    <w:rsid w:val="00D86963"/>
    <w:rsid w:val="00D90456"/>
    <w:rsid w:val="00D90735"/>
    <w:rsid w:val="00DA2610"/>
    <w:rsid w:val="00DA5E4D"/>
    <w:rsid w:val="00DB1C2B"/>
    <w:rsid w:val="00DB1E63"/>
    <w:rsid w:val="00DB3166"/>
    <w:rsid w:val="00DB5A3B"/>
    <w:rsid w:val="00DB638A"/>
    <w:rsid w:val="00DC0817"/>
    <w:rsid w:val="00DC15B0"/>
    <w:rsid w:val="00DC4078"/>
    <w:rsid w:val="00DC53FF"/>
    <w:rsid w:val="00DC6498"/>
    <w:rsid w:val="00DD14E9"/>
    <w:rsid w:val="00DD1AFC"/>
    <w:rsid w:val="00DD22EE"/>
    <w:rsid w:val="00DD2ACF"/>
    <w:rsid w:val="00DD4055"/>
    <w:rsid w:val="00DD437D"/>
    <w:rsid w:val="00DD4F60"/>
    <w:rsid w:val="00DD655B"/>
    <w:rsid w:val="00DE2DC2"/>
    <w:rsid w:val="00DE3E86"/>
    <w:rsid w:val="00DE3F25"/>
    <w:rsid w:val="00DE7949"/>
    <w:rsid w:val="00DF0821"/>
    <w:rsid w:val="00DF1377"/>
    <w:rsid w:val="00DF2837"/>
    <w:rsid w:val="00DF491D"/>
    <w:rsid w:val="00DF6970"/>
    <w:rsid w:val="00E01ADD"/>
    <w:rsid w:val="00E047FD"/>
    <w:rsid w:val="00E15283"/>
    <w:rsid w:val="00E2035B"/>
    <w:rsid w:val="00E22FEE"/>
    <w:rsid w:val="00E275EE"/>
    <w:rsid w:val="00E31C91"/>
    <w:rsid w:val="00E33D07"/>
    <w:rsid w:val="00E34703"/>
    <w:rsid w:val="00E35290"/>
    <w:rsid w:val="00E361B5"/>
    <w:rsid w:val="00E36981"/>
    <w:rsid w:val="00E411B1"/>
    <w:rsid w:val="00E415BA"/>
    <w:rsid w:val="00E42673"/>
    <w:rsid w:val="00E447ED"/>
    <w:rsid w:val="00E44CEC"/>
    <w:rsid w:val="00E4538E"/>
    <w:rsid w:val="00E54DF9"/>
    <w:rsid w:val="00E613E0"/>
    <w:rsid w:val="00E62D49"/>
    <w:rsid w:val="00E62E87"/>
    <w:rsid w:val="00E67603"/>
    <w:rsid w:val="00E720D4"/>
    <w:rsid w:val="00E72594"/>
    <w:rsid w:val="00E7356A"/>
    <w:rsid w:val="00E73FA2"/>
    <w:rsid w:val="00E83DF5"/>
    <w:rsid w:val="00E84879"/>
    <w:rsid w:val="00E94730"/>
    <w:rsid w:val="00E9586E"/>
    <w:rsid w:val="00E973D0"/>
    <w:rsid w:val="00EA09B5"/>
    <w:rsid w:val="00EA2FD9"/>
    <w:rsid w:val="00EB0831"/>
    <w:rsid w:val="00EB6F97"/>
    <w:rsid w:val="00EC21E8"/>
    <w:rsid w:val="00EC25A5"/>
    <w:rsid w:val="00EC2F91"/>
    <w:rsid w:val="00EC4DBF"/>
    <w:rsid w:val="00EC6EF3"/>
    <w:rsid w:val="00ED0FAA"/>
    <w:rsid w:val="00ED2810"/>
    <w:rsid w:val="00ED4894"/>
    <w:rsid w:val="00ED525C"/>
    <w:rsid w:val="00ED67DC"/>
    <w:rsid w:val="00ED7066"/>
    <w:rsid w:val="00EE1DBD"/>
    <w:rsid w:val="00EE539B"/>
    <w:rsid w:val="00EE5C81"/>
    <w:rsid w:val="00EE62D0"/>
    <w:rsid w:val="00EF2B26"/>
    <w:rsid w:val="00EF2F92"/>
    <w:rsid w:val="00EF563E"/>
    <w:rsid w:val="00EF5AF6"/>
    <w:rsid w:val="00F0453F"/>
    <w:rsid w:val="00F061C1"/>
    <w:rsid w:val="00F10536"/>
    <w:rsid w:val="00F17305"/>
    <w:rsid w:val="00F17428"/>
    <w:rsid w:val="00F20493"/>
    <w:rsid w:val="00F20F0A"/>
    <w:rsid w:val="00F27F7C"/>
    <w:rsid w:val="00F30958"/>
    <w:rsid w:val="00F3470D"/>
    <w:rsid w:val="00F347E8"/>
    <w:rsid w:val="00F34FE3"/>
    <w:rsid w:val="00F43460"/>
    <w:rsid w:val="00F43FF8"/>
    <w:rsid w:val="00F45E29"/>
    <w:rsid w:val="00F465A5"/>
    <w:rsid w:val="00F5031B"/>
    <w:rsid w:val="00F52A1D"/>
    <w:rsid w:val="00F5470F"/>
    <w:rsid w:val="00F54BAD"/>
    <w:rsid w:val="00F5597B"/>
    <w:rsid w:val="00F6489E"/>
    <w:rsid w:val="00F65432"/>
    <w:rsid w:val="00F657DA"/>
    <w:rsid w:val="00F66C60"/>
    <w:rsid w:val="00F67AEA"/>
    <w:rsid w:val="00F74CE0"/>
    <w:rsid w:val="00F81C41"/>
    <w:rsid w:val="00F82FE7"/>
    <w:rsid w:val="00F8356D"/>
    <w:rsid w:val="00F83C65"/>
    <w:rsid w:val="00F84FBA"/>
    <w:rsid w:val="00F857A3"/>
    <w:rsid w:val="00F86C1A"/>
    <w:rsid w:val="00F90082"/>
    <w:rsid w:val="00F90CDA"/>
    <w:rsid w:val="00F95D13"/>
    <w:rsid w:val="00F96885"/>
    <w:rsid w:val="00F96C16"/>
    <w:rsid w:val="00FA0220"/>
    <w:rsid w:val="00FA0A1E"/>
    <w:rsid w:val="00FA362D"/>
    <w:rsid w:val="00FA62A2"/>
    <w:rsid w:val="00FB0E84"/>
    <w:rsid w:val="00FB11B5"/>
    <w:rsid w:val="00FB1362"/>
    <w:rsid w:val="00FB23C9"/>
    <w:rsid w:val="00FB3B8B"/>
    <w:rsid w:val="00FB491D"/>
    <w:rsid w:val="00FB4E7F"/>
    <w:rsid w:val="00FB599C"/>
    <w:rsid w:val="00FB6836"/>
    <w:rsid w:val="00FB7567"/>
    <w:rsid w:val="00FC05A6"/>
    <w:rsid w:val="00FC306B"/>
    <w:rsid w:val="00FC4F04"/>
    <w:rsid w:val="00FC5341"/>
    <w:rsid w:val="00FD59D4"/>
    <w:rsid w:val="00FD60D5"/>
    <w:rsid w:val="00FD6AA7"/>
    <w:rsid w:val="00FD6CCB"/>
    <w:rsid w:val="00FE551E"/>
    <w:rsid w:val="00FF146A"/>
    <w:rsid w:val="00FF2F0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CFEA9"/>
  <w15:chartTrackingRefBased/>
  <w15:docId w15:val="{FAE09E87-29B9-4CCA-B409-6A8D35EA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22"/>
  </w:style>
  <w:style w:type="paragraph" w:styleId="Heading1">
    <w:name w:val="heading 1"/>
    <w:basedOn w:val="Normal"/>
    <w:link w:val="Heading1Char"/>
    <w:uiPriority w:val="9"/>
    <w:qFormat/>
    <w:rsid w:val="00460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B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1C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TableGrid">
    <w:name w:val="Table Grid"/>
    <w:basedOn w:val="TableNormal"/>
    <w:uiPriority w:val="39"/>
    <w:rsid w:val="00ED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342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34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6B5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5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58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DE1"/>
  </w:style>
  <w:style w:type="paragraph" w:styleId="Footer">
    <w:name w:val="footer"/>
    <w:basedOn w:val="Normal"/>
    <w:link w:val="FooterChar"/>
    <w:uiPriority w:val="99"/>
    <w:unhideWhenUsed/>
    <w:rsid w:val="000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DE1"/>
  </w:style>
  <w:style w:type="paragraph" w:styleId="BalloonText">
    <w:name w:val="Balloon Text"/>
    <w:basedOn w:val="Normal"/>
    <w:link w:val="BalloonTextChar"/>
    <w:uiPriority w:val="99"/>
    <w:semiHidden/>
    <w:unhideWhenUsed/>
    <w:rsid w:val="00DC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1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0A0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BF7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D723F"/>
    <w:rPr>
      <w:i/>
      <w:iCs/>
    </w:rPr>
  </w:style>
  <w:style w:type="paragraph" w:customStyle="1" w:styleId="Default">
    <w:name w:val="Default"/>
    <w:uiPriority w:val="99"/>
    <w:rsid w:val="00D46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6F5F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8E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B1BCE-FA66-42FF-84EA-B9FBEB74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7754</Characters>
  <Application>Microsoft Office Word</Application>
  <DocSecurity>0</DocSecurity>
  <Lines>64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BLAVATSKYY</dc:creator>
  <cp:keywords/>
  <dc:description/>
  <cp:lastModifiedBy>Valentyn Panchenko</cp:lastModifiedBy>
  <cp:revision>6</cp:revision>
  <cp:lastPrinted>2021-10-04T01:57:00Z</cp:lastPrinted>
  <dcterms:created xsi:type="dcterms:W3CDTF">2022-09-21T09:12:00Z</dcterms:created>
  <dcterms:modified xsi:type="dcterms:W3CDTF">2022-09-21T09:31:00Z</dcterms:modified>
</cp:coreProperties>
</file>