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0A" w:rsidRDefault="00CD3D0A" w:rsidP="00CD3D0A">
      <w:pPr>
        <w:pStyle w:val="Geenafstand"/>
        <w:rPr>
          <w:rFonts w:ascii="Times New Roman" w:hAnsi="Times New Roman" w:cs="Times New Roman"/>
          <w:sz w:val="24"/>
          <w:szCs w:val="24"/>
        </w:rPr>
      </w:pPr>
      <w:proofErr w:type="gramStart"/>
      <w:r w:rsidRPr="00651673">
        <w:rPr>
          <w:rFonts w:ascii="Times New Roman" w:hAnsi="Times New Roman" w:cs="Times New Roman"/>
          <w:sz w:val="24"/>
          <w:szCs w:val="24"/>
        </w:rPr>
        <w:t>Table 2.</w:t>
      </w:r>
      <w:proofErr w:type="gramEnd"/>
      <w:r w:rsidRPr="00651673">
        <w:rPr>
          <w:rFonts w:ascii="Times New Roman" w:hAnsi="Times New Roman" w:cs="Times New Roman"/>
          <w:sz w:val="24"/>
          <w:szCs w:val="24"/>
        </w:rPr>
        <w:t xml:space="preserve">  Matrix of change, performance objectives and change objectives in relation to communication about (breast) cancer genetic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673">
        <w:rPr>
          <w:rFonts w:ascii="Times New Roman" w:hAnsi="Times New Roman" w:cs="Times New Roman"/>
          <w:sz w:val="24"/>
          <w:szCs w:val="24"/>
        </w:rPr>
        <w:t>counseling</w:t>
      </w:r>
    </w:p>
    <w:p w:rsidR="00552D10" w:rsidRDefault="00552D10"/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6" w:space="0" w:color="4F81BD"/>
          <w:insideV w:val="single" w:sz="6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693"/>
        <w:gridCol w:w="2268"/>
        <w:gridCol w:w="3544"/>
      </w:tblGrid>
      <w:tr w:rsidR="00CD3D0A" w:rsidRPr="00651673" w:rsidTr="00A24812">
        <w:trPr>
          <w:trHeight w:val="144"/>
        </w:trPr>
        <w:tc>
          <w:tcPr>
            <w:tcW w:w="3085" w:type="dxa"/>
            <w:tcBorders>
              <w:right w:val="single" w:sz="4" w:space="0" w:color="auto"/>
            </w:tcBorders>
            <w:shd w:val="clear" w:color="auto" w:fill="auto"/>
          </w:tcPr>
          <w:p w:rsidR="00CD3D0A" w:rsidRPr="00651673" w:rsidRDefault="00CD3D0A" w:rsidP="00A24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Performance</w:t>
            </w:r>
          </w:p>
          <w:p w:rsidR="00CD3D0A" w:rsidRPr="00651673" w:rsidRDefault="00CD3D0A" w:rsidP="00A24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objectives </w:t>
            </w:r>
          </w:p>
        </w:tc>
        <w:tc>
          <w:tcPr>
            <w:tcW w:w="10915" w:type="dxa"/>
            <w:gridSpan w:val="4"/>
            <w:tcBorders>
              <w:top w:val="single" w:sz="8" w:space="0" w:color="4F81BD"/>
              <w:left w:val="single" w:sz="4" w:space="0" w:color="auto"/>
              <w:bottom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eterminants </w:t>
            </w:r>
          </w:p>
        </w:tc>
      </w:tr>
      <w:tr w:rsidR="00CD3D0A" w:rsidRPr="00651673" w:rsidTr="00A24812">
        <w:trPr>
          <w:trHeight w:val="144"/>
        </w:trPr>
        <w:tc>
          <w:tcPr>
            <w:tcW w:w="30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i/>
                <w:sz w:val="24"/>
                <w:szCs w:val="24"/>
              </w:rPr>
              <w:t>awareness</w:t>
            </w:r>
          </w:p>
        </w:tc>
        <w:tc>
          <w:tcPr>
            <w:tcW w:w="2693" w:type="dxa"/>
            <w:tcBorders>
              <w:top w:val="single" w:sz="6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i/>
                <w:sz w:val="24"/>
                <w:szCs w:val="24"/>
              </w:rPr>
              <w:t>knowledge</w:t>
            </w:r>
          </w:p>
        </w:tc>
        <w:tc>
          <w:tcPr>
            <w:tcW w:w="2268" w:type="dxa"/>
            <w:tcBorders>
              <w:top w:val="single" w:sz="6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i/>
                <w:sz w:val="24"/>
                <w:szCs w:val="24"/>
              </w:rPr>
              <w:t>attitude</w:t>
            </w:r>
          </w:p>
        </w:tc>
        <w:tc>
          <w:tcPr>
            <w:tcW w:w="3544" w:type="dxa"/>
            <w:tcBorders>
              <w:top w:val="single" w:sz="6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skills  </w:t>
            </w:r>
          </w:p>
        </w:tc>
      </w:tr>
      <w:tr w:rsidR="00CD3D0A" w:rsidRPr="00651673" w:rsidTr="00A24812">
        <w:trPr>
          <w:trHeight w:val="364"/>
        </w:trPr>
        <w:tc>
          <w:tcPr>
            <w:tcW w:w="30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0915" w:type="dxa"/>
            <w:gridSpan w:val="4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i/>
                <w:sz w:val="24"/>
                <w:szCs w:val="24"/>
              </w:rPr>
              <w:t>change objectives</w:t>
            </w:r>
          </w:p>
        </w:tc>
      </w:tr>
      <w:tr w:rsidR="00CD3D0A" w:rsidRPr="00651673" w:rsidTr="00A24812">
        <w:trPr>
          <w:trHeight w:val="144"/>
        </w:trPr>
        <w:tc>
          <w:tcPr>
            <w:tcW w:w="3085" w:type="dxa"/>
            <w:shd w:val="clear" w:color="auto" w:fill="auto"/>
          </w:tcPr>
          <w:p w:rsidR="00CD3D0A" w:rsidRPr="00651673" w:rsidRDefault="00CD3D0A" w:rsidP="00E405C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Health professionals recognize signs of </w:t>
            </w:r>
            <w:r w:rsidR="00E405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l</w:t>
            </w: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iteracy or limited health literacy in patients </w:t>
            </w:r>
          </w:p>
        </w:tc>
        <w:tc>
          <w:tcPr>
            <w:tcW w:w="2410" w:type="dxa"/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are aware of the fact that many people in the Netherlands have difficulties with reading, understanding and processing 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 information.  </w:t>
            </w:r>
          </w:p>
        </w:tc>
        <w:tc>
          <w:tcPr>
            <w:tcW w:w="2693" w:type="dxa"/>
            <w:shd w:val="clear" w:color="auto" w:fill="auto"/>
          </w:tcPr>
          <w:p w:rsidR="00E405C4" w:rsidRDefault="00CD3D0A" w:rsidP="00E405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know which (group of) patients are most at risk in being 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>low (health) literate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D0A" w:rsidRPr="00651673" w:rsidRDefault="00CD3D0A" w:rsidP="00E405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know which communication techniques are most appropriate in order to 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>detect low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era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 or limited health literacy. </w:t>
            </w:r>
          </w:p>
        </w:tc>
        <w:tc>
          <w:tcPr>
            <w:tcW w:w="2268" w:type="dxa"/>
            <w:shd w:val="clear" w:color="auto" w:fill="auto"/>
          </w:tcPr>
          <w:p w:rsidR="00CD3D0A" w:rsidRPr="00651673" w:rsidRDefault="00CD3D0A" w:rsidP="00E405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consider it important to recognize low literacy or limited health literacy in patients.  </w:t>
            </w:r>
          </w:p>
        </w:tc>
        <w:tc>
          <w:tcPr>
            <w:tcW w:w="3544" w:type="dxa"/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can apply specific communication techniques to 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 xml:space="preserve">detect low literacy or limited health literacy in patients. 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0A" w:rsidRPr="00651673" w:rsidTr="00A24812">
        <w:trPr>
          <w:trHeight w:val="144"/>
        </w:trPr>
        <w:tc>
          <w:tcPr>
            <w:tcW w:w="30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E405C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Health professionals communicate effectively  about breast cancer genetic counseling with patients </w:t>
            </w:r>
            <w:r w:rsidR="00E405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 low literacy</w:t>
            </w: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limited health literacy   </w:t>
            </w:r>
          </w:p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are aware of the differences in referral to cancer genetic counseling between women with a low educational background or migrant patients and women with a high 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educational background.  </w:t>
            </w:r>
          </w:p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are aware of their (shortcomings in) communication skills.  </w:t>
            </w:r>
          </w:p>
        </w:tc>
        <w:tc>
          <w:tcPr>
            <w:tcW w:w="2693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E405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Health professionals know how to explain information about breast cancer genetic counseling in plain Dutch to patients </w:t>
            </w:r>
            <w:r w:rsidR="00E405C4">
              <w:rPr>
                <w:rFonts w:ascii="Times New Roman" w:hAnsi="Times New Roman" w:cs="Times New Roman"/>
                <w:sz w:val="24"/>
                <w:szCs w:val="24"/>
              </w:rPr>
              <w:t>with low literacy, limited health literacy or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 a migrant background</w:t>
            </w:r>
            <w:bookmarkStart w:id="0" w:name="_GoBack"/>
            <w:bookmarkEnd w:id="0"/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consider it important to tailor their communication and explain information about breast cancer genetic counseling in plain Dutch.  </w:t>
            </w:r>
          </w:p>
        </w:tc>
        <w:tc>
          <w:tcPr>
            <w:tcW w:w="354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adapt their communication to the needs and abilities of the patient and his or her family. </w:t>
            </w:r>
          </w:p>
        </w:tc>
      </w:tr>
      <w:tr w:rsidR="00CD3D0A" w:rsidRPr="00651673" w:rsidTr="00A24812">
        <w:trPr>
          <w:trHeight w:val="144"/>
        </w:trPr>
        <w:tc>
          <w:tcPr>
            <w:tcW w:w="30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Health professionals adequately cope with a language barrier  </w:t>
            </w:r>
          </w:p>
        </w:tc>
        <w:tc>
          <w:tcPr>
            <w:tcW w:w="2410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are aware of the impact of a language barrier on medical consultation. 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know why a professional interpreter is preferable to a family interpreter. </w:t>
            </w:r>
          </w:p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know how to access the services of a professional interpreter.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have a positive attitude toward the use of a professional interpreter instead of family interpreter. </w:t>
            </w:r>
          </w:p>
        </w:tc>
        <w:tc>
          <w:tcPr>
            <w:tcW w:w="3544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make adequate use of the services of a professional interpreter.  </w:t>
            </w:r>
          </w:p>
        </w:tc>
      </w:tr>
      <w:tr w:rsidR="00CD3D0A" w:rsidRPr="00651673" w:rsidTr="00A24812">
        <w:trPr>
          <w:trHeight w:val="144"/>
        </w:trPr>
        <w:tc>
          <w:tcPr>
            <w:tcW w:w="30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Health professionals act in a culturally sensitive manner  </w:t>
            </w:r>
          </w:p>
        </w:tc>
        <w:tc>
          <w:tcPr>
            <w:tcW w:w="2410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are aware of their knowledge and beliefs about people with a different cultural background. 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know how to take into account different cultural, psychological and religious aspects in their communication with patients with a migrant background and their family members. 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consider it important to take into account cultural aspects. </w:t>
            </w:r>
          </w:p>
        </w:tc>
        <w:tc>
          <w:tcPr>
            <w:tcW w:w="3544" w:type="dxa"/>
            <w:tcBorders>
              <w:top w:val="single" w:sz="8" w:space="0" w:color="4F81BD"/>
              <w:left w:val="single" w:sz="6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CD3D0A" w:rsidRPr="00651673" w:rsidRDefault="00CD3D0A" w:rsidP="00A24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In their communication with patients with a migrant background, health professionals take into account cultural aspects, such as a taboo on talking about cancer.  </w:t>
            </w:r>
          </w:p>
        </w:tc>
      </w:tr>
    </w:tbl>
    <w:p w:rsidR="00CD3D0A" w:rsidRPr="00CD3D0A" w:rsidRDefault="00CD3D0A"/>
    <w:sectPr w:rsidR="00CD3D0A" w:rsidRPr="00CD3D0A" w:rsidSect="00CD3D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0A"/>
    <w:rsid w:val="00234EB5"/>
    <w:rsid w:val="00552D10"/>
    <w:rsid w:val="00A75775"/>
    <w:rsid w:val="00CD3D0A"/>
    <w:rsid w:val="00E405C4"/>
    <w:rsid w:val="00F0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3D0A"/>
    <w:rPr>
      <w:rFonts w:ascii="Segoe UI" w:hAnsi="Segoe U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D3D0A"/>
    <w:pPr>
      <w:spacing w:after="0" w:line="240" w:lineRule="auto"/>
    </w:pPr>
    <w:rPr>
      <w:rFonts w:ascii="Segoe UI" w:hAnsi="Segoe U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3D0A"/>
    <w:rPr>
      <w:rFonts w:ascii="Segoe UI" w:hAnsi="Segoe U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D3D0A"/>
    <w:pPr>
      <w:spacing w:after="0" w:line="240" w:lineRule="auto"/>
    </w:pPr>
    <w:rPr>
      <w:rFonts w:ascii="Segoe UI" w:hAnsi="Segoe U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AF4FCB4D.dotm</Template>
  <TotalTime>8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Giessen-van der Doelen-2, J.A.M. van der</dc:creator>
  <cp:lastModifiedBy>Giessen-van der Doelen-2, J.A.M. van der</cp:lastModifiedBy>
  <cp:revision>4</cp:revision>
  <dcterms:created xsi:type="dcterms:W3CDTF">2019-10-28T16:24:00Z</dcterms:created>
  <dcterms:modified xsi:type="dcterms:W3CDTF">2019-11-11T12:45:00Z</dcterms:modified>
</cp:coreProperties>
</file>