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1837D" w14:textId="22091B0B" w:rsidR="00431603" w:rsidRPr="00431603" w:rsidRDefault="00431603" w:rsidP="00431603">
      <w:pPr>
        <w:spacing w:before="240" w:line="276" w:lineRule="auto"/>
        <w:jc w:val="center"/>
        <w:rPr>
          <w:rFonts w:asciiTheme="majorHAnsi" w:hAnsiTheme="majorHAnsi" w:cstheme="majorHAnsi"/>
          <w:b/>
          <w:bCs/>
          <w:sz w:val="28"/>
          <w:szCs w:val="28"/>
          <w:lang w:val="en-US"/>
        </w:rPr>
      </w:pPr>
      <w:r w:rsidRPr="00431603">
        <w:rPr>
          <w:rFonts w:asciiTheme="majorHAnsi" w:hAnsiTheme="majorHAnsi" w:cstheme="majorHAnsi"/>
          <w:b/>
          <w:bCs/>
          <w:sz w:val="28"/>
          <w:szCs w:val="28"/>
          <w:lang w:val="en-US"/>
        </w:rPr>
        <w:t>SUPPLEMENTARY MATERIALS</w:t>
      </w:r>
    </w:p>
    <w:p w14:paraId="234C995F" w14:textId="20D95EAB" w:rsidR="00A16FEF" w:rsidRPr="006A5E57" w:rsidRDefault="00A16FEF" w:rsidP="00A16FEF">
      <w:pPr>
        <w:spacing w:before="240" w:line="276" w:lineRule="auto"/>
        <w:rPr>
          <w:rFonts w:asciiTheme="majorHAnsi" w:hAnsiTheme="majorHAnsi" w:cstheme="majorHAnsi"/>
          <w:b/>
          <w:bCs/>
          <w:lang w:val="en-US"/>
        </w:rPr>
      </w:pPr>
      <w:r w:rsidRPr="006A5E57">
        <w:rPr>
          <w:rFonts w:asciiTheme="majorHAnsi" w:hAnsiTheme="majorHAnsi" w:cstheme="majorHAnsi"/>
          <w:b/>
          <w:bCs/>
          <w:lang w:val="en-US"/>
        </w:rPr>
        <w:t>DNA isolation</w:t>
      </w:r>
    </w:p>
    <w:p w14:paraId="4CA4A4C2" w14:textId="36FF1784" w:rsidR="00A16FEF" w:rsidRPr="00D6181B" w:rsidRDefault="00A16FEF" w:rsidP="00A16FEF">
      <w:pPr>
        <w:spacing w:before="240"/>
        <w:jc w:val="both"/>
        <w:rPr>
          <w:rFonts w:asciiTheme="majorHAnsi" w:hAnsiTheme="majorHAnsi" w:cstheme="majorHAnsi"/>
          <w:lang w:val="en-US"/>
        </w:rPr>
      </w:pPr>
      <w:r w:rsidRPr="006A5E57">
        <w:rPr>
          <w:rFonts w:asciiTheme="majorHAnsi" w:hAnsiTheme="majorHAnsi" w:cstheme="majorHAnsi"/>
          <w:lang w:val="en-US"/>
        </w:rPr>
        <w:t xml:space="preserve">Genomic DNA was extracted from bone marrow and peripheral blood samples using the </w:t>
      </w:r>
      <w:proofErr w:type="spellStart"/>
      <w:r w:rsidRPr="006A5E57">
        <w:rPr>
          <w:rFonts w:asciiTheme="majorHAnsi" w:hAnsiTheme="majorHAnsi" w:cstheme="majorHAnsi"/>
          <w:lang w:val="en-US"/>
        </w:rPr>
        <w:t>QIAamp</w:t>
      </w:r>
      <w:proofErr w:type="spellEnd"/>
      <w:r w:rsidRPr="006A5E57">
        <w:rPr>
          <w:rFonts w:asciiTheme="majorHAnsi" w:hAnsiTheme="majorHAnsi" w:cstheme="majorHAnsi"/>
          <w:lang w:val="en-US"/>
        </w:rPr>
        <w:t xml:space="preserve"> DNA Blood mini kit (QIAGEN, Hilden, Germany). The concentration and quality of isolates were determined by ultraviolet spectrophotometry (</w:t>
      </w:r>
      <w:proofErr w:type="spellStart"/>
      <w:r w:rsidRPr="006A5E57">
        <w:rPr>
          <w:rFonts w:asciiTheme="majorHAnsi" w:hAnsiTheme="majorHAnsi" w:cstheme="majorHAnsi"/>
          <w:lang w:val="en-US"/>
        </w:rPr>
        <w:t>NanoDrop</w:t>
      </w:r>
      <w:proofErr w:type="spellEnd"/>
      <w:r w:rsidRPr="006A5E57">
        <w:rPr>
          <w:rFonts w:asciiTheme="majorHAnsi" w:hAnsiTheme="majorHAnsi" w:cstheme="majorHAnsi"/>
          <w:lang w:val="en-US"/>
        </w:rPr>
        <w:t xml:space="preserve"> 8000, Thermo Scientific, Waltham, MA)</w:t>
      </w:r>
      <w:r>
        <w:rPr>
          <w:rFonts w:asciiTheme="majorHAnsi" w:hAnsiTheme="majorHAnsi" w:cstheme="majorHAnsi"/>
          <w:lang w:val="en-US"/>
        </w:rPr>
        <w:t xml:space="preserve">. </w:t>
      </w:r>
    </w:p>
    <w:p w14:paraId="635178BF" w14:textId="77777777" w:rsidR="00A16FEF" w:rsidRPr="00F14D94" w:rsidRDefault="00A16FEF" w:rsidP="00A16FEF">
      <w:pPr>
        <w:spacing w:before="240"/>
        <w:rPr>
          <w:rFonts w:asciiTheme="majorHAnsi" w:hAnsiTheme="majorHAnsi" w:cstheme="majorHAnsi"/>
          <w:b/>
          <w:bCs/>
          <w:lang w:val="en-US"/>
        </w:rPr>
      </w:pPr>
      <w:r w:rsidRPr="00F14D94">
        <w:rPr>
          <w:rFonts w:asciiTheme="majorHAnsi" w:hAnsiTheme="majorHAnsi" w:cstheme="majorHAnsi"/>
          <w:b/>
          <w:bCs/>
          <w:lang w:val="en-US"/>
        </w:rPr>
        <w:t>Microarray analysis</w:t>
      </w:r>
    </w:p>
    <w:p w14:paraId="47922229" w14:textId="466623B4" w:rsidR="00A16FEF" w:rsidRDefault="00A16FEF" w:rsidP="00A16FEF">
      <w:pPr>
        <w:jc w:val="both"/>
        <w:rPr>
          <w:rFonts w:asciiTheme="majorHAnsi" w:hAnsiTheme="majorHAnsi" w:cstheme="majorHAnsi"/>
          <w:lang w:val="en-US"/>
        </w:rPr>
      </w:pPr>
      <w:r>
        <w:rPr>
          <w:rFonts w:asciiTheme="majorHAnsi" w:hAnsiTheme="majorHAnsi" w:cstheme="majorHAnsi"/>
          <w:lang w:val="en-US"/>
        </w:rPr>
        <w:t>C</w:t>
      </w:r>
      <w:r w:rsidRPr="00F14D94">
        <w:rPr>
          <w:rFonts w:asciiTheme="majorHAnsi" w:hAnsiTheme="majorHAnsi" w:cstheme="majorHAnsi"/>
          <w:lang w:val="en-US"/>
        </w:rPr>
        <w:t>opy-number variation</w:t>
      </w:r>
      <w:r>
        <w:rPr>
          <w:rFonts w:asciiTheme="majorHAnsi" w:hAnsiTheme="majorHAnsi" w:cstheme="majorHAnsi"/>
          <w:lang w:val="en-US"/>
        </w:rPr>
        <w:t xml:space="preserve"> and LOH</w:t>
      </w:r>
      <w:r w:rsidRPr="00F14D94">
        <w:rPr>
          <w:rFonts w:asciiTheme="majorHAnsi" w:hAnsiTheme="majorHAnsi" w:cstheme="majorHAnsi"/>
          <w:lang w:val="en-US"/>
        </w:rPr>
        <w:t xml:space="preserve"> analysis</w:t>
      </w:r>
      <w:r>
        <w:rPr>
          <w:rFonts w:asciiTheme="majorHAnsi" w:hAnsiTheme="majorHAnsi" w:cstheme="majorHAnsi"/>
          <w:lang w:val="en-US"/>
        </w:rPr>
        <w:t xml:space="preserve"> of tumor tissue</w:t>
      </w:r>
      <w:r w:rsidRPr="00F14D94">
        <w:rPr>
          <w:rFonts w:asciiTheme="majorHAnsi" w:hAnsiTheme="majorHAnsi" w:cstheme="majorHAnsi"/>
          <w:lang w:val="en-US"/>
        </w:rPr>
        <w:t xml:space="preserve"> was performed using </w:t>
      </w:r>
      <w:proofErr w:type="spellStart"/>
      <w:r w:rsidRPr="00F14D94">
        <w:rPr>
          <w:rFonts w:asciiTheme="majorHAnsi" w:hAnsiTheme="majorHAnsi" w:cstheme="majorHAnsi"/>
          <w:lang w:val="en-US"/>
        </w:rPr>
        <w:t>CytoScan</w:t>
      </w:r>
      <w:proofErr w:type="spellEnd"/>
      <w:r w:rsidRPr="00F14D94">
        <w:rPr>
          <w:rFonts w:asciiTheme="majorHAnsi" w:hAnsiTheme="majorHAnsi" w:cstheme="majorHAnsi"/>
          <w:lang w:val="en-US"/>
        </w:rPr>
        <w:t xml:space="preserve"> HD array (2 670 000 probes including 750 000 SNP</w:t>
      </w:r>
      <w:r>
        <w:rPr>
          <w:rFonts w:asciiTheme="majorHAnsi" w:hAnsiTheme="majorHAnsi" w:cstheme="majorHAnsi"/>
          <w:lang w:val="en-US"/>
        </w:rPr>
        <w:t>’</w:t>
      </w:r>
      <w:r w:rsidRPr="00F14D94">
        <w:rPr>
          <w:rFonts w:asciiTheme="majorHAnsi" w:hAnsiTheme="majorHAnsi" w:cstheme="majorHAnsi"/>
          <w:lang w:val="en-US"/>
        </w:rPr>
        <w:t xml:space="preserve">s; Applied Biosystems, Thermo Fisher, Waltham, MA). In total, 250 ng of the genomic DNA was processed according to </w:t>
      </w:r>
      <w:bookmarkStart w:id="0" w:name="_Hlk37768522"/>
      <w:r w:rsidRPr="00F14D94">
        <w:rPr>
          <w:rFonts w:asciiTheme="majorHAnsi" w:hAnsiTheme="majorHAnsi" w:cstheme="majorHAnsi"/>
          <w:lang w:val="en-US"/>
        </w:rPr>
        <w:t>the manufacturers' protocol</w:t>
      </w:r>
      <w:bookmarkEnd w:id="0"/>
      <w:r w:rsidRPr="00F14D94">
        <w:rPr>
          <w:rFonts w:asciiTheme="majorHAnsi" w:hAnsiTheme="majorHAnsi" w:cstheme="majorHAnsi"/>
          <w:lang w:val="en-US"/>
        </w:rPr>
        <w:t xml:space="preserve"> following the steps of digestion by </w:t>
      </w:r>
      <w:proofErr w:type="spellStart"/>
      <w:r w:rsidRPr="00F14D94">
        <w:rPr>
          <w:rFonts w:asciiTheme="majorHAnsi" w:hAnsiTheme="majorHAnsi" w:cstheme="majorHAnsi"/>
          <w:lang w:val="en-US"/>
        </w:rPr>
        <w:t>NspI</w:t>
      </w:r>
      <w:proofErr w:type="spellEnd"/>
      <w:r w:rsidRPr="00F14D94">
        <w:rPr>
          <w:rFonts w:asciiTheme="majorHAnsi" w:hAnsiTheme="majorHAnsi" w:cstheme="majorHAnsi"/>
          <w:lang w:val="en-US"/>
        </w:rPr>
        <w:t xml:space="preserve">, amplification using a ligation-mediated PCR with adapters linked to the restriction fragments, purification of PCR products using magnetic beads, fragmentation using DNase I, labeling with biotin and hybridization overnight (16–18 h) to a 49-format array. After incubation samples were washed and stained with streptavidin using a </w:t>
      </w:r>
      <w:proofErr w:type="spellStart"/>
      <w:r w:rsidRPr="00F14D94">
        <w:rPr>
          <w:rFonts w:asciiTheme="majorHAnsi" w:hAnsiTheme="majorHAnsi" w:cstheme="majorHAnsi"/>
          <w:lang w:val="en-US"/>
        </w:rPr>
        <w:t>GeneChip</w:t>
      </w:r>
      <w:proofErr w:type="spellEnd"/>
      <w:r w:rsidRPr="00F14D94">
        <w:rPr>
          <w:rFonts w:asciiTheme="majorHAnsi" w:hAnsiTheme="majorHAnsi" w:cstheme="majorHAnsi"/>
          <w:lang w:val="en-US"/>
        </w:rPr>
        <w:t xml:space="preserve"> Fluidics Station 450 and </w:t>
      </w:r>
      <w:r>
        <w:rPr>
          <w:rFonts w:asciiTheme="majorHAnsi" w:hAnsiTheme="majorHAnsi" w:cstheme="majorHAnsi"/>
          <w:lang w:val="en-US"/>
        </w:rPr>
        <w:t>we</w:t>
      </w:r>
      <w:r w:rsidRPr="00F14D94">
        <w:rPr>
          <w:rFonts w:asciiTheme="majorHAnsi" w:hAnsiTheme="majorHAnsi" w:cstheme="majorHAnsi"/>
          <w:lang w:val="en-US"/>
        </w:rPr>
        <w:t xml:space="preserve">re scanned by </w:t>
      </w:r>
      <w:proofErr w:type="spellStart"/>
      <w:r w:rsidRPr="00F14D94">
        <w:rPr>
          <w:rFonts w:asciiTheme="majorHAnsi" w:hAnsiTheme="majorHAnsi" w:cstheme="majorHAnsi"/>
          <w:lang w:val="en-US"/>
        </w:rPr>
        <w:t>GeneChip</w:t>
      </w:r>
      <w:proofErr w:type="spellEnd"/>
      <w:r w:rsidRPr="00F14D94">
        <w:rPr>
          <w:rFonts w:asciiTheme="majorHAnsi" w:hAnsiTheme="majorHAnsi" w:cstheme="majorHAnsi"/>
          <w:lang w:val="en-US"/>
        </w:rPr>
        <w:t xml:space="preserve"> Scanner 3000, using the </w:t>
      </w:r>
      <w:proofErr w:type="spellStart"/>
      <w:r w:rsidRPr="00F14D94">
        <w:rPr>
          <w:rFonts w:asciiTheme="majorHAnsi" w:hAnsiTheme="majorHAnsi" w:cstheme="majorHAnsi"/>
          <w:lang w:val="en-US"/>
        </w:rPr>
        <w:t>GeneChip</w:t>
      </w:r>
      <w:proofErr w:type="spellEnd"/>
      <w:r w:rsidRPr="00F14D94">
        <w:rPr>
          <w:rFonts w:asciiTheme="majorHAnsi" w:hAnsiTheme="majorHAnsi" w:cstheme="majorHAnsi"/>
          <w:lang w:val="en-US"/>
        </w:rPr>
        <w:t xml:space="preserve"> Command Console Software (Thermo Fisher Scientific), to generate the CEL files that includes the intensity probe signals. CEL files </w:t>
      </w:r>
      <w:r>
        <w:rPr>
          <w:rFonts w:asciiTheme="majorHAnsi" w:hAnsiTheme="majorHAnsi" w:cstheme="majorHAnsi"/>
          <w:lang w:val="en-US"/>
        </w:rPr>
        <w:t>we</w:t>
      </w:r>
      <w:r w:rsidRPr="00F14D94">
        <w:rPr>
          <w:rFonts w:asciiTheme="majorHAnsi" w:hAnsiTheme="majorHAnsi" w:cstheme="majorHAnsi"/>
          <w:lang w:val="en-US"/>
        </w:rPr>
        <w:t xml:space="preserve">re </w:t>
      </w:r>
      <w:r>
        <w:rPr>
          <w:rFonts w:asciiTheme="majorHAnsi" w:hAnsiTheme="majorHAnsi" w:cstheme="majorHAnsi"/>
          <w:lang w:val="en-US"/>
        </w:rPr>
        <w:t xml:space="preserve">then </w:t>
      </w:r>
      <w:r w:rsidRPr="00F14D94">
        <w:rPr>
          <w:rFonts w:asciiTheme="majorHAnsi" w:hAnsiTheme="majorHAnsi" w:cstheme="majorHAnsi"/>
          <w:lang w:val="en-US"/>
        </w:rPr>
        <w:t>analyzed using the Chromosome Analysis Suite (</w:t>
      </w:r>
      <w:proofErr w:type="spellStart"/>
      <w:r w:rsidRPr="00F14D94">
        <w:rPr>
          <w:rFonts w:asciiTheme="majorHAnsi" w:hAnsiTheme="majorHAnsi" w:cstheme="majorHAnsi"/>
          <w:lang w:val="en-US"/>
        </w:rPr>
        <w:t>ChAS</w:t>
      </w:r>
      <w:proofErr w:type="spellEnd"/>
      <w:r w:rsidRPr="00F14D94">
        <w:rPr>
          <w:rFonts w:asciiTheme="majorHAnsi" w:hAnsiTheme="majorHAnsi" w:cstheme="majorHAnsi"/>
          <w:lang w:val="en-US"/>
        </w:rPr>
        <w:t xml:space="preserve">) software (Thermo Fisher Scientific, Inc) and converted to CYCHP files containing information on copy number, loss of heterozygosity (LOH), mosaicism, and genotype calls. Copy number state and SNP genotypes were called using the Hidden Markov Model (HMM) algorithm and the Bayesian Robust Linear Model with the </w:t>
      </w:r>
      <w:proofErr w:type="spellStart"/>
      <w:r w:rsidRPr="00F14D94">
        <w:rPr>
          <w:rFonts w:asciiTheme="majorHAnsi" w:hAnsiTheme="majorHAnsi" w:cstheme="majorHAnsi"/>
          <w:lang w:val="en-US"/>
        </w:rPr>
        <w:t>Mahalanobis</w:t>
      </w:r>
      <w:proofErr w:type="spellEnd"/>
      <w:r w:rsidRPr="00F14D94">
        <w:rPr>
          <w:rFonts w:asciiTheme="majorHAnsi" w:hAnsiTheme="majorHAnsi" w:cstheme="majorHAnsi"/>
          <w:lang w:val="en-US"/>
        </w:rPr>
        <w:t xml:space="preserve"> distance classifier (BRLMM) algorithm, respectively. The intensity ratio of each SNP and CN probe in the DNA test provide a relative copy number (log2 ratio: log2sample − log2reference) which is normalized respect to a reference. The Reference Model File contains 380 samples, 284 from HapMap and 96 from </w:t>
      </w:r>
      <w:proofErr w:type="spellStart"/>
      <w:r w:rsidRPr="00F14D94">
        <w:rPr>
          <w:rFonts w:asciiTheme="majorHAnsi" w:hAnsiTheme="majorHAnsi" w:cstheme="majorHAnsi"/>
          <w:lang w:val="en-US"/>
        </w:rPr>
        <w:t>BioServe</w:t>
      </w:r>
      <w:proofErr w:type="spellEnd"/>
      <w:r w:rsidRPr="00F14D94">
        <w:rPr>
          <w:rFonts w:asciiTheme="majorHAnsi" w:hAnsiTheme="majorHAnsi" w:cstheme="majorHAnsi"/>
          <w:lang w:val="en-US"/>
        </w:rPr>
        <w:t xml:space="preserve"> Biotechnologies (</w:t>
      </w:r>
      <w:proofErr w:type="spellStart"/>
      <w:r w:rsidRPr="00F14D94">
        <w:rPr>
          <w:rFonts w:asciiTheme="majorHAnsi" w:hAnsiTheme="majorHAnsi" w:cstheme="majorHAnsi"/>
          <w:lang w:val="en-US"/>
        </w:rPr>
        <w:t>BioServe</w:t>
      </w:r>
      <w:proofErr w:type="spellEnd"/>
      <w:r w:rsidRPr="00F14D94">
        <w:rPr>
          <w:rFonts w:asciiTheme="majorHAnsi" w:hAnsiTheme="majorHAnsi" w:cstheme="majorHAnsi"/>
          <w:lang w:val="en-US"/>
        </w:rPr>
        <w:t xml:space="preserve"> Biotechnologies, </w:t>
      </w:r>
      <w:proofErr w:type="spellStart"/>
      <w:r w:rsidRPr="00F14D94">
        <w:rPr>
          <w:rFonts w:asciiTheme="majorHAnsi" w:hAnsiTheme="majorHAnsi" w:cstheme="majorHAnsi"/>
          <w:lang w:val="en-US"/>
        </w:rPr>
        <w:t>Ldt</w:t>
      </w:r>
      <w:proofErr w:type="spellEnd"/>
      <w:r w:rsidRPr="00F14D94">
        <w:rPr>
          <w:rFonts w:asciiTheme="majorHAnsi" w:hAnsiTheme="majorHAnsi" w:cstheme="majorHAnsi"/>
          <w:lang w:val="en-US"/>
        </w:rPr>
        <w:t xml:space="preserve">; Beltsville, MD, USA). Determination of log2 ratio indicated if there is a gain or loss of genetic material. The minimal number of probes was applied to determine the CNAs: 50 probes for duplication (gain); 25 probes for deletion (loss). To further identify the genes involved in the CNVs, two databases were applied: the UCSC database (http://genome.ucsc.edu) and Ensemble </w:t>
      </w:r>
      <w:r w:rsidRPr="0005041C">
        <w:rPr>
          <w:rFonts w:asciiTheme="majorHAnsi" w:hAnsiTheme="majorHAnsi" w:cstheme="majorHAnsi"/>
          <w:u w:val="single"/>
          <w:lang w:val="en-US"/>
        </w:rPr>
        <w:t>(</w:t>
      </w:r>
      <w:hyperlink r:id="rId4" w:history="1">
        <w:r w:rsidRPr="0005041C">
          <w:rPr>
            <w:rStyle w:val="Hipercze"/>
            <w:rFonts w:asciiTheme="majorHAnsi" w:hAnsiTheme="majorHAnsi" w:cstheme="majorHAnsi"/>
            <w:color w:val="auto"/>
            <w:lang w:val="en-US"/>
          </w:rPr>
          <w:t>http://www.ensembl.org</w:t>
        </w:r>
      </w:hyperlink>
      <w:r w:rsidRPr="00F14D94">
        <w:rPr>
          <w:rFonts w:asciiTheme="majorHAnsi" w:hAnsiTheme="majorHAnsi" w:cstheme="majorHAnsi"/>
          <w:lang w:val="en-US"/>
        </w:rPr>
        <w:t>).</w:t>
      </w:r>
    </w:p>
    <w:p w14:paraId="34AB60B4" w14:textId="52F2479A" w:rsidR="00A16FEF" w:rsidRDefault="00A16FEF" w:rsidP="00A16FEF">
      <w:pPr>
        <w:rPr>
          <w:rFonts w:asciiTheme="majorHAnsi" w:hAnsiTheme="majorHAnsi" w:cstheme="majorHAnsi"/>
          <w:b/>
          <w:bCs/>
          <w:lang w:val="en-US"/>
        </w:rPr>
      </w:pPr>
      <w:r>
        <w:rPr>
          <w:rFonts w:asciiTheme="majorHAnsi" w:hAnsiTheme="majorHAnsi" w:cstheme="majorHAnsi"/>
          <w:b/>
          <w:bCs/>
          <w:lang w:val="en-US"/>
        </w:rPr>
        <w:t xml:space="preserve">Panel-based DNA </w:t>
      </w:r>
      <w:r w:rsidRPr="00176DD1">
        <w:rPr>
          <w:rFonts w:asciiTheme="majorHAnsi" w:hAnsiTheme="majorHAnsi" w:cstheme="majorHAnsi"/>
          <w:b/>
          <w:bCs/>
          <w:lang w:val="en-US"/>
        </w:rPr>
        <w:t>sequencing</w:t>
      </w:r>
    </w:p>
    <w:p w14:paraId="118424B2" w14:textId="7335FCCA" w:rsidR="00F8649D" w:rsidRPr="0005041C" w:rsidRDefault="00A16FEF" w:rsidP="0005041C">
      <w:pPr>
        <w:jc w:val="both"/>
        <w:rPr>
          <w:rFonts w:asciiTheme="majorHAnsi" w:hAnsiTheme="majorHAnsi" w:cstheme="majorHAnsi"/>
          <w:lang w:val="en-US"/>
        </w:rPr>
      </w:pPr>
      <w:r w:rsidRPr="008227C1">
        <w:rPr>
          <w:rFonts w:asciiTheme="majorHAnsi" w:hAnsiTheme="majorHAnsi" w:cstheme="majorHAnsi"/>
          <w:lang w:val="en-US"/>
        </w:rPr>
        <w:t xml:space="preserve">Targeted NGS sequencing of leukemic genome was performed </w:t>
      </w:r>
      <w:r w:rsidRPr="008227C1">
        <w:rPr>
          <w:rFonts w:asciiTheme="majorHAnsi" w:hAnsiTheme="majorHAnsi" w:cstheme="majorHAnsi"/>
          <w:color w:val="222222"/>
          <w:shd w:val="clear" w:color="auto" w:fill="FFFFFF"/>
          <w:lang w:val="en-GB"/>
        </w:rPr>
        <w:t xml:space="preserve">using custom designed </w:t>
      </w:r>
      <w:proofErr w:type="spellStart"/>
      <w:r w:rsidRPr="008227C1">
        <w:rPr>
          <w:rFonts w:asciiTheme="majorHAnsi" w:hAnsiTheme="majorHAnsi" w:cstheme="majorHAnsi"/>
          <w:color w:val="222222"/>
          <w:shd w:val="clear" w:color="auto" w:fill="FFFFFF"/>
          <w:lang w:val="en-GB"/>
        </w:rPr>
        <w:t>SureSelect</w:t>
      </w:r>
      <w:proofErr w:type="spellEnd"/>
      <w:r w:rsidRPr="008227C1">
        <w:rPr>
          <w:rFonts w:asciiTheme="majorHAnsi" w:hAnsiTheme="majorHAnsi" w:cstheme="majorHAnsi"/>
          <w:color w:val="222222"/>
          <w:shd w:val="clear" w:color="auto" w:fill="FFFFFF"/>
          <w:lang w:val="en-GB"/>
        </w:rPr>
        <w:t xml:space="preserve"> XT-HS2 DNA System panel (Agilent Technologies, USA) comprising 660 genes related to </w:t>
      </w:r>
      <w:proofErr w:type="spellStart"/>
      <w:r w:rsidRPr="008227C1">
        <w:rPr>
          <w:rFonts w:asciiTheme="majorHAnsi" w:hAnsiTheme="majorHAnsi" w:cstheme="majorHAnsi"/>
          <w:color w:val="222222"/>
          <w:shd w:val="clear" w:color="auto" w:fill="FFFFFF"/>
          <w:lang w:val="en-GB"/>
        </w:rPr>
        <w:t>hematological</w:t>
      </w:r>
      <w:proofErr w:type="spellEnd"/>
      <w:r w:rsidRPr="008227C1">
        <w:rPr>
          <w:rFonts w:asciiTheme="majorHAnsi" w:hAnsiTheme="majorHAnsi" w:cstheme="majorHAnsi"/>
          <w:color w:val="222222"/>
          <w:shd w:val="clear" w:color="auto" w:fill="FFFFFF"/>
          <w:lang w:val="en-GB"/>
        </w:rPr>
        <w:t xml:space="preserve"> diseases</w:t>
      </w:r>
      <w:r w:rsidRPr="008227C1">
        <w:rPr>
          <w:rFonts w:asciiTheme="majorHAnsi" w:hAnsiTheme="majorHAnsi" w:cstheme="majorHAnsi"/>
          <w:lang w:val="en-US"/>
        </w:rPr>
        <w:t xml:space="preserve"> including </w:t>
      </w:r>
      <w:r w:rsidR="0005041C">
        <w:rPr>
          <w:rFonts w:asciiTheme="majorHAnsi" w:hAnsiTheme="majorHAnsi" w:cstheme="majorHAnsi"/>
          <w:i/>
          <w:iCs/>
          <w:lang w:val="en-US"/>
        </w:rPr>
        <w:t>SMARCA4</w:t>
      </w:r>
      <w:r w:rsidRPr="008227C1">
        <w:rPr>
          <w:rFonts w:asciiTheme="majorHAnsi" w:hAnsiTheme="majorHAnsi" w:cstheme="majorHAnsi"/>
          <w:i/>
          <w:iCs/>
          <w:lang w:val="en-US"/>
        </w:rPr>
        <w:t xml:space="preserve"> </w:t>
      </w:r>
      <w:r w:rsidRPr="008227C1">
        <w:rPr>
          <w:rFonts w:asciiTheme="majorHAnsi" w:hAnsiTheme="majorHAnsi" w:cstheme="majorHAnsi"/>
          <w:lang w:val="en-US"/>
        </w:rPr>
        <w:t>gene. 10 ng of DNA was processed according to the manufacturers' protocol</w:t>
      </w:r>
      <w:r w:rsidR="00C86175">
        <w:rPr>
          <w:rFonts w:asciiTheme="majorHAnsi" w:hAnsiTheme="majorHAnsi" w:cstheme="majorHAnsi"/>
          <w:lang w:val="en-US"/>
        </w:rPr>
        <w:t>.</w:t>
      </w:r>
      <w:r w:rsidRPr="008227C1">
        <w:rPr>
          <w:rFonts w:asciiTheme="majorHAnsi" w:hAnsiTheme="majorHAnsi" w:cstheme="majorHAnsi"/>
          <w:lang w:val="en-US"/>
        </w:rPr>
        <w:t xml:space="preserve"> </w:t>
      </w:r>
      <w:r w:rsidRPr="008227C1">
        <w:rPr>
          <w:rFonts w:asciiTheme="majorHAnsi" w:hAnsiTheme="majorHAnsi" w:cstheme="majorHAnsi"/>
          <w:color w:val="222222"/>
          <w:shd w:val="clear" w:color="auto" w:fill="FFFFFF"/>
          <w:lang w:val="en-GB"/>
        </w:rPr>
        <w:t xml:space="preserve">The DNA libraries were prepared according to manufacturer’s protocols and sequenced on a Next </w:t>
      </w:r>
      <w:proofErr w:type="spellStart"/>
      <w:r w:rsidRPr="008227C1">
        <w:rPr>
          <w:rFonts w:asciiTheme="majorHAnsi" w:hAnsiTheme="majorHAnsi" w:cstheme="majorHAnsi"/>
          <w:color w:val="222222"/>
          <w:shd w:val="clear" w:color="auto" w:fill="FFFFFF"/>
          <w:lang w:val="en-GB"/>
        </w:rPr>
        <w:t>Seq</w:t>
      </w:r>
      <w:proofErr w:type="spellEnd"/>
      <w:r w:rsidRPr="008227C1">
        <w:rPr>
          <w:rFonts w:asciiTheme="majorHAnsi" w:hAnsiTheme="majorHAnsi" w:cstheme="majorHAnsi"/>
          <w:color w:val="222222"/>
          <w:shd w:val="clear" w:color="auto" w:fill="FFFFFF"/>
          <w:lang w:val="en-GB"/>
        </w:rPr>
        <w:t xml:space="preserve"> 550 system (Illumina, USA) in the process of 300 bp paired-end run. The raw data analyses were performed using </w:t>
      </w:r>
      <w:proofErr w:type="spellStart"/>
      <w:r w:rsidRPr="008227C1">
        <w:rPr>
          <w:rFonts w:asciiTheme="majorHAnsi" w:hAnsiTheme="majorHAnsi" w:cstheme="majorHAnsi"/>
          <w:color w:val="222222"/>
          <w:shd w:val="clear" w:color="auto" w:fill="FFFFFF"/>
          <w:lang w:val="en-GB"/>
        </w:rPr>
        <w:t>SureCall</w:t>
      </w:r>
      <w:proofErr w:type="spellEnd"/>
      <w:r w:rsidRPr="008227C1">
        <w:rPr>
          <w:rFonts w:asciiTheme="majorHAnsi" w:hAnsiTheme="majorHAnsi" w:cstheme="majorHAnsi"/>
          <w:color w:val="222222"/>
          <w:shd w:val="clear" w:color="auto" w:fill="FFFFFF"/>
          <w:lang w:val="en-GB"/>
        </w:rPr>
        <w:t> v. 4.1 software and mapped to the GRCh37/hg19 reference sequence.</w:t>
      </w:r>
      <w:r w:rsidR="0005041C">
        <w:rPr>
          <w:rFonts w:asciiTheme="majorHAnsi" w:hAnsiTheme="majorHAnsi" w:cstheme="majorHAnsi"/>
          <w:color w:val="222222"/>
          <w:shd w:val="clear" w:color="auto" w:fill="FFFFFF"/>
          <w:lang w:val="en-GB"/>
        </w:rPr>
        <w:t xml:space="preserve"> The presence of the </w:t>
      </w:r>
      <w:r w:rsidR="0005041C" w:rsidRPr="0005041C">
        <w:rPr>
          <w:rFonts w:asciiTheme="majorHAnsi" w:hAnsiTheme="majorHAnsi" w:cstheme="majorHAnsi"/>
          <w:shd w:val="clear" w:color="auto" w:fill="FCFCFC"/>
          <w:lang w:val="en-US"/>
        </w:rPr>
        <w:t xml:space="preserve">pathogenic nonsense variant within exon 24 of </w:t>
      </w:r>
      <w:r w:rsidR="0005041C" w:rsidRPr="0005041C">
        <w:rPr>
          <w:rFonts w:asciiTheme="majorHAnsi" w:hAnsiTheme="majorHAnsi" w:cstheme="majorHAnsi"/>
          <w:i/>
          <w:iCs/>
          <w:shd w:val="clear" w:color="auto" w:fill="FCFCFC"/>
          <w:lang w:val="en-US"/>
        </w:rPr>
        <w:t>SMARCA4</w:t>
      </w:r>
      <w:r w:rsidR="0005041C" w:rsidRPr="0005041C">
        <w:rPr>
          <w:rFonts w:asciiTheme="majorHAnsi" w:hAnsiTheme="majorHAnsi" w:cstheme="majorHAnsi"/>
          <w:shd w:val="clear" w:color="auto" w:fill="FCFCFC"/>
          <w:lang w:val="en-US"/>
        </w:rPr>
        <w:t xml:space="preserve"> gene [</w:t>
      </w:r>
      <w:hyperlink r:id="rId5" w:history="1">
        <w:r w:rsidR="0005041C" w:rsidRPr="0005041C">
          <w:rPr>
            <w:rFonts w:asciiTheme="majorHAnsi" w:hAnsiTheme="majorHAnsi" w:cstheme="majorHAnsi"/>
            <w:shd w:val="clear" w:color="auto" w:fill="FFFFFF"/>
            <w:lang w:val="en-US" w:eastAsia="pl-PL"/>
          </w:rPr>
          <w:t>(NM_001128849.3):c.3310C&gt;T</w:t>
        </w:r>
      </w:hyperlink>
      <w:r w:rsidR="0005041C" w:rsidRPr="0005041C">
        <w:rPr>
          <w:rFonts w:asciiTheme="majorHAnsi" w:hAnsiTheme="majorHAnsi" w:cstheme="majorHAnsi"/>
          <w:shd w:val="clear" w:color="auto" w:fill="FFFFFF"/>
          <w:lang w:val="en-US" w:eastAsia="pl-PL"/>
        </w:rPr>
        <w:t>,p.Gln1104Ter] was confirmed by Sanger sequencing using the following primers:</w:t>
      </w:r>
      <w:r w:rsidR="0005041C" w:rsidRPr="0005041C">
        <w:rPr>
          <w:rFonts w:asciiTheme="majorHAnsi" w:hAnsiTheme="majorHAnsi" w:cstheme="majorHAnsi"/>
          <w:lang w:val="en-US"/>
        </w:rPr>
        <w:t xml:space="preserve"> </w:t>
      </w:r>
      <w:r w:rsidR="00F8649D" w:rsidRPr="0005041C">
        <w:rPr>
          <w:rFonts w:asciiTheme="majorHAnsi" w:eastAsia="Times New Roman" w:hAnsiTheme="majorHAnsi" w:cstheme="majorHAnsi"/>
          <w:color w:val="000000"/>
          <w:lang w:val="en-US" w:eastAsia="pl-PL"/>
        </w:rPr>
        <w:t>SMARCA4</w:t>
      </w:r>
      <w:r w:rsidR="0005041C" w:rsidRPr="0005041C">
        <w:rPr>
          <w:rFonts w:asciiTheme="majorHAnsi" w:eastAsia="Times New Roman" w:hAnsiTheme="majorHAnsi" w:cstheme="majorHAnsi"/>
          <w:color w:val="000000"/>
          <w:lang w:val="en-US" w:eastAsia="pl-PL"/>
        </w:rPr>
        <w:t xml:space="preserve"> :</w:t>
      </w:r>
      <w:r w:rsidR="00F8649D" w:rsidRPr="0005041C">
        <w:rPr>
          <w:rFonts w:asciiTheme="majorHAnsi" w:eastAsia="Times New Roman" w:hAnsiTheme="majorHAnsi" w:cstheme="majorHAnsi"/>
          <w:color w:val="000000"/>
          <w:lang w:val="en-US" w:eastAsia="pl-PL"/>
        </w:rPr>
        <w:t>F</w:t>
      </w:r>
      <w:r w:rsidR="0005041C" w:rsidRPr="0005041C">
        <w:rPr>
          <w:rFonts w:asciiTheme="majorHAnsi" w:eastAsia="Times New Roman" w:hAnsiTheme="majorHAnsi" w:cstheme="majorHAnsi"/>
          <w:color w:val="000000"/>
          <w:lang w:val="en-US" w:eastAsia="pl-PL"/>
        </w:rPr>
        <w:t>- 5’</w:t>
      </w:r>
      <w:r w:rsidR="00F8649D" w:rsidRPr="0005041C">
        <w:rPr>
          <w:rFonts w:asciiTheme="majorHAnsi" w:eastAsia="Times New Roman" w:hAnsiTheme="majorHAnsi" w:cstheme="majorHAnsi"/>
          <w:color w:val="000000"/>
          <w:lang w:val="en-US" w:eastAsia="pl-PL"/>
        </w:rPr>
        <w:t>CTGGACCTGTACCGAGCCTC </w:t>
      </w:r>
      <w:r w:rsidR="0005041C" w:rsidRPr="0005041C">
        <w:rPr>
          <w:rFonts w:asciiTheme="majorHAnsi" w:eastAsia="Times New Roman" w:hAnsiTheme="majorHAnsi" w:cstheme="majorHAnsi"/>
          <w:color w:val="000000"/>
          <w:lang w:val="en-US" w:eastAsia="pl-PL"/>
        </w:rPr>
        <w:t>- 3’</w:t>
      </w:r>
      <w:r w:rsidR="0005041C" w:rsidRPr="0005041C">
        <w:rPr>
          <w:rFonts w:asciiTheme="majorHAnsi" w:hAnsiTheme="majorHAnsi" w:cstheme="majorHAnsi"/>
          <w:lang w:val="en-US"/>
        </w:rPr>
        <w:t xml:space="preserve"> ; </w:t>
      </w:r>
      <w:r w:rsidR="00F8649D" w:rsidRPr="0005041C">
        <w:rPr>
          <w:rFonts w:asciiTheme="majorHAnsi" w:eastAsia="Times New Roman" w:hAnsiTheme="majorHAnsi" w:cstheme="majorHAnsi"/>
          <w:color w:val="000000"/>
          <w:lang w:val="en-US" w:eastAsia="pl-PL"/>
        </w:rPr>
        <w:t>SMARCA4</w:t>
      </w:r>
      <w:r w:rsidR="0005041C" w:rsidRPr="0005041C">
        <w:rPr>
          <w:rFonts w:asciiTheme="majorHAnsi" w:eastAsia="Times New Roman" w:hAnsiTheme="majorHAnsi" w:cstheme="majorHAnsi"/>
          <w:color w:val="000000"/>
          <w:lang w:val="en-US" w:eastAsia="pl-PL"/>
        </w:rPr>
        <w:t xml:space="preserve"> :</w:t>
      </w:r>
      <w:r w:rsidR="00F8649D" w:rsidRPr="0005041C">
        <w:rPr>
          <w:rFonts w:asciiTheme="majorHAnsi" w:eastAsia="Times New Roman" w:hAnsiTheme="majorHAnsi" w:cstheme="majorHAnsi"/>
          <w:color w:val="000000"/>
          <w:lang w:val="en-US" w:eastAsia="pl-PL"/>
        </w:rPr>
        <w:t>R </w:t>
      </w:r>
      <w:r w:rsidR="0005041C" w:rsidRPr="0005041C">
        <w:rPr>
          <w:rFonts w:asciiTheme="majorHAnsi" w:eastAsia="Times New Roman" w:hAnsiTheme="majorHAnsi" w:cstheme="majorHAnsi"/>
          <w:color w:val="000000"/>
          <w:lang w:val="en-US" w:eastAsia="pl-PL"/>
        </w:rPr>
        <w:t>- 5’ </w:t>
      </w:r>
      <w:r w:rsidR="00F8649D" w:rsidRPr="0005041C">
        <w:rPr>
          <w:rFonts w:asciiTheme="majorHAnsi" w:eastAsia="Times New Roman" w:hAnsiTheme="majorHAnsi" w:cstheme="majorHAnsi"/>
          <w:color w:val="000000"/>
          <w:lang w:val="en-US" w:eastAsia="pl-PL"/>
        </w:rPr>
        <w:t>GTGCCGAGTGCCCAAGATG</w:t>
      </w:r>
      <w:r w:rsidR="0005041C" w:rsidRPr="0005041C">
        <w:rPr>
          <w:rFonts w:asciiTheme="majorHAnsi" w:eastAsia="Times New Roman" w:hAnsiTheme="majorHAnsi" w:cstheme="majorHAnsi"/>
          <w:color w:val="000000"/>
          <w:lang w:val="en-US" w:eastAsia="pl-PL"/>
        </w:rPr>
        <w:t xml:space="preserve"> - 3’.</w:t>
      </w:r>
    </w:p>
    <w:p w14:paraId="648488B7" w14:textId="77777777" w:rsidR="00431603" w:rsidRDefault="00431603">
      <w:pPr>
        <w:rPr>
          <w:rFonts w:ascii="Arial" w:hAnsi="Arial" w:cs="Arial"/>
          <w:color w:val="333333"/>
          <w:sz w:val="21"/>
          <w:szCs w:val="21"/>
          <w:shd w:val="clear" w:color="auto" w:fill="FFFFFF"/>
          <w:lang w:val="en-US"/>
        </w:rPr>
      </w:pPr>
    </w:p>
    <w:p w14:paraId="3238D312" w14:textId="77777777" w:rsidR="00431603" w:rsidRDefault="00431603">
      <w:pPr>
        <w:rPr>
          <w:rFonts w:ascii="Arial" w:hAnsi="Arial" w:cs="Arial"/>
          <w:color w:val="333333"/>
          <w:sz w:val="21"/>
          <w:szCs w:val="21"/>
          <w:shd w:val="clear" w:color="auto" w:fill="FFFFFF"/>
          <w:lang w:val="en-US"/>
        </w:rPr>
      </w:pPr>
    </w:p>
    <w:p w14:paraId="0C7552DB" w14:textId="77777777" w:rsidR="00431603" w:rsidRDefault="00431603">
      <w:pPr>
        <w:rPr>
          <w:rFonts w:ascii="Arial" w:hAnsi="Arial" w:cs="Arial"/>
          <w:color w:val="333333"/>
          <w:sz w:val="21"/>
          <w:szCs w:val="21"/>
          <w:shd w:val="clear" w:color="auto" w:fill="FFFFFF"/>
          <w:lang w:val="en-US"/>
        </w:rPr>
      </w:pPr>
    </w:p>
    <w:p w14:paraId="5055F9EE" w14:textId="77777777" w:rsidR="00431603" w:rsidRDefault="00431603">
      <w:pPr>
        <w:rPr>
          <w:rFonts w:ascii="Arial" w:hAnsi="Arial" w:cs="Arial"/>
          <w:color w:val="333333"/>
          <w:sz w:val="21"/>
          <w:szCs w:val="21"/>
          <w:shd w:val="clear" w:color="auto" w:fill="FFFFFF"/>
          <w:lang w:val="en-US"/>
        </w:rPr>
      </w:pPr>
    </w:p>
    <w:p w14:paraId="358AC30C" w14:textId="77777777" w:rsidR="00431603" w:rsidRDefault="00431603" w:rsidP="00431603">
      <w:pPr>
        <w:spacing w:after="0"/>
        <w:rPr>
          <w:rFonts w:ascii="Arial" w:hAnsi="Arial" w:cs="Arial"/>
          <w:shd w:val="clear" w:color="auto" w:fill="FFFFFF"/>
          <w:lang w:val="en-US"/>
        </w:rPr>
      </w:pPr>
      <w:r w:rsidRPr="00431603">
        <w:rPr>
          <w:rFonts w:asciiTheme="majorHAnsi" w:hAnsiTheme="majorHAnsi" w:cstheme="majorHAnsi"/>
          <w:b/>
          <w:bCs/>
          <w:shd w:val="clear" w:color="auto" w:fill="FFFFFF"/>
          <w:lang w:val="en-US"/>
        </w:rPr>
        <w:t>Supplementary Figure 1</w:t>
      </w:r>
      <w:r w:rsidRPr="00431603">
        <w:rPr>
          <w:rFonts w:ascii="Arial" w:hAnsi="Arial" w:cs="Arial"/>
          <w:shd w:val="clear" w:color="auto" w:fill="FFFFFF"/>
          <w:lang w:val="en-US"/>
        </w:rPr>
        <w:t xml:space="preserve"> </w:t>
      </w:r>
    </w:p>
    <w:p w14:paraId="12CCF808" w14:textId="77777777" w:rsidR="00431603" w:rsidRDefault="00431603" w:rsidP="00431603">
      <w:pPr>
        <w:spacing w:after="0"/>
        <w:rPr>
          <w:rFonts w:ascii="Arial" w:hAnsi="Arial" w:cs="Arial"/>
          <w:shd w:val="clear" w:color="auto" w:fill="FFFFFF"/>
          <w:lang w:val="en-US"/>
        </w:rPr>
      </w:pPr>
    </w:p>
    <w:p w14:paraId="12719587" w14:textId="51F9F213" w:rsidR="008F2098" w:rsidRDefault="00431603" w:rsidP="00431603">
      <w:pPr>
        <w:spacing w:after="0"/>
        <w:jc w:val="both"/>
        <w:rPr>
          <w:rFonts w:ascii="Arial" w:hAnsi="Arial" w:cs="Arial"/>
          <w:color w:val="333333"/>
          <w:sz w:val="21"/>
          <w:szCs w:val="21"/>
          <w:shd w:val="clear" w:color="auto" w:fill="FFFFFF"/>
          <w:lang w:val="en-US"/>
        </w:rPr>
      </w:pPr>
      <w:r w:rsidRPr="00431603">
        <w:rPr>
          <w:rFonts w:asciiTheme="majorHAnsi" w:hAnsiTheme="majorHAnsi" w:cstheme="majorHAnsi"/>
          <w:shd w:val="clear" w:color="auto" w:fill="FFFFFF"/>
          <w:lang w:val="en-US"/>
        </w:rPr>
        <w:t>The structure of the SMARCA4 protein (UniProt, SMCA4_HUMAN) overlaid with the alterations </w:t>
      </w:r>
      <w:r w:rsidR="00807AF9">
        <w:rPr>
          <w:rFonts w:asciiTheme="majorHAnsi" w:hAnsiTheme="majorHAnsi" w:cstheme="majorHAnsi"/>
          <w:shd w:val="clear" w:color="auto" w:fill="FFFFFF"/>
          <w:lang w:val="en-US"/>
        </w:rPr>
        <w:t>identifi</w:t>
      </w:r>
      <w:r w:rsidRPr="00431603">
        <w:rPr>
          <w:rFonts w:asciiTheme="majorHAnsi" w:hAnsiTheme="majorHAnsi" w:cstheme="majorHAnsi"/>
          <w:shd w:val="clear" w:color="auto" w:fill="FFFFFF"/>
          <w:lang w:val="en-US"/>
        </w:rPr>
        <w:t>ed in 1</w:t>
      </w:r>
      <w:r w:rsidR="00807AF9">
        <w:rPr>
          <w:rFonts w:asciiTheme="majorHAnsi" w:hAnsiTheme="majorHAnsi" w:cstheme="majorHAnsi"/>
          <w:shd w:val="clear" w:color="auto" w:fill="FFFFFF"/>
          <w:lang w:val="en-US"/>
        </w:rPr>
        <w:t>3</w:t>
      </w:r>
      <w:r w:rsidRPr="00431603">
        <w:rPr>
          <w:rFonts w:asciiTheme="majorHAnsi" w:hAnsiTheme="majorHAnsi" w:cstheme="majorHAnsi"/>
          <w:shd w:val="clear" w:color="auto" w:fill="FFFFFF"/>
          <w:lang w:val="en-US"/>
        </w:rPr>
        <w:t> SCCOHT pediatric cases </w:t>
      </w:r>
      <w:r w:rsidR="00E8148D" w:rsidRPr="00431603">
        <w:rPr>
          <w:rFonts w:asciiTheme="majorHAnsi" w:hAnsiTheme="majorHAnsi" w:cstheme="majorHAnsi"/>
          <w:shd w:val="clear" w:color="auto" w:fill="FFFFFF"/>
          <w:lang w:val="en-US"/>
        </w:rPr>
        <w:t xml:space="preserve"> </w:t>
      </w:r>
      <w:r w:rsidRPr="00431603">
        <w:rPr>
          <w:rFonts w:asciiTheme="majorHAnsi" w:hAnsiTheme="majorHAnsi" w:cstheme="majorHAnsi"/>
          <w:shd w:val="clear" w:color="auto" w:fill="FFFFFF"/>
          <w:lang w:val="en-US"/>
        </w:rPr>
        <w:t xml:space="preserve">(case numbers in parentheses). </w:t>
      </w:r>
      <w:r w:rsidRPr="00431603">
        <w:rPr>
          <w:rFonts w:asciiTheme="majorHAnsi" w:hAnsiTheme="majorHAnsi" w:cstheme="majorHAnsi"/>
          <w:lang w:val="en-US"/>
        </w:rPr>
        <w:t xml:space="preserve">SNF2_N, SNF2 family N-terminal domain; </w:t>
      </w:r>
      <w:proofErr w:type="spellStart"/>
      <w:r w:rsidRPr="00431603">
        <w:rPr>
          <w:rFonts w:asciiTheme="majorHAnsi" w:hAnsiTheme="majorHAnsi" w:cstheme="majorHAnsi"/>
          <w:lang w:val="en-US"/>
        </w:rPr>
        <w:t>helicase_C</w:t>
      </w:r>
      <w:proofErr w:type="spellEnd"/>
      <w:r w:rsidRPr="00431603">
        <w:rPr>
          <w:rFonts w:asciiTheme="majorHAnsi" w:hAnsiTheme="majorHAnsi" w:cstheme="majorHAnsi"/>
          <w:lang w:val="en-US"/>
        </w:rPr>
        <w:t xml:space="preserve">, helicase-conserved C-terminal domain; </w:t>
      </w:r>
      <w:proofErr w:type="spellStart"/>
      <w:r w:rsidRPr="00431603">
        <w:rPr>
          <w:rFonts w:asciiTheme="majorHAnsi" w:hAnsiTheme="majorHAnsi" w:cstheme="majorHAnsi"/>
          <w:lang w:val="en-US"/>
        </w:rPr>
        <w:t>SnAC</w:t>
      </w:r>
      <w:proofErr w:type="spellEnd"/>
      <w:r w:rsidRPr="00431603">
        <w:rPr>
          <w:rFonts w:asciiTheme="majorHAnsi" w:hAnsiTheme="majorHAnsi" w:cstheme="majorHAnsi"/>
          <w:lang w:val="en-US"/>
        </w:rPr>
        <w:t xml:space="preserve">, Snf2-ATP coupling, chromatin- remodeling complex; bromo, bromodomain. Genomic coordinates for splice-site mutations can be found in Table 1. </w:t>
      </w:r>
      <w:r w:rsidRPr="00431603">
        <w:rPr>
          <w:rFonts w:asciiTheme="majorHAnsi" w:hAnsiTheme="majorHAnsi" w:cstheme="majorHAnsi"/>
          <w:color w:val="333333"/>
          <w:shd w:val="clear" w:color="auto" w:fill="FFFFFF"/>
          <w:lang w:val="en-US"/>
        </w:rPr>
        <w:t>Numbers across the bottom</w:t>
      </w:r>
      <w:r>
        <w:rPr>
          <w:rFonts w:asciiTheme="majorHAnsi" w:hAnsiTheme="majorHAnsi" w:cstheme="majorHAnsi"/>
          <w:color w:val="333333"/>
          <w:shd w:val="clear" w:color="auto" w:fill="FFFFFF"/>
          <w:lang w:val="en-US"/>
        </w:rPr>
        <w:t xml:space="preserve"> </w:t>
      </w:r>
      <w:r w:rsidRPr="00431603">
        <w:rPr>
          <w:rFonts w:asciiTheme="majorHAnsi" w:hAnsiTheme="majorHAnsi" w:cstheme="majorHAnsi"/>
          <w:color w:val="333333"/>
          <w:shd w:val="clear" w:color="auto" w:fill="FFFFFF"/>
          <w:lang w:val="en-US"/>
        </w:rPr>
        <w:t>of the schematic represent amino acids.</w:t>
      </w:r>
      <w:r w:rsidRPr="00431603">
        <w:rPr>
          <w:rFonts w:ascii="Arial" w:hAnsi="Arial" w:cs="Arial"/>
          <w:color w:val="333333"/>
          <w:sz w:val="21"/>
          <w:szCs w:val="21"/>
          <w:shd w:val="clear" w:color="auto" w:fill="FFFFFF"/>
          <w:lang w:val="en-US"/>
        </w:rPr>
        <w:t> </w:t>
      </w:r>
    </w:p>
    <w:p w14:paraId="364F1B7F" w14:textId="13DEABF5" w:rsidR="00B643F2" w:rsidRDefault="00B643F2" w:rsidP="00431603">
      <w:pPr>
        <w:spacing w:after="0"/>
        <w:jc w:val="both"/>
        <w:rPr>
          <w:rFonts w:ascii="Arial" w:hAnsi="Arial" w:cs="Arial"/>
          <w:color w:val="333333"/>
          <w:sz w:val="21"/>
          <w:szCs w:val="21"/>
          <w:shd w:val="clear" w:color="auto" w:fill="FFFFFF"/>
          <w:lang w:val="en-US"/>
        </w:rPr>
      </w:pPr>
    </w:p>
    <w:p w14:paraId="6077A128" w14:textId="22B48D34" w:rsidR="00B643F2" w:rsidRPr="00807AF9" w:rsidRDefault="00B643F2" w:rsidP="00431603">
      <w:pPr>
        <w:spacing w:after="0"/>
        <w:jc w:val="both"/>
        <w:rPr>
          <w:rFonts w:ascii="Arial" w:hAnsi="Arial" w:cs="Arial"/>
          <w:color w:val="333333"/>
          <w:sz w:val="21"/>
          <w:szCs w:val="21"/>
          <w:shd w:val="clear" w:color="auto" w:fill="FFFFFF"/>
          <w:lang w:val="en-US"/>
        </w:rPr>
      </w:pPr>
    </w:p>
    <w:p w14:paraId="6CDF02E5" w14:textId="19658531" w:rsidR="00B643F2" w:rsidRDefault="00807AF9" w:rsidP="00431603">
      <w:pPr>
        <w:spacing w:after="0"/>
        <w:jc w:val="both"/>
        <w:rPr>
          <w:rFonts w:ascii="Arial" w:hAnsi="Arial" w:cs="Arial"/>
          <w:color w:val="333333"/>
          <w:sz w:val="21"/>
          <w:szCs w:val="21"/>
          <w:shd w:val="clear" w:color="auto" w:fill="FFFFFF"/>
          <w:lang w:val="en-US"/>
        </w:rPr>
      </w:pPr>
      <w:r>
        <w:rPr>
          <w:noProof/>
        </w:rPr>
        <w:drawing>
          <wp:inline distT="0" distB="0" distL="0" distR="0" wp14:anchorId="66B377D9" wp14:editId="7B6EB44D">
            <wp:extent cx="5760720" cy="1976830"/>
            <wp:effectExtent l="0" t="0" r="0"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976830"/>
                    </a:xfrm>
                    <a:prstGeom prst="rect">
                      <a:avLst/>
                    </a:prstGeom>
                    <a:noFill/>
                    <a:ln>
                      <a:noFill/>
                    </a:ln>
                  </pic:spPr>
                </pic:pic>
              </a:graphicData>
            </a:graphic>
          </wp:inline>
        </w:drawing>
      </w:r>
    </w:p>
    <w:p w14:paraId="1DA5E1B9" w14:textId="2098101F" w:rsidR="00B643F2" w:rsidRPr="00431603" w:rsidRDefault="00B643F2" w:rsidP="00807AF9">
      <w:pPr>
        <w:spacing w:after="0"/>
        <w:jc w:val="center"/>
        <w:rPr>
          <w:rFonts w:asciiTheme="majorHAnsi" w:hAnsiTheme="majorHAnsi" w:cstheme="majorHAnsi"/>
          <w:shd w:val="clear" w:color="auto" w:fill="FFFFFF"/>
          <w:lang w:val="en-US"/>
        </w:rPr>
      </w:pPr>
    </w:p>
    <w:sectPr w:rsidR="00B643F2" w:rsidRPr="00431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FEF"/>
    <w:rsid w:val="0005041C"/>
    <w:rsid w:val="00431603"/>
    <w:rsid w:val="005376FD"/>
    <w:rsid w:val="00807AF9"/>
    <w:rsid w:val="00A16FEF"/>
    <w:rsid w:val="00B643F2"/>
    <w:rsid w:val="00BA412A"/>
    <w:rsid w:val="00C86175"/>
    <w:rsid w:val="00CE0821"/>
    <w:rsid w:val="00E8148D"/>
    <w:rsid w:val="00F86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23B44"/>
  <w15:chartTrackingRefBased/>
  <w15:docId w15:val="{4A7E82F0-8626-4395-A24B-F96FEBC9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6FE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16F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1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hyperlink" Target="https://varsome.com/variant/hg19/SMARCA4(NM_001128849.3):c.3310C%3ET" TargetMode="External"/><Relationship Id="rId4" Type="http://schemas.openxmlformats.org/officeDocument/2006/relationships/hyperlink" Target="http://www.ensembl.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3296</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Pastorczak</dc:creator>
  <cp:keywords/>
  <dc:description/>
  <cp:lastModifiedBy>Agata Pastorczak</cp:lastModifiedBy>
  <cp:revision>2</cp:revision>
  <dcterms:created xsi:type="dcterms:W3CDTF">2021-03-26T08:54:00Z</dcterms:created>
  <dcterms:modified xsi:type="dcterms:W3CDTF">2021-03-26T08:54:00Z</dcterms:modified>
</cp:coreProperties>
</file>