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2"/>
          <w:shd w:fill="auto" w:val="clear"/>
        </w:rPr>
      </w:pPr>
    </w:p>
    <w:p>
      <w:pPr>
        <w:spacing w:before="0" w:after="16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2"/>
          <w:shd w:fill="auto" w:val="clear"/>
        </w:rPr>
      </w:pPr>
    </w:p>
    <w:p>
      <w:pPr>
        <w:spacing w:before="0" w:after="160" w:line="259"/>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Internet Appendix</w:t>
      </w:r>
    </w:p>
    <w:p>
      <w:pPr>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for</w:t>
      </w:r>
    </w:p>
    <w:p>
      <w:pPr>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The EU Taxonomy and the Syndicated Loan Market</w:t>
      </w:r>
    </w:p>
    <w:p>
      <w:pPr>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r>
        <w:object w:dxaOrig="5725" w:dyaOrig="4164">
          <v:rect xmlns:o="urn:schemas-microsoft-com:office:office" xmlns:v="urn:schemas-microsoft-com:vml" id="rectole0000000000" style="width:286.250000pt;height:208.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IA Fig 1 </w:t>
      </w:r>
      <w:r>
        <w:rPr>
          <w:rFonts w:ascii="Times New Roman" w:hAnsi="Times New Roman" w:cs="Times New Roman" w:eastAsia="Times New Roman"/>
          <w:color w:val="auto"/>
          <w:spacing w:val="0"/>
          <w:position w:val="0"/>
          <w:sz w:val="22"/>
          <w:shd w:fill="auto" w:val="clear"/>
        </w:rPr>
        <w:t xml:space="preserve">Effect of a carbon tax on corporate transitional revenue. </w:t>
      </w:r>
      <w:r>
        <w:rPr>
          <w:rFonts w:ascii="Times New Roman" w:hAnsi="Times New Roman" w:cs="Times New Roman" w:eastAsia="Times New Roman"/>
          <w:i/>
          <w:color w:val="auto"/>
          <w:spacing w:val="0"/>
          <w:position w:val="0"/>
          <w:sz w:val="22"/>
          <w:shd w:fill="auto" w:val="clear"/>
        </w:rPr>
        <w:t xml:space="preserve">Note</w:t>
      </w:r>
      <w:r>
        <w:rPr>
          <w:rFonts w:ascii="Times New Roman" w:hAnsi="Times New Roman" w:cs="Times New Roman" w:eastAsia="Times New Roman"/>
          <w:color w:val="auto"/>
          <w:spacing w:val="0"/>
          <w:position w:val="0"/>
          <w:sz w:val="22"/>
          <w:shd w:fill="auto" w:val="clear"/>
        </w:rPr>
        <w:t xml:space="preserve">: This figure presents the effect of a carbon tax on corporate transitional revenue between treatment and control firms in the five-year window from five years before to five years after the adoption of carbon tax. The treated group includes firms in a country that imposed a carbon tax during our sample period, while the control group includes firms located in countries that did not impose a carbon tax but located in the same geographic region as the carbon tax adopting country. The red-solid line shows the change of the means of treated group’s transitional revenue scaled by total revenue (</w:t>
      </w:r>
      <w:r>
        <w:rPr>
          <w:rFonts w:ascii="Times New Roman" w:hAnsi="Times New Roman" w:cs="Times New Roman" w:eastAsia="Times New Roman"/>
          <w:i/>
          <w:color w:val="auto"/>
          <w:spacing w:val="0"/>
          <w:position w:val="0"/>
          <w:sz w:val="22"/>
          <w:shd w:fill="auto" w:val="clear"/>
        </w:rPr>
        <w:t xml:space="preserve">Transitional Rev</w:t>
      </w:r>
      <w:r>
        <w:rPr>
          <w:rFonts w:ascii="Times New Roman" w:hAnsi="Times New Roman" w:cs="Times New Roman" w:eastAsia="Times New Roman"/>
          <w:color w:val="auto"/>
          <w:spacing w:val="0"/>
          <w:position w:val="0"/>
          <w:sz w:val="22"/>
          <w:shd w:fill="auto" w:val="clear"/>
        </w:rPr>
        <w:t xml:space="preserve">) while the blue-solid line shows the change of the means of control group’s transitional revenue over total revenue. The dash line indicates the counterfactual level of transitional revenue in the absence of the carbon tax program in the treated countries. The X-axis shows the number of years pre and post the introduction of carbon tax. Time 0 indicates the first year in which the carbon tax was introduced in the treated countries.</w:t>
      </w: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IA Table 1 </w:t>
      </w:r>
      <w:r>
        <w:rPr>
          <w:rFonts w:ascii="Times New Roman" w:hAnsi="Times New Roman" w:cs="Times New Roman" w:eastAsia="Times New Roman"/>
          <w:color w:val="auto"/>
          <w:spacing w:val="0"/>
          <w:position w:val="0"/>
          <w:sz w:val="22"/>
          <w:shd w:fill="auto" w:val="clear"/>
        </w:rPr>
        <w:t xml:space="preserve">Country distribution. </w:t>
      </w:r>
      <w:r>
        <w:rPr>
          <w:rFonts w:ascii="Times New Roman" w:hAnsi="Times New Roman" w:cs="Times New Roman" w:eastAsia="Times New Roman"/>
          <w:i/>
          <w:color w:val="auto"/>
          <w:spacing w:val="0"/>
          <w:position w:val="0"/>
          <w:sz w:val="22"/>
          <w:shd w:fill="auto" w:val="clear"/>
        </w:rPr>
        <w:t xml:space="preserve">Note</w:t>
      </w:r>
      <w:r>
        <w:rPr>
          <w:rFonts w:ascii="Times New Roman" w:hAnsi="Times New Roman" w:cs="Times New Roman" w:eastAsia="Times New Roman"/>
          <w:color w:val="auto"/>
          <w:spacing w:val="0"/>
          <w:position w:val="0"/>
          <w:sz w:val="22"/>
          <w:shd w:fill="auto" w:val="clear"/>
        </w:rPr>
        <w:t xml:space="preserve">: This table reports summary statistics (mean values) of </w:t>
      </w:r>
      <w:r>
        <w:rPr>
          <w:rFonts w:ascii="Times New Roman" w:hAnsi="Times New Roman" w:cs="Times New Roman" w:eastAsia="Times New Roman"/>
          <w:i/>
          <w:color w:val="auto"/>
          <w:spacing w:val="0"/>
          <w:position w:val="0"/>
          <w:sz w:val="22"/>
          <w:shd w:fill="auto" w:val="clear"/>
        </w:rPr>
        <w:t xml:space="preserve">Loan Spread</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i/>
          <w:color w:val="auto"/>
          <w:spacing w:val="0"/>
          <w:position w:val="0"/>
          <w:sz w:val="22"/>
          <w:shd w:fill="auto" w:val="clear"/>
        </w:rPr>
        <w:t xml:space="preserve">Transitional Rev</w:t>
      </w:r>
      <w:r>
        <w:rPr>
          <w:rFonts w:ascii="Times New Roman" w:hAnsi="Times New Roman" w:cs="Times New Roman" w:eastAsia="Times New Roman"/>
          <w:color w:val="auto"/>
          <w:spacing w:val="0"/>
          <w:position w:val="0"/>
          <w:sz w:val="22"/>
          <w:shd w:fill="auto" w:val="clear"/>
        </w:rPr>
        <w:t xml:space="preserve"> and </w:t>
      </w:r>
      <w:r>
        <w:rPr>
          <w:rFonts w:ascii="Times New Roman" w:hAnsi="Times New Roman" w:cs="Times New Roman" w:eastAsia="Times New Roman"/>
          <w:i/>
          <w:color w:val="auto"/>
          <w:spacing w:val="0"/>
          <w:position w:val="0"/>
          <w:sz w:val="22"/>
          <w:shd w:fill="auto" w:val="clear"/>
        </w:rPr>
        <w:t xml:space="preserve">Enabling Rev</w:t>
      </w:r>
      <w:r>
        <w:rPr>
          <w:rFonts w:ascii="Times New Roman" w:hAnsi="Times New Roman" w:cs="Times New Roman" w:eastAsia="Times New Roman"/>
          <w:color w:val="auto"/>
          <w:spacing w:val="0"/>
          <w:position w:val="0"/>
          <w:sz w:val="22"/>
          <w:shd w:fill="auto" w:val="clear"/>
        </w:rPr>
        <w:t xml:space="preserve"> across countries. Statistics are calculated from data at the loan-facility level. Variable definitions are reported in Appendix 1. </w:t>
      </w:r>
    </w:p>
    <w:tbl>
      <w:tblPr/>
      <w:tblGrid>
        <w:gridCol w:w="2661"/>
        <w:gridCol w:w="1103"/>
        <w:gridCol w:w="1659"/>
        <w:gridCol w:w="1230"/>
        <w:gridCol w:w="1357"/>
      </w:tblGrid>
      <w:tr>
        <w:trPr>
          <w:trHeight w:val="57" w:hRule="auto"/>
          <w:jc w:val="center"/>
        </w:trPr>
        <w:tc>
          <w:tcPr>
            <w:tcW w:w="2661"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Country/region</w:t>
            </w:r>
          </w:p>
        </w:tc>
        <w:tc>
          <w:tcPr>
            <w:tcW w:w="1103"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 </w:t>
            </w:r>
            <w:r>
              <w:rPr>
                <w:rFonts w:ascii="Times New Roman" w:hAnsi="Times New Roman" w:cs="Times New Roman" w:eastAsia="Times New Roman"/>
                <w:color w:val="000000"/>
                <w:spacing w:val="0"/>
                <w:position w:val="0"/>
                <w:sz w:val="20"/>
                <w:shd w:fill="auto" w:val="clear"/>
              </w:rPr>
              <w:t xml:space="preserve">Obs.</w:t>
            </w:r>
          </w:p>
        </w:tc>
        <w:tc>
          <w:tcPr>
            <w:tcW w:w="1659"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Times New Roman" w:hAnsi="Times New Roman" w:cs="Times New Roman" w:eastAsia="Times New Roman"/>
                <w:i/>
                <w:color w:val="000000"/>
                <w:spacing w:val="0"/>
                <w:position w:val="0"/>
                <w:sz w:val="20"/>
                <w:shd w:fill="auto" w:val="clear"/>
              </w:rPr>
            </w:pPr>
            <w:r>
              <w:rPr>
                <w:rFonts w:ascii="Times New Roman" w:hAnsi="Times New Roman" w:cs="Times New Roman" w:eastAsia="Times New Roman"/>
                <w:i/>
                <w:color w:val="000000"/>
                <w:spacing w:val="0"/>
                <w:position w:val="0"/>
                <w:sz w:val="20"/>
                <w:shd w:fill="auto" w:val="clear"/>
              </w:rPr>
              <w:t xml:space="preserve">Loan </w:t>
            </w:r>
          </w:p>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Spread</w:t>
            </w:r>
            <w:r>
              <w:rPr>
                <w:rFonts w:ascii="Times New Roman" w:hAnsi="Times New Roman" w:cs="Times New Roman" w:eastAsia="Times New Roman"/>
                <w:i/>
                <w:color w:val="auto"/>
                <w:spacing w:val="0"/>
                <w:position w:val="0"/>
                <w:sz w:val="20"/>
                <w:shd w:fill="auto" w:val="clear"/>
                <w:vertAlign w:val="subscript"/>
              </w:rPr>
              <w:t xml:space="preserve">i,j,c,t</w:t>
            </w:r>
          </w:p>
        </w:tc>
        <w:tc>
          <w:tcPr>
            <w:tcW w:w="1230"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Transitional Rev</w:t>
            </w:r>
            <w:r>
              <w:rPr>
                <w:rFonts w:ascii="Times New Roman" w:hAnsi="Times New Roman" w:cs="Times New Roman" w:eastAsia="Times New Roman"/>
                <w:i/>
                <w:color w:val="auto"/>
                <w:spacing w:val="0"/>
                <w:position w:val="0"/>
                <w:sz w:val="20"/>
                <w:shd w:fill="auto" w:val="clear"/>
                <w:vertAlign w:val="subscript"/>
              </w:rPr>
              <w:t xml:space="preserve">j,c,t-1</w:t>
            </w:r>
          </w:p>
        </w:tc>
        <w:tc>
          <w:tcPr>
            <w:tcW w:w="1357"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Enabling Rev</w:t>
            </w:r>
            <w:r>
              <w:rPr>
                <w:rFonts w:ascii="Times New Roman" w:hAnsi="Times New Roman" w:cs="Times New Roman" w:eastAsia="Times New Roman"/>
                <w:i/>
                <w:color w:val="auto"/>
                <w:spacing w:val="0"/>
                <w:position w:val="0"/>
                <w:sz w:val="20"/>
                <w:shd w:fill="auto" w:val="clear"/>
                <w:vertAlign w:val="subscript"/>
              </w:rPr>
              <w:t xml:space="preserve">j,c,t-1</w:t>
            </w:r>
          </w:p>
        </w:tc>
      </w:tr>
      <w:tr>
        <w:trPr>
          <w:trHeight w:val="57" w:hRule="auto"/>
          <w:jc w:val="center"/>
        </w:trPr>
        <w:tc>
          <w:tcPr>
            <w:tcW w:w="2661"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Australia</w:t>
            </w:r>
          </w:p>
        </w:tc>
        <w:tc>
          <w:tcPr>
            <w:tcW w:w="1103"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523</w:t>
            </w:r>
          </w:p>
        </w:tc>
        <w:tc>
          <w:tcPr>
            <w:tcW w:w="1659"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155.9</w:t>
            </w:r>
          </w:p>
        </w:tc>
        <w:tc>
          <w:tcPr>
            <w:tcW w:w="1230"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0.245</w:t>
            </w:r>
          </w:p>
        </w:tc>
        <w:tc>
          <w:tcPr>
            <w:tcW w:w="1357"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0.098</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Belgium</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42</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213.4</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0.091</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0.482</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Bermuda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34</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173.5</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0.029</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0.384</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Brazil</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85</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118.1</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0.321</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0.023</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Canada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412</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176.1</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0.280</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0.090</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Chile</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111.3</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0.203</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0.135</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China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138</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242.8</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0.471</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0.049</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Denmark</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168.3</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0.000</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0.333</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Finland</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160.8</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0.244</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0.138</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France</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382</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142.2</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0.230</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0.183</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Germany</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346</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138.3</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0.212</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0.254</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Hong Kong</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368</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140.0</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0.424</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0.056</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India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349</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139.2</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0.212</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0.117</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Indonesia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65</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245.3</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0.106</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0.307</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Ireland</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115</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153.7</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0.000</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0.096</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Italy</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108</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141.7</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0.153</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0.245</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Japan</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299</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84.1</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0.478</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0.099</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South Korea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307</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134.8</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0.316</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0.246</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Luxembourg</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56</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138.9</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0.640</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0.107</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Malaysia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47</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144.1</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0.179</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0.139</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Mexico</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74</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189.2</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0.318</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0.173</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Netherlands</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122</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180.6</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0.266</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0.035</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Norway</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38</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174.4</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0.193</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0.263</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Philippines</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39</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162.3</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0.222</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0.114</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Poland</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28</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150.2</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0.142</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0.357</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Russian Federation</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113</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220.6</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0.419</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0.039</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Singapore</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95</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142.7</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0.432</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0.020</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South Africa</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91</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175.2</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0.165</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0.025</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Spain</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266</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187.0</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0.442</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0.262</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Sweden</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55</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102.2</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0.098</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0.156</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Switzerland</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118</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143.1</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0.095</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0.101</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Taiwan</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818</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92.4</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0.310</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0.189</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Turkey</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350</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117.9</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0.003</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0.084</w:t>
            </w:r>
          </w:p>
        </w:tc>
      </w:tr>
      <w:tr>
        <w:trPr>
          <w:trHeight w:val="57" w:hRule="auto"/>
          <w:jc w:val="center"/>
        </w:trPr>
        <w:tc>
          <w:tcPr>
            <w:tcW w:w="26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United Kingdom</w:t>
            </w:r>
          </w:p>
        </w:tc>
        <w:tc>
          <w:tcPr>
            <w:tcW w:w="1103"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953</w:t>
            </w:r>
          </w:p>
        </w:tc>
        <w:tc>
          <w:tcPr>
            <w:tcW w:w="165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209.8</w:t>
            </w:r>
          </w:p>
        </w:tc>
        <w:tc>
          <w:tcPr>
            <w:tcW w:w="12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0.202</w:t>
            </w:r>
          </w:p>
        </w:tc>
        <w:tc>
          <w:tcPr>
            <w:tcW w:w="135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0.053</w:t>
            </w:r>
          </w:p>
        </w:tc>
      </w:tr>
      <w:tr>
        <w:trPr>
          <w:trHeight w:val="57" w:hRule="auto"/>
          <w:jc w:val="center"/>
        </w:trPr>
        <w:tc>
          <w:tcPr>
            <w:tcW w:w="2661"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United States</w:t>
            </w:r>
          </w:p>
        </w:tc>
        <w:tc>
          <w:tcPr>
            <w:tcW w:w="1103"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7,508</w:t>
            </w:r>
          </w:p>
        </w:tc>
        <w:tc>
          <w:tcPr>
            <w:tcW w:w="1659"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165.6</w:t>
            </w:r>
          </w:p>
        </w:tc>
        <w:tc>
          <w:tcPr>
            <w:tcW w:w="1230"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0.194</w:t>
            </w:r>
          </w:p>
        </w:tc>
        <w:tc>
          <w:tcPr>
            <w:tcW w:w="1357"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0.143</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IA Table 2 </w:t>
      </w:r>
      <w:r>
        <w:rPr>
          <w:rFonts w:ascii="Times New Roman" w:hAnsi="Times New Roman" w:cs="Times New Roman" w:eastAsia="Times New Roman"/>
          <w:color w:val="auto"/>
          <w:spacing w:val="0"/>
          <w:position w:val="0"/>
          <w:sz w:val="22"/>
          <w:shd w:fill="auto" w:val="clear"/>
        </w:rPr>
        <w:t xml:space="preserve">Carbon tax adopting countries. </w:t>
      </w:r>
      <w:r>
        <w:rPr>
          <w:rFonts w:ascii="Times New Roman" w:hAnsi="Times New Roman" w:cs="Times New Roman" w:eastAsia="Times New Roman"/>
          <w:i/>
          <w:color w:val="auto"/>
          <w:spacing w:val="0"/>
          <w:position w:val="0"/>
          <w:sz w:val="22"/>
          <w:shd w:fill="auto" w:val="clear"/>
        </w:rPr>
        <w:t xml:space="preserve">Note</w:t>
      </w:r>
      <w:r>
        <w:rPr>
          <w:rFonts w:ascii="Times New Roman" w:hAnsi="Times New Roman" w:cs="Times New Roman" w:eastAsia="Times New Roman"/>
          <w:color w:val="auto"/>
          <w:spacing w:val="0"/>
          <w:position w:val="0"/>
          <w:sz w:val="22"/>
          <w:shd w:fill="auto" w:val="clear"/>
        </w:rPr>
        <w:t xml:space="preserve">: The table outlines the list of countries in our sample that adopted a carbon tax before or during our sample period from 2005 to 2018. We also report the adoption year and geographic region. We include Australia in the Asia region for the analysis. </w:t>
      </w:r>
    </w:p>
    <w:tbl>
      <w:tblPr/>
      <w:tblGrid>
        <w:gridCol w:w="2382"/>
        <w:gridCol w:w="1749"/>
        <w:gridCol w:w="1749"/>
      </w:tblGrid>
      <w:tr>
        <w:trPr>
          <w:trHeight w:val="57" w:hRule="auto"/>
          <w:jc w:val="center"/>
        </w:trPr>
        <w:tc>
          <w:tcPr>
            <w:tcW w:w="2382" w:type="dxa"/>
            <w:tcBorders>
              <w:top w:val="single" w:color="000000" w:sz="0"/>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749" w:type="dxa"/>
            <w:tcBorders>
              <w:top w:val="single" w:color="000000" w:sz="0"/>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c>
          <w:tcPr>
            <w:tcW w:w="1749" w:type="dxa"/>
            <w:tcBorders>
              <w:top w:val="single" w:color="000000" w:sz="0"/>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color w:val="000000"/>
                <w:spacing w:val="0"/>
                <w:position w:val="0"/>
                <w:sz w:val="20"/>
                <w:shd w:fill="auto" w:val="clear"/>
              </w:rPr>
              <w:t xml:space="preserve"> </w:t>
            </w:r>
          </w:p>
        </w:tc>
      </w:tr>
      <w:tr>
        <w:trPr>
          <w:trHeight w:val="57" w:hRule="auto"/>
          <w:jc w:val="center"/>
        </w:trPr>
        <w:tc>
          <w:tcPr>
            <w:tcW w:w="2382"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Country</w:t>
            </w:r>
          </w:p>
        </w:tc>
        <w:tc>
          <w:tcPr>
            <w:tcW w:w="1749" w:type="dxa"/>
            <w:tcBorders>
              <w:top w:val="single" w:color="000000" w:sz="4"/>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Adoption year of</w:t>
            </w:r>
          </w:p>
        </w:tc>
        <w:tc>
          <w:tcPr>
            <w:tcW w:w="1749"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Geographic </w:t>
            </w: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region</w:t>
            </w:r>
          </w:p>
        </w:tc>
      </w:tr>
      <w:tr>
        <w:trPr>
          <w:trHeight w:val="57" w:hRule="auto"/>
          <w:jc w:val="center"/>
        </w:trPr>
        <w:tc>
          <w:tcPr>
            <w:tcW w:w="2382" w:type="dxa"/>
            <w:vMerge/>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49" w:type="dxa"/>
            <w:tcBorders>
              <w:top w:val="single" w:color="000000" w:sz="0"/>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carbon tax</w:t>
            </w:r>
          </w:p>
        </w:tc>
        <w:tc>
          <w:tcPr>
            <w:tcW w:w="1749" w:type="dxa"/>
            <w:vMerge/>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spacing w:val="0"/>
                <w:position w:val="0"/>
                <w:shd w:fill="auto" w:val="clear"/>
              </w:rPr>
            </w:pP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Australia</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2012-2014</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Asia </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France</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2014</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Europe</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Japan</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2012</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Asia</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Mexico</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2014</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South America</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Netherland</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1990</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Europe</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Norway</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1991</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Europe</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South Korea</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2015</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Asia</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Spain</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2014</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Europe</w:t>
            </w:r>
          </w:p>
        </w:tc>
      </w:tr>
      <w:tr>
        <w:trPr>
          <w:trHeight w:val="57" w:hRule="auto"/>
          <w:jc w:val="center"/>
        </w:trPr>
        <w:tc>
          <w:tcPr>
            <w:tcW w:w="2382"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Switzerland</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2008</w:t>
            </w:r>
          </w:p>
        </w:tc>
        <w:tc>
          <w:tcPr>
            <w:tcW w:w="1749"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Europe</w:t>
            </w:r>
          </w:p>
        </w:tc>
      </w:tr>
      <w:tr>
        <w:trPr>
          <w:trHeight w:val="57" w:hRule="auto"/>
          <w:jc w:val="center"/>
        </w:trPr>
        <w:tc>
          <w:tcPr>
            <w:tcW w:w="2382" w:type="dxa"/>
            <w:tcBorders>
              <w:top w:val="single" w:color="000000" w:sz="0"/>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United Kingdom</w:t>
            </w:r>
          </w:p>
        </w:tc>
        <w:tc>
          <w:tcPr>
            <w:tcW w:w="1749" w:type="dxa"/>
            <w:tcBorders>
              <w:top w:val="single" w:color="000000" w:sz="0"/>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2014</w:t>
            </w:r>
          </w:p>
        </w:tc>
        <w:tc>
          <w:tcPr>
            <w:tcW w:w="1749" w:type="dxa"/>
            <w:tcBorders>
              <w:top w:val="single" w:color="000000" w:sz="0"/>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Europe</w:t>
            </w:r>
          </w:p>
        </w:tc>
      </w:tr>
      <w:tr>
        <w:trPr>
          <w:trHeight w:val="57" w:hRule="auto"/>
          <w:jc w:val="center"/>
        </w:trPr>
        <w:tc>
          <w:tcPr>
            <w:tcW w:w="2382" w:type="dxa"/>
            <w:tcBorders>
              <w:top w:val="single" w:color="000000" w:sz="4"/>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49" w:type="dxa"/>
            <w:tcBorders>
              <w:top w:val="single" w:color="000000" w:sz="4"/>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9" w:type="dxa"/>
            <w:tcBorders>
              <w:top w:val="single" w:color="000000" w:sz="4"/>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160" w:line="259"/>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 </w:t>
      </w:r>
    </w:p>
    <w:p>
      <w:pPr>
        <w:spacing w:before="0" w:after="160" w:line="259"/>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160" w:line="259"/>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IA Table 3 </w:t>
      </w:r>
      <w:r>
        <w:rPr>
          <w:rFonts w:ascii="Times New Roman" w:hAnsi="Times New Roman" w:cs="Times New Roman" w:eastAsia="Times New Roman"/>
          <w:color w:val="auto"/>
          <w:spacing w:val="0"/>
          <w:position w:val="0"/>
          <w:sz w:val="22"/>
          <w:shd w:fill="auto" w:val="clear"/>
        </w:rPr>
        <w:t xml:space="preserve">Variable balance test for difference-in-difference analysis. </w:t>
      </w:r>
      <w:r>
        <w:rPr>
          <w:rFonts w:ascii="Times New Roman" w:hAnsi="Times New Roman" w:cs="Times New Roman" w:eastAsia="Times New Roman"/>
          <w:i/>
          <w:color w:val="auto"/>
          <w:spacing w:val="0"/>
          <w:position w:val="0"/>
          <w:sz w:val="22"/>
          <w:shd w:fill="auto" w:val="clear"/>
        </w:rPr>
        <w:t xml:space="preserve">Note</w:t>
      </w:r>
      <w:r>
        <w:rPr>
          <w:rFonts w:ascii="Times New Roman" w:hAnsi="Times New Roman" w:cs="Times New Roman" w:eastAsia="Times New Roman"/>
          <w:color w:val="auto"/>
          <w:spacing w:val="0"/>
          <w:position w:val="0"/>
          <w:sz w:val="22"/>
          <w:shd w:fill="auto" w:val="clear"/>
        </w:rPr>
        <w:t xml:space="preserve">: This table reports means and standard deviations of the variables used in the DiD analysis at the firm loan transaction level. Variables are measured in the year in which a carbon tax was introduced in the tax-adopting country. The treatment group consists of firms located in the carbon tax adopting countries during our sample period, whereas the control group comprises firms located in countries that are from the same geographic region as the treatment country but did not experience a carbon tax during the sample period. We present a balance test in the last column by conducting </w:t>
      </w:r>
      <w:r>
        <w:rPr>
          <w:rFonts w:ascii="Times New Roman" w:hAnsi="Times New Roman" w:cs="Times New Roman" w:eastAsia="Times New Roman"/>
          <w:i/>
          <w:color w:val="auto"/>
          <w:spacing w:val="0"/>
          <w:position w:val="0"/>
          <w:sz w:val="22"/>
          <w:shd w:fill="auto" w:val="clear"/>
        </w:rPr>
        <w:t xml:space="preserve">t</w:t>
      </w:r>
      <w:r>
        <w:rPr>
          <w:rFonts w:ascii="Times New Roman" w:hAnsi="Times New Roman" w:cs="Times New Roman" w:eastAsia="Times New Roman"/>
          <w:color w:val="auto"/>
          <w:spacing w:val="0"/>
          <w:position w:val="0"/>
          <w:sz w:val="22"/>
          <w:shd w:fill="auto" w:val="clear"/>
        </w:rPr>
        <w:t xml:space="preserve">-tests for differences in means between treatment and control groups.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tbl>
      <w:tblPr/>
      <w:tblGrid>
        <w:gridCol w:w="2232"/>
        <w:gridCol w:w="716"/>
        <w:gridCol w:w="1217"/>
        <w:gridCol w:w="1221"/>
        <w:gridCol w:w="318"/>
        <w:gridCol w:w="716"/>
        <w:gridCol w:w="1217"/>
        <w:gridCol w:w="1221"/>
        <w:gridCol w:w="1130"/>
      </w:tblGrid>
      <w:tr>
        <w:trPr>
          <w:trHeight w:val="60" w:hRule="auto"/>
          <w:jc w:val="center"/>
        </w:trPr>
        <w:tc>
          <w:tcPr>
            <w:tcW w:w="2232"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3154" w:type="dxa"/>
            <w:gridSpan w:val="3"/>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Treatment group</w:t>
            </w:r>
          </w:p>
        </w:tc>
        <w:tc>
          <w:tcPr>
            <w:tcW w:w="318"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3154" w:type="dxa"/>
            <w:gridSpan w:val="3"/>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Control group</w:t>
            </w:r>
          </w:p>
        </w:tc>
        <w:tc>
          <w:tcPr>
            <w:tcW w:w="1130"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t</w:t>
            </w:r>
            <w:r>
              <w:rPr>
                <w:rFonts w:ascii="Times New Roman" w:hAnsi="Times New Roman" w:cs="Times New Roman" w:eastAsia="Times New Roman"/>
                <w:color w:val="000000"/>
                <w:spacing w:val="0"/>
                <w:position w:val="0"/>
                <w:sz w:val="20"/>
                <w:shd w:fill="auto" w:val="clear"/>
              </w:rPr>
              <w:t xml:space="preserve">-test </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Obs.</w:t>
            </w:r>
          </w:p>
        </w:tc>
        <w:tc>
          <w:tcPr>
            <w:tcW w:w="1217" w:type="dxa"/>
            <w:tcBorders>
              <w:top w:val="single" w:color="000000" w:sz="4"/>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Mean</w:t>
            </w:r>
          </w:p>
        </w:tc>
        <w:tc>
          <w:tcPr>
            <w:tcW w:w="122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Std. Dev.</w:t>
            </w:r>
          </w:p>
        </w:tc>
        <w:tc>
          <w:tcPr>
            <w:tcW w:w="318"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4"/>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Obs.</w:t>
            </w:r>
          </w:p>
        </w:tc>
        <w:tc>
          <w:tcPr>
            <w:tcW w:w="1217" w:type="dxa"/>
            <w:tcBorders>
              <w:top w:val="single" w:color="000000" w:sz="4"/>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Mean</w:t>
            </w:r>
          </w:p>
        </w:tc>
        <w:tc>
          <w:tcPr>
            <w:tcW w:w="1221" w:type="dxa"/>
            <w:tcBorders>
              <w:top w:val="single" w:color="000000" w:sz="4"/>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Std. Dev.</w:t>
            </w:r>
          </w:p>
        </w:tc>
        <w:tc>
          <w:tcPr>
            <w:tcW w:w="1130"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for </w:t>
            </w:r>
          </w:p>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(2) </w:t>
            </w:r>
            <w:r>
              <w:rPr>
                <w:rFonts w:ascii="Times New Roman" w:hAnsi="Times New Roman" w:cs="Times New Roman" w:eastAsia="Times New Roman"/>
                <w:color w:val="000000"/>
                <w:spacing w:val="0"/>
                <w:position w:val="0"/>
                <w:sz w:val="20"/>
                <w:shd w:fill="auto" w:val="clear"/>
              </w:rPr>
              <w:t xml:space="preserve">–</w:t>
            </w:r>
            <w:r>
              <w:rPr>
                <w:rFonts w:ascii="Times New Roman" w:hAnsi="Times New Roman" w:cs="Times New Roman" w:eastAsia="Times New Roman"/>
                <w:color w:val="000000"/>
                <w:spacing w:val="0"/>
                <w:position w:val="0"/>
                <w:sz w:val="20"/>
                <w:shd w:fill="auto" w:val="clear"/>
              </w:rPr>
              <w:t xml:space="preserve"> (5)</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716"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w:t>
            </w:r>
          </w:p>
        </w:tc>
        <w:tc>
          <w:tcPr>
            <w:tcW w:w="1217"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w:t>
            </w:r>
          </w:p>
        </w:tc>
        <w:tc>
          <w:tcPr>
            <w:tcW w:w="1221"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w:t>
            </w:r>
          </w:p>
        </w:tc>
        <w:tc>
          <w:tcPr>
            <w:tcW w:w="318"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 </w:t>
            </w:r>
          </w:p>
        </w:tc>
        <w:tc>
          <w:tcPr>
            <w:tcW w:w="716"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w:t>
            </w:r>
          </w:p>
        </w:tc>
        <w:tc>
          <w:tcPr>
            <w:tcW w:w="1217"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w:t>
            </w:r>
          </w:p>
        </w:tc>
        <w:tc>
          <w:tcPr>
            <w:tcW w:w="1221"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w:t>
            </w:r>
          </w:p>
        </w:tc>
        <w:tc>
          <w:tcPr>
            <w:tcW w:w="1130" w:type="dxa"/>
            <w:tcBorders>
              <w:top w:val="single" w:color="000000" w:sz="4"/>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0" w:hRule="auto"/>
          <w:jc w:val="center"/>
        </w:trPr>
        <w:tc>
          <w:tcPr>
            <w:tcW w:w="2232"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Loan Spread</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163.618</w:t>
            </w:r>
          </w:p>
        </w:tc>
        <w:tc>
          <w:tcPr>
            <w:tcW w:w="1221"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118.760</w:t>
            </w:r>
          </w:p>
        </w:tc>
        <w:tc>
          <w:tcPr>
            <w:tcW w:w="318" w:type="dxa"/>
            <w:tcBorders>
              <w:top w:val="single" w:color="000000" w:sz="4"/>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161.968</w:t>
            </w:r>
          </w:p>
        </w:tc>
        <w:tc>
          <w:tcPr>
            <w:tcW w:w="1221"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91.688</w:t>
            </w:r>
          </w:p>
        </w:tc>
        <w:tc>
          <w:tcPr>
            <w:tcW w:w="1130" w:type="dxa"/>
            <w:tcBorders>
              <w:top w:val="single" w:color="000000" w:sz="4"/>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-1.650</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Transitional Rev</w:t>
            </w:r>
            <w:r>
              <w:rPr>
                <w:rFonts w:ascii="Times New Roman" w:hAnsi="Times New Roman" w:cs="Times New Roman" w:eastAsia="Times New Roman"/>
                <w:i/>
                <w:color w:val="auto"/>
                <w:spacing w:val="0"/>
                <w:position w:val="0"/>
                <w:sz w:val="20"/>
                <w:shd w:fill="auto" w:val="clear"/>
                <w:vertAlign w:val="subscript"/>
              </w:rPr>
              <w:t xml:space="preserve">j,c,t-1</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113</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0.303</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0.419</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0.299</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0.418</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-0.004</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Log Loan Amount</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19.511</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1.387</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19.252</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1.410</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-0.259*</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Log Loan Maturity</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4.025</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0.573</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3.796</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0.503</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-0.230***</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Loan Covenants</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0.219</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0.635</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0.741</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1.374</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-0.522***</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Log # Lenders</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1.946</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0.756</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2.330</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0.711</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-0.384***</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Performance Pricing</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0.070</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0.048</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-0.023</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Guarantor</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0.017</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0.170</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0.152***</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Revolver</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0.561</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0.321</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-0.239***</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Inst Tranche</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0.026</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0.003</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-0.023**</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Secure</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0.219</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0.202</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-0.017</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SP Rating</w:t>
            </w:r>
            <w:r>
              <w:rPr>
                <w:rFonts w:ascii="Times New Roman" w:hAnsi="Times New Roman" w:cs="Times New Roman" w:eastAsia="Times New Roman"/>
                <w:i/>
                <w:color w:val="000000"/>
                <w:spacing w:val="0"/>
                <w:position w:val="0"/>
                <w:sz w:val="20"/>
                <w:shd w:fill="auto" w:val="clear"/>
                <w:vertAlign w:val="subscript"/>
              </w:rPr>
              <w:t xml:space="preserve">i,</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0.360</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0.295</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0.065</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Log Assets</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22.588</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1.749</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23.096</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1.535</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0.508***</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ROA</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112</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0.063</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0.083</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332</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0.048</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0.065</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-0.014*</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Leverage</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0.314</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0.167</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0.313</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0.153</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-0.001</w:t>
            </w:r>
          </w:p>
        </w:tc>
      </w:tr>
      <w:tr>
        <w:trPr>
          <w:trHeight w:val="60" w:hRule="auto"/>
          <w:jc w:val="center"/>
        </w:trPr>
        <w:tc>
          <w:tcPr>
            <w:tcW w:w="223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Tangibility</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0.301</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0.273</w:t>
            </w:r>
          </w:p>
        </w:tc>
        <w:tc>
          <w:tcPr>
            <w:tcW w:w="3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336</w:t>
            </w:r>
          </w:p>
        </w:tc>
        <w:tc>
          <w:tcPr>
            <w:tcW w:w="1217"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0.287</w:t>
            </w:r>
          </w:p>
        </w:tc>
        <w:tc>
          <w:tcPr>
            <w:tcW w:w="122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0.224</w:t>
            </w:r>
          </w:p>
        </w:tc>
        <w:tc>
          <w:tcPr>
            <w:tcW w:w="113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-0.014</w:t>
            </w:r>
          </w:p>
        </w:tc>
      </w:tr>
      <w:tr>
        <w:trPr>
          <w:trHeight w:val="60" w:hRule="auto"/>
          <w:jc w:val="center"/>
        </w:trPr>
        <w:tc>
          <w:tcPr>
            <w:tcW w:w="2232"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Tobin’s Q</w:t>
            </w:r>
            <w:r>
              <w:rPr>
                <w:rFonts w:ascii="Times New Roman" w:hAnsi="Times New Roman" w:cs="Times New Roman" w:eastAsia="Times New Roman"/>
                <w:i/>
                <w:color w:val="auto"/>
                <w:spacing w:val="0"/>
                <w:position w:val="0"/>
                <w:sz w:val="20"/>
                <w:shd w:fill="auto" w:val="clear"/>
                <w:vertAlign w:val="subscript"/>
              </w:rPr>
              <w:t xml:space="preserve">j,c,t</w:t>
            </w:r>
          </w:p>
        </w:tc>
        <w:tc>
          <w:tcPr>
            <w:tcW w:w="716"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114</w:t>
            </w:r>
          </w:p>
        </w:tc>
        <w:tc>
          <w:tcPr>
            <w:tcW w:w="1217"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1.519</w:t>
            </w:r>
          </w:p>
        </w:tc>
        <w:tc>
          <w:tcPr>
            <w:tcW w:w="1221"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0.798</w:t>
            </w:r>
          </w:p>
        </w:tc>
        <w:tc>
          <w:tcPr>
            <w:tcW w:w="318"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6"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334</w:t>
            </w:r>
          </w:p>
        </w:tc>
        <w:tc>
          <w:tcPr>
            <w:tcW w:w="1217"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1.256</w:t>
            </w:r>
          </w:p>
        </w:tc>
        <w:tc>
          <w:tcPr>
            <w:tcW w:w="1221" w:type="dxa"/>
            <w:tcBorders>
              <w:top w:val="single" w:color="000000" w:sz="0"/>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0.685</w:t>
            </w:r>
          </w:p>
        </w:tc>
        <w:tc>
          <w:tcPr>
            <w:tcW w:w="1130" w:type="dxa"/>
            <w:tcBorders>
              <w:top w:val="single" w:color="000000" w:sz="0"/>
              <w:left w:val="single" w:color="000000" w:sz="0"/>
              <w:bottom w:val="single" w:color="000000" w:sz="4"/>
              <w:right w:val="single" w:color="000000" w:sz="0"/>
            </w:tcBorders>
            <w:shd w:color="auto" w:fill="auto"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-0.264***</w:t>
            </w:r>
          </w:p>
        </w:tc>
      </w:tr>
    </w:tbl>
    <w:p>
      <w:pPr>
        <w:spacing w:before="0" w:after="0" w:line="240"/>
        <w:ind w:right="0" w:left="0" w:firstLine="0"/>
        <w:jc w:val="both"/>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IA Table 4 </w:t>
      </w:r>
      <w:r>
        <w:rPr>
          <w:rFonts w:ascii="Times New Roman" w:hAnsi="Times New Roman" w:cs="Times New Roman" w:eastAsia="Times New Roman"/>
          <w:color w:val="auto"/>
          <w:spacing w:val="0"/>
          <w:position w:val="0"/>
          <w:sz w:val="22"/>
          <w:shd w:fill="auto" w:val="clear"/>
        </w:rPr>
        <w:t xml:space="preserve">PRI and Equator Principles: Distribution of observations. </w:t>
      </w:r>
      <w:r>
        <w:rPr>
          <w:rFonts w:ascii="Times New Roman" w:hAnsi="Times New Roman" w:cs="Times New Roman" w:eastAsia="Times New Roman"/>
          <w:i/>
          <w:color w:val="auto"/>
          <w:spacing w:val="0"/>
          <w:position w:val="0"/>
          <w:sz w:val="22"/>
          <w:shd w:fill="auto" w:val="clear"/>
        </w:rPr>
        <w:t xml:space="preserve">Note</w:t>
      </w:r>
      <w:r>
        <w:rPr>
          <w:rFonts w:ascii="Times New Roman" w:hAnsi="Times New Roman" w:cs="Times New Roman" w:eastAsia="Times New Roman"/>
          <w:color w:val="auto"/>
          <w:spacing w:val="0"/>
          <w:position w:val="0"/>
          <w:sz w:val="22"/>
          <w:shd w:fill="auto" w:val="clear"/>
        </w:rPr>
        <w:t xml:space="preserve">: To quantify banks’ green preferences, we exploit two widely adopted initiatives, the Equator Principles (EP) and Principles for Responsible Investment (PRI).  We classify loan-facility observations based on whether one or multiple lenders of a syndicated loan complies with the EP or PRI. In this table, we cross-tabulate the number of loan-facility observations subject to one or both of these initiatives.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tbl>
      <w:tblPr/>
      <w:tblGrid>
        <w:gridCol w:w="2254"/>
        <w:gridCol w:w="2254"/>
        <w:gridCol w:w="2254"/>
        <w:gridCol w:w="2254"/>
      </w:tblGrid>
      <w:tr>
        <w:trPr>
          <w:trHeight w:val="1" w:hRule="atLeast"/>
          <w:jc w:val="center"/>
        </w:trPr>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Non-Equator</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Principles</w:t>
            </w:r>
          </w:p>
        </w:tc>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Equator</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Principles</w:t>
            </w:r>
          </w:p>
        </w:tc>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Obs.</w:t>
            </w:r>
          </w:p>
        </w:tc>
      </w:tr>
      <w:tr>
        <w:trPr>
          <w:trHeight w:val="1" w:hRule="atLeast"/>
          <w:jc w:val="center"/>
        </w:trPr>
        <w:tc>
          <w:tcPr>
            <w:tcW w:w="2254"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Non-PRI</w:t>
            </w:r>
          </w:p>
        </w:tc>
        <w:tc>
          <w:tcPr>
            <w:tcW w:w="2254"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5,643</w:t>
            </w:r>
          </w:p>
        </w:tc>
        <w:tc>
          <w:tcPr>
            <w:tcW w:w="2254"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7,546</w:t>
            </w:r>
          </w:p>
        </w:tc>
        <w:tc>
          <w:tcPr>
            <w:tcW w:w="2254"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13,189</w:t>
            </w:r>
          </w:p>
        </w:tc>
      </w:tr>
      <w:tr>
        <w:trPr>
          <w:trHeight w:val="1" w:hRule="atLeast"/>
          <w:jc w:val="center"/>
        </w:trPr>
        <w:tc>
          <w:tcPr>
            <w:tcW w:w="2254"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PRI</w:t>
            </w:r>
          </w:p>
        </w:tc>
        <w:tc>
          <w:tcPr>
            <w:tcW w:w="2254"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166</w:t>
            </w:r>
          </w:p>
        </w:tc>
        <w:tc>
          <w:tcPr>
            <w:tcW w:w="2254"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1,073</w:t>
            </w:r>
          </w:p>
        </w:tc>
        <w:tc>
          <w:tcPr>
            <w:tcW w:w="2254"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1,239</w:t>
            </w:r>
          </w:p>
        </w:tc>
      </w:tr>
      <w:tr>
        <w:trPr>
          <w:trHeight w:val="1" w:hRule="atLeast"/>
          <w:jc w:val="center"/>
        </w:trPr>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Obs.</w:t>
            </w:r>
          </w:p>
        </w:tc>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5,809</w:t>
            </w:r>
          </w:p>
        </w:tc>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8,619</w:t>
            </w:r>
          </w:p>
        </w:tc>
        <w:tc>
          <w:tcPr>
            <w:tcW w:w="2254"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14,428</w:t>
            </w: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