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901AB" w14:textId="77777777" w:rsidR="005C3D4E" w:rsidRPr="00877710" w:rsidRDefault="00B10F11" w:rsidP="00877710">
      <w:pPr>
        <w:rPr>
          <w:b/>
          <w:sz w:val="28"/>
          <w:szCs w:val="28"/>
          <w:lang w:val="en-US"/>
        </w:rPr>
      </w:pPr>
      <w:r w:rsidRPr="00877710">
        <w:rPr>
          <w:b/>
          <w:sz w:val="28"/>
          <w:szCs w:val="28"/>
          <w:lang w:val="en-US"/>
        </w:rPr>
        <w:t>Determination of kinetic parameters of</w:t>
      </w:r>
      <w:r w:rsidR="005261A1" w:rsidRPr="00877710">
        <w:rPr>
          <w:b/>
          <w:sz w:val="28"/>
          <w:szCs w:val="28"/>
          <w:lang w:val="en-US"/>
        </w:rPr>
        <w:t xml:space="preserve"> </w:t>
      </w:r>
      <w:r w:rsidR="00877710">
        <w:rPr>
          <w:b/>
          <w:sz w:val="28"/>
          <w:szCs w:val="28"/>
          <w:lang w:val="en-US"/>
        </w:rPr>
        <w:t xml:space="preserve">the </w:t>
      </w:r>
      <w:r w:rsidR="005261A1" w:rsidRPr="00877710">
        <w:rPr>
          <w:b/>
          <w:sz w:val="28"/>
          <w:szCs w:val="28"/>
          <w:lang w:val="en-US"/>
        </w:rPr>
        <w:t>paper</w:t>
      </w:r>
      <w:r w:rsidRPr="00877710">
        <w:rPr>
          <w:b/>
          <w:sz w:val="28"/>
          <w:szCs w:val="28"/>
          <w:lang w:val="en-US"/>
        </w:rPr>
        <w:t xml:space="preserve"> </w:t>
      </w:r>
      <w:r w:rsidR="00877710">
        <w:rPr>
          <w:b/>
          <w:sz w:val="28"/>
          <w:szCs w:val="28"/>
          <w:lang w:val="en-US"/>
        </w:rPr>
        <w:t>lining used in gypsum plaster</w:t>
      </w:r>
      <w:r w:rsidR="005261A1" w:rsidRPr="00877710">
        <w:rPr>
          <w:b/>
          <w:sz w:val="28"/>
          <w:szCs w:val="28"/>
          <w:lang w:val="en-US"/>
        </w:rPr>
        <w:t>board</w:t>
      </w:r>
      <w:r w:rsidR="00B9734E" w:rsidRPr="00877710">
        <w:rPr>
          <w:b/>
          <w:sz w:val="28"/>
          <w:szCs w:val="28"/>
          <w:lang w:val="en-US"/>
        </w:rPr>
        <w:t xml:space="preserve"> </w:t>
      </w:r>
    </w:p>
    <w:p w14:paraId="12A1BA31" w14:textId="000F0475" w:rsidR="00BB50AF" w:rsidRDefault="00741D05" w:rsidP="00741D05">
      <w:pPr>
        <w:rPr>
          <w:lang w:val="en-US"/>
        </w:rPr>
      </w:pPr>
      <w:r w:rsidRPr="00741D05">
        <w:rPr>
          <w:lang w:val="en-US"/>
        </w:rPr>
        <w:t>The ch</w:t>
      </w:r>
      <w:r w:rsidR="00BB50AF">
        <w:rPr>
          <w:lang w:val="en-US"/>
        </w:rPr>
        <w:t xml:space="preserve">emical kinetic parameters of gypsum plasterboard </w:t>
      </w:r>
      <w:r>
        <w:rPr>
          <w:lang w:val="en-US"/>
        </w:rPr>
        <w:t>paper</w:t>
      </w:r>
      <w:r w:rsidR="00BB50AF">
        <w:rPr>
          <w:lang w:val="en-US"/>
        </w:rPr>
        <w:t xml:space="preserve"> lining</w:t>
      </w:r>
      <w:r>
        <w:rPr>
          <w:lang w:val="en-US"/>
        </w:rPr>
        <w:t xml:space="preserve"> </w:t>
      </w:r>
      <w:r w:rsidR="00BB50AF">
        <w:rPr>
          <w:lang w:val="en-US"/>
        </w:rPr>
        <w:t xml:space="preserve">are obtained in this document based on thermogravimetric test data (TGA) presented in Bhargava et al. </w:t>
      </w:r>
      <w:r w:rsidR="00BB50AF">
        <w:rPr>
          <w:lang w:val="en-US"/>
        </w:rPr>
        <w:fldChar w:fldCharType="begin" w:fldLock="1"/>
      </w:r>
      <w:r w:rsidR="00BB50AF">
        <w:rPr>
          <w:lang w:val="en-US"/>
        </w:rPr>
        <w:instrText>ADDIN CSL_CITATION {"citationItems":[{"id":"ITEM-1","itemData":{"author":[{"dropping-particle":"","family":"Bhargava","given":"Abhishek","non-dropping-particle":"","parse-names":false,"suffix":""},{"dropping-particle":"","family":"Andersson","given":"Berit","non-dropping-particle":"","parse-names":false,"suffix":""},{"dropping-particle":"Van","family":"Hees","given":"Patrick","non-dropping-particle":"","parse-names":false,"suffix":""},{"dropping-particle":"","family":"Sina","given":"Hossein","non-dropping-particle":"","parse-names":false,"suffix":""},{"dropping-particle":"","family":"Iyengar","given":"Srinivasan","non-dropping-particle":"","parse-names":false,"suffix":""},{"dropping-particle":"","family":"Technology","given":"Security","non-dropping-particle":"","parse-names":false,"suffix":""}],"container-title":"Interflam'16, 14th International Conference and Exhibition on Fire Science and Engineering","id":"ITEM-1","issued":{"date-parts":[["2016"]]},"page":"107-118","publisher-place":"4-6th July, London, UK","title":"Distributed Reactivity Model to Predict Multistage Pyrolysis of Polymeric Materials and Sensitivity Analysis","type":"paper-conference"},"uris":["http://www.mendeley.com/documents/?uuid=301ff900-fb52-4d4d-aff6-9e40c904372b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BB50AF">
        <w:rPr>
          <w:lang w:val="en-US"/>
        </w:rPr>
        <w:fldChar w:fldCharType="separate"/>
      </w:r>
      <w:r w:rsidR="00BB50AF" w:rsidRPr="00BB50AF">
        <w:rPr>
          <w:noProof/>
          <w:lang w:val="en-US"/>
        </w:rPr>
        <w:t>[1]</w:t>
      </w:r>
      <w:r w:rsidR="00BB50AF">
        <w:rPr>
          <w:lang w:val="en-US"/>
        </w:rPr>
        <w:fldChar w:fldCharType="end"/>
      </w:r>
      <w:r w:rsidR="00BB50AF">
        <w:rPr>
          <w:lang w:val="en-US"/>
        </w:rPr>
        <w:t xml:space="preserve"> and using the software Fire Dynamics Simulator (FDS) </w:t>
      </w:r>
      <w:r w:rsidR="00BB50AF">
        <w:rPr>
          <w:lang w:val="en-US"/>
        </w:rPr>
        <w:fldChar w:fldCharType="begin" w:fldLock="1"/>
      </w:r>
      <w:r w:rsidR="00070EC0">
        <w:rPr>
          <w:lang w:val="en-US"/>
        </w:rPr>
        <w:instrText>ADDIN CSL_CITATION {"citationItems":[{"id":"ITEM-1","itemData":{"DOI":"10.6028/NIST.SP.1019","author":[{"dropping-particle":"","family":"McGrattan","given":"K","non-dropping-particle":"","parse-names":false,"suffix":""},{"dropping-particle":"","family":"Hostikka","given":"S.","non-dropping-particle":"","parse-names":false,"suffix":""},{"dropping-particle":"","family":"McDermott","given":"Randall","non-dropping-particle":"","parse-names":false,"suffix":""},{"dropping-particle":"","family":"Floyd","given":"Jason","non-dropping-particle":"","parse-names":false,"suffix":""},{"dropping-particle":"","family":"Weinschenk","given":"Craig","non-dropping-particle":"","parse-names":false,"suffix":""},{"dropping-particle":"","family":"Overholt","given":"Kristopher","non-dropping-particle":"","parse-names":false,"suffix":""}],"id":"ITEM-1","issued":{"date-parts":[["2004"]]},"title":"FDS User’s Guide","type":"article-journal"},"uris":["http://www.mendeley.com/documents/?uuid=9ef1d18b-dd6e-420f-b22d-44f15e643783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BB50AF">
        <w:rPr>
          <w:lang w:val="en-US"/>
        </w:rPr>
        <w:fldChar w:fldCharType="separate"/>
      </w:r>
      <w:r w:rsidR="00BB50AF" w:rsidRPr="00BB50AF">
        <w:rPr>
          <w:noProof/>
          <w:lang w:val="en-US"/>
        </w:rPr>
        <w:t>[2]</w:t>
      </w:r>
      <w:r w:rsidR="00BB50AF">
        <w:rPr>
          <w:lang w:val="en-US"/>
        </w:rPr>
        <w:fldChar w:fldCharType="end"/>
      </w:r>
      <w:r w:rsidR="00BB50AF">
        <w:rPr>
          <w:lang w:val="en-US"/>
        </w:rPr>
        <w:t xml:space="preserve"> </w:t>
      </w:r>
    </w:p>
    <w:p w14:paraId="61709EB3" w14:textId="77777777" w:rsidR="005261A1" w:rsidRPr="00BB50AF" w:rsidRDefault="00BB50AF" w:rsidP="005261A1">
      <w:pPr>
        <w:pStyle w:val="Heading1"/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</w:pPr>
      <w:r w:rsidRPr="00BB50AF"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  <w:t>Description of the experimental data</w:t>
      </w:r>
      <w:r w:rsidR="005261A1" w:rsidRPr="00BB50AF"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  <w:t xml:space="preserve"> </w:t>
      </w:r>
    </w:p>
    <w:p w14:paraId="38851C02" w14:textId="4F6B3FE7" w:rsidR="005261A1" w:rsidRDefault="00BB50AF" w:rsidP="005261A1">
      <w:pPr>
        <w:rPr>
          <w:lang w:val="en-US"/>
        </w:rPr>
      </w:pPr>
      <w:r>
        <w:rPr>
          <w:lang w:val="en-US"/>
        </w:rPr>
        <w:t>Samples of</w:t>
      </w:r>
      <w:r w:rsidR="005261A1">
        <w:rPr>
          <w:lang w:val="en-US"/>
        </w:rPr>
        <w:t xml:space="preserve"> gypsum plasterboard paper</w:t>
      </w:r>
      <w:r>
        <w:rPr>
          <w:lang w:val="en-US"/>
        </w:rPr>
        <w:t xml:space="preserve"> lining were</w:t>
      </w:r>
      <w:r w:rsidR="005261A1">
        <w:rPr>
          <w:lang w:val="en-US"/>
        </w:rPr>
        <w:t xml:space="preserve"> retrieved by peeling </w:t>
      </w:r>
      <w:r>
        <w:rPr>
          <w:lang w:val="en-US"/>
        </w:rPr>
        <w:t>the lining from</w:t>
      </w:r>
      <w:r w:rsidR="005261A1">
        <w:rPr>
          <w:lang w:val="en-US"/>
        </w:rPr>
        <w:t xml:space="preserve"> the surface</w:t>
      </w:r>
      <w:r>
        <w:rPr>
          <w:lang w:val="en-US"/>
        </w:rPr>
        <w:t xml:space="preserve"> of a plaster</w:t>
      </w:r>
      <w:r w:rsidR="005261A1">
        <w:rPr>
          <w:lang w:val="en-US"/>
        </w:rPr>
        <w:t xml:space="preserve">board. </w:t>
      </w:r>
      <w:r>
        <w:rPr>
          <w:lang w:val="en-US"/>
        </w:rPr>
        <w:t>They were</w:t>
      </w:r>
      <w:r w:rsidR="005261A1">
        <w:rPr>
          <w:lang w:val="en-US"/>
        </w:rPr>
        <w:t xml:space="preserve"> cut in small piece</w:t>
      </w:r>
      <w:r>
        <w:rPr>
          <w:lang w:val="en-US"/>
        </w:rPr>
        <w:t>s</w:t>
      </w:r>
      <w:r w:rsidR="005261A1">
        <w:rPr>
          <w:lang w:val="en-US"/>
        </w:rPr>
        <w:t xml:space="preserve"> </w:t>
      </w:r>
      <w:r>
        <w:rPr>
          <w:lang w:val="en-US"/>
        </w:rPr>
        <w:t xml:space="preserve">and fitted in TGA aluminum </w:t>
      </w:r>
      <w:r w:rsidR="005261A1">
        <w:rPr>
          <w:lang w:val="en-US"/>
        </w:rPr>
        <w:t>crucible</w:t>
      </w:r>
      <w:r>
        <w:rPr>
          <w:lang w:val="en-US"/>
        </w:rPr>
        <w:t>s</w:t>
      </w:r>
      <w:r w:rsidR="005261A1">
        <w:rPr>
          <w:lang w:val="en-US"/>
        </w:rPr>
        <w:t xml:space="preserve">. The sample weight varied between 4-6 mg. </w:t>
      </w:r>
      <w:r>
        <w:rPr>
          <w:lang w:val="en-US"/>
        </w:rPr>
        <w:t>Tests were performed in argon</w:t>
      </w:r>
      <w:r w:rsidR="005261A1">
        <w:rPr>
          <w:lang w:val="en-US"/>
        </w:rPr>
        <w:t xml:space="preserve"> atmosphere at three </w:t>
      </w:r>
      <w:r w:rsidR="00E038D6">
        <w:rPr>
          <w:lang w:val="en-US"/>
        </w:rPr>
        <w:t xml:space="preserve">different </w:t>
      </w:r>
      <w:r w:rsidR="005261A1">
        <w:rPr>
          <w:lang w:val="en-US"/>
        </w:rPr>
        <w:t xml:space="preserve">heating rates at 5, </w:t>
      </w:r>
      <w:r w:rsidR="00A75889">
        <w:rPr>
          <w:lang w:val="en-US"/>
        </w:rPr>
        <w:t>15</w:t>
      </w:r>
      <w:r w:rsidR="00A75889">
        <w:rPr>
          <w:lang w:val="en-US"/>
        </w:rPr>
        <w:t xml:space="preserve"> </w:t>
      </w:r>
      <w:r w:rsidR="005261A1">
        <w:rPr>
          <w:lang w:val="en-US"/>
        </w:rPr>
        <w:t xml:space="preserve">and </w:t>
      </w:r>
      <w:r w:rsidR="00A75889">
        <w:rPr>
          <w:lang w:val="en-US"/>
        </w:rPr>
        <w:t>30</w:t>
      </w:r>
      <w:r w:rsidR="00A75889">
        <w:rPr>
          <w:lang w:val="en-US"/>
        </w:rPr>
        <w:t xml:space="preserve"> </w:t>
      </w:r>
      <w:r>
        <w:rPr>
          <w:lang w:val="en-US"/>
        </w:rPr>
        <w:t>K/min, up to a maximum temperature of 600 °C.</w:t>
      </w:r>
      <w:r w:rsidR="005261A1">
        <w:rPr>
          <w:lang w:val="en-US"/>
        </w:rPr>
        <w:t xml:space="preserve"> </w:t>
      </w:r>
    </w:p>
    <w:p w14:paraId="6590508A" w14:textId="77777777" w:rsidR="00160203" w:rsidRDefault="006438A7" w:rsidP="00B10F11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B557028" wp14:editId="07BC7844">
            <wp:extent cx="5076759" cy="3816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759" cy="38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6EB9D6" w14:textId="77777777" w:rsidR="00106B83" w:rsidRPr="00106B83" w:rsidRDefault="00106B83" w:rsidP="00106B83">
      <w:pPr>
        <w:pStyle w:val="Caption"/>
        <w:jc w:val="center"/>
        <w:rPr>
          <w:color w:val="000000" w:themeColor="text1"/>
          <w:lang w:val="en-US"/>
        </w:rPr>
      </w:pPr>
      <w:bookmarkStart w:id="1" w:name="_Ref63934337"/>
      <w:r w:rsidRPr="00106B83">
        <w:rPr>
          <w:color w:val="000000" w:themeColor="text1"/>
          <w:lang w:val="en-GB"/>
        </w:rPr>
        <w:t>Figure</w:t>
      </w:r>
      <w:r w:rsidRPr="00106B83">
        <w:rPr>
          <w:color w:val="000000" w:themeColor="text1"/>
          <w:lang w:val="en-US"/>
        </w:rPr>
        <w:t xml:space="preserve"> </w:t>
      </w:r>
      <w:r w:rsidRPr="00106B83">
        <w:rPr>
          <w:color w:val="000000" w:themeColor="text1"/>
        </w:rPr>
        <w:fldChar w:fldCharType="begin"/>
      </w:r>
      <w:r w:rsidRPr="00106B83">
        <w:rPr>
          <w:color w:val="000000" w:themeColor="text1"/>
          <w:lang w:val="en-US"/>
        </w:rPr>
        <w:instrText xml:space="preserve"> SEQ Figure \* ARABIC </w:instrText>
      </w:r>
      <w:r w:rsidRPr="00106B83">
        <w:rPr>
          <w:color w:val="000000" w:themeColor="text1"/>
        </w:rPr>
        <w:fldChar w:fldCharType="separate"/>
      </w:r>
      <w:r w:rsidRPr="00106B83">
        <w:rPr>
          <w:noProof/>
          <w:color w:val="000000" w:themeColor="text1"/>
          <w:lang w:val="en-US"/>
        </w:rPr>
        <w:t>1</w:t>
      </w:r>
      <w:r w:rsidRPr="00106B83">
        <w:rPr>
          <w:color w:val="000000" w:themeColor="text1"/>
        </w:rPr>
        <w:fldChar w:fldCharType="end"/>
      </w:r>
      <w:bookmarkEnd w:id="1"/>
      <w:r w:rsidRPr="00106B83">
        <w:rPr>
          <w:color w:val="000000" w:themeColor="text1"/>
          <w:lang w:val="en-US"/>
        </w:rPr>
        <w:t xml:space="preserve">: Mass loss of </w:t>
      </w:r>
      <w:r>
        <w:rPr>
          <w:color w:val="000000" w:themeColor="text1"/>
          <w:lang w:val="en-US"/>
        </w:rPr>
        <w:t xml:space="preserve">gypsum </w:t>
      </w:r>
      <w:r w:rsidRPr="00106B83">
        <w:rPr>
          <w:color w:val="000000" w:themeColor="text1"/>
          <w:lang w:val="en-US"/>
        </w:rPr>
        <w:t xml:space="preserve">paper lining </w:t>
      </w:r>
      <w:r>
        <w:rPr>
          <w:color w:val="000000" w:themeColor="text1"/>
          <w:lang w:val="en-US"/>
        </w:rPr>
        <w:t xml:space="preserve">during TGA tests </w:t>
      </w:r>
      <w:r w:rsidRPr="00106B83">
        <w:rPr>
          <w:color w:val="000000" w:themeColor="text1"/>
          <w:lang w:val="en-US"/>
        </w:rPr>
        <w:t>at different heating rates</w:t>
      </w:r>
    </w:p>
    <w:p w14:paraId="6EDC42AC" w14:textId="77777777" w:rsidR="00106B83" w:rsidRDefault="00106B83" w:rsidP="00B10F11">
      <w:pPr>
        <w:jc w:val="center"/>
        <w:rPr>
          <w:lang w:val="en-US"/>
        </w:rPr>
      </w:pPr>
    </w:p>
    <w:p w14:paraId="12F6AB1C" w14:textId="77777777" w:rsidR="006438A7" w:rsidRPr="006438A7" w:rsidRDefault="006438A7" w:rsidP="00B10F11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0057514" wp14:editId="6C6924FA">
            <wp:extent cx="4800348" cy="3600000"/>
            <wp:effectExtent l="0" t="0" r="63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_DTG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34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16EF" w14:textId="77777777" w:rsidR="00E038D6" w:rsidRPr="00701915" w:rsidRDefault="00106B83" w:rsidP="00B10F11">
      <w:pPr>
        <w:pStyle w:val="Caption"/>
        <w:jc w:val="center"/>
        <w:rPr>
          <w:color w:val="000000" w:themeColor="text1"/>
          <w:lang w:val="en-US"/>
        </w:rPr>
      </w:pPr>
      <w:bookmarkStart w:id="2" w:name="_Ref63934344"/>
      <w:r w:rsidRPr="00701915">
        <w:rPr>
          <w:color w:val="000000" w:themeColor="text1"/>
          <w:lang w:val="en-GB"/>
        </w:rPr>
        <w:t>Figure</w:t>
      </w:r>
      <w:r w:rsidRPr="00701915">
        <w:rPr>
          <w:color w:val="000000" w:themeColor="text1"/>
          <w:lang w:val="en-US"/>
        </w:rPr>
        <w:t xml:space="preserve"> </w:t>
      </w:r>
      <w:r w:rsidRPr="00701915">
        <w:rPr>
          <w:color w:val="000000" w:themeColor="text1"/>
        </w:rPr>
        <w:fldChar w:fldCharType="begin"/>
      </w:r>
      <w:r w:rsidRPr="00701915">
        <w:rPr>
          <w:color w:val="000000" w:themeColor="text1"/>
          <w:lang w:val="en-US"/>
        </w:rPr>
        <w:instrText xml:space="preserve"> SEQ Figure \* ARABIC </w:instrText>
      </w:r>
      <w:r w:rsidRPr="00701915">
        <w:rPr>
          <w:color w:val="000000" w:themeColor="text1"/>
        </w:rPr>
        <w:fldChar w:fldCharType="separate"/>
      </w:r>
      <w:r w:rsidRPr="00701915">
        <w:rPr>
          <w:noProof/>
          <w:color w:val="000000" w:themeColor="text1"/>
          <w:lang w:val="en-US"/>
        </w:rPr>
        <w:t>2</w:t>
      </w:r>
      <w:r w:rsidRPr="00701915">
        <w:rPr>
          <w:color w:val="000000" w:themeColor="text1"/>
        </w:rPr>
        <w:fldChar w:fldCharType="end"/>
      </w:r>
      <w:bookmarkEnd w:id="2"/>
      <w:r w:rsidRPr="00701915">
        <w:rPr>
          <w:color w:val="000000" w:themeColor="text1"/>
          <w:lang w:val="en-US"/>
        </w:rPr>
        <w:t xml:space="preserve">: </w:t>
      </w:r>
      <w:r w:rsidR="00701915">
        <w:rPr>
          <w:color w:val="000000" w:themeColor="text1"/>
          <w:lang w:val="en-US"/>
        </w:rPr>
        <w:t xml:space="preserve"> </w:t>
      </w:r>
      <w:r w:rsidR="00E038D6" w:rsidRPr="00701915">
        <w:rPr>
          <w:color w:val="000000" w:themeColor="text1"/>
          <w:lang w:val="en-US"/>
        </w:rPr>
        <w:t xml:space="preserve">DTG </w:t>
      </w:r>
      <w:r w:rsidR="006438A7" w:rsidRPr="00701915">
        <w:rPr>
          <w:color w:val="000000" w:themeColor="text1"/>
          <w:lang w:val="en-US"/>
        </w:rPr>
        <w:t xml:space="preserve">curves of paper used in </w:t>
      </w:r>
      <w:r w:rsidR="005E15D8" w:rsidRPr="00701915">
        <w:rPr>
          <w:color w:val="000000" w:themeColor="text1"/>
          <w:lang w:val="en-US"/>
        </w:rPr>
        <w:t>gypsum</w:t>
      </w:r>
      <w:r w:rsidR="00E038D6" w:rsidRPr="00701915">
        <w:rPr>
          <w:color w:val="000000" w:themeColor="text1"/>
          <w:lang w:val="en-US"/>
        </w:rPr>
        <w:t xml:space="preserve"> plasterboard at different heating rates</w:t>
      </w:r>
    </w:p>
    <w:p w14:paraId="09EF866D" w14:textId="56A853EF" w:rsidR="00E038D6" w:rsidRDefault="00106B83" w:rsidP="00E038D6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_Ref63934337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106B83">
        <w:rPr>
          <w:color w:val="000000" w:themeColor="text1"/>
          <w:lang w:val="en-GB"/>
        </w:rPr>
        <w:t>Figure</w:t>
      </w:r>
      <w:r w:rsidRPr="00106B83">
        <w:rPr>
          <w:color w:val="000000" w:themeColor="text1"/>
          <w:lang w:val="en-US"/>
        </w:rPr>
        <w:t xml:space="preserve"> </w:t>
      </w:r>
      <w:r w:rsidRPr="00106B83">
        <w:rPr>
          <w:noProof/>
          <w:color w:val="000000" w:themeColor="text1"/>
          <w:lang w:val="en-US"/>
        </w:rPr>
        <w:t>1</w:t>
      </w:r>
      <w:r>
        <w:rPr>
          <w:lang w:val="en-US"/>
        </w:rPr>
        <w:fldChar w:fldCharType="end"/>
      </w:r>
      <w:r>
        <w:rPr>
          <w:lang w:val="en-US"/>
        </w:rPr>
        <w:t xml:space="preserve"> and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_Ref63934344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106B83">
        <w:rPr>
          <w:color w:val="000000" w:themeColor="text1"/>
          <w:lang w:val="en-GB"/>
        </w:rPr>
        <w:t>Figure</w:t>
      </w:r>
      <w:r w:rsidRPr="00106B83">
        <w:rPr>
          <w:color w:val="000000" w:themeColor="text1"/>
          <w:lang w:val="en-US"/>
        </w:rPr>
        <w:t xml:space="preserve"> </w:t>
      </w:r>
      <w:r>
        <w:rPr>
          <w:noProof/>
          <w:color w:val="000000" w:themeColor="text1"/>
          <w:lang w:val="en-US"/>
        </w:rPr>
        <w:t>2</w:t>
      </w:r>
      <w:r>
        <w:rPr>
          <w:lang w:val="en-US"/>
        </w:rPr>
        <w:fldChar w:fldCharType="end"/>
      </w:r>
      <w:r>
        <w:rPr>
          <w:lang w:val="en-US"/>
        </w:rPr>
        <w:t xml:space="preserve"> show</w:t>
      </w:r>
      <w:r w:rsidR="00802267">
        <w:rPr>
          <w:lang w:val="en-US"/>
        </w:rPr>
        <w:t xml:space="preserve"> the</w:t>
      </w:r>
      <w:r>
        <w:rPr>
          <w:lang w:val="en-US"/>
        </w:rPr>
        <w:t xml:space="preserve"> mass loss and the differential </w:t>
      </w:r>
      <w:r w:rsidR="00802267">
        <w:rPr>
          <w:lang w:val="en-US"/>
        </w:rPr>
        <w:t xml:space="preserve">DTG curves of </w:t>
      </w:r>
      <w:r>
        <w:rPr>
          <w:lang w:val="en-US"/>
        </w:rPr>
        <w:t xml:space="preserve">gypsum </w:t>
      </w:r>
      <w:r w:rsidR="00802267">
        <w:rPr>
          <w:lang w:val="en-US"/>
        </w:rPr>
        <w:t>paper</w:t>
      </w:r>
      <w:r>
        <w:rPr>
          <w:lang w:val="en-US"/>
        </w:rPr>
        <w:t xml:space="preserve"> linings</w:t>
      </w:r>
      <w:r w:rsidR="00802267">
        <w:rPr>
          <w:lang w:val="en-US"/>
        </w:rPr>
        <w:t xml:space="preserve"> at different heating rates from 5</w:t>
      </w:r>
      <w:r>
        <w:rPr>
          <w:lang w:val="en-US"/>
        </w:rPr>
        <w:t>,</w:t>
      </w:r>
      <w:r w:rsidR="00802267">
        <w:rPr>
          <w:lang w:val="en-US"/>
        </w:rPr>
        <w:t xml:space="preserve"> 15</w:t>
      </w:r>
      <w:r>
        <w:rPr>
          <w:lang w:val="en-US"/>
        </w:rPr>
        <w:t xml:space="preserve">, and 30 </w:t>
      </w:r>
      <w:r w:rsidR="00802267">
        <w:rPr>
          <w:lang w:val="en-US"/>
        </w:rPr>
        <w:t xml:space="preserve">K/min.  </w:t>
      </w:r>
      <w:r w:rsidR="00E038D6">
        <w:rPr>
          <w:lang w:val="en-US"/>
        </w:rPr>
        <w:t>Th</w:t>
      </w:r>
      <w:r w:rsidR="005E15D8">
        <w:rPr>
          <w:lang w:val="en-US"/>
        </w:rPr>
        <w:t>e curves</w:t>
      </w:r>
      <w:r w:rsidR="00E038D6">
        <w:rPr>
          <w:lang w:val="en-US"/>
        </w:rPr>
        <w:t xml:space="preserve"> show that </w:t>
      </w:r>
      <w:r>
        <w:rPr>
          <w:lang w:val="en-US"/>
        </w:rPr>
        <w:t>the</w:t>
      </w:r>
      <w:r w:rsidR="006438A7">
        <w:rPr>
          <w:lang w:val="en-US"/>
        </w:rPr>
        <w:t xml:space="preserve"> </w:t>
      </w:r>
      <w:r w:rsidR="00802267">
        <w:rPr>
          <w:lang w:val="en-US"/>
        </w:rPr>
        <w:t xml:space="preserve">main </w:t>
      </w:r>
      <w:r w:rsidR="00160203">
        <w:rPr>
          <w:lang w:val="en-US"/>
        </w:rPr>
        <w:t>decomposition occurs between</w:t>
      </w:r>
      <w:r w:rsidR="00802267">
        <w:rPr>
          <w:lang w:val="en-US"/>
        </w:rPr>
        <w:t xml:space="preserve"> 229</w:t>
      </w:r>
      <w:r w:rsidR="00BB50AF">
        <w:rPr>
          <w:lang w:val="en-US"/>
        </w:rPr>
        <w:t xml:space="preserve"> and</w:t>
      </w:r>
      <w:r w:rsidR="00802267">
        <w:rPr>
          <w:lang w:val="en-US"/>
        </w:rPr>
        <w:t xml:space="preserve"> 415 </w:t>
      </w:r>
      <w:r w:rsidR="00BB50AF">
        <w:rPr>
          <w:lang w:val="en-US"/>
        </w:rPr>
        <w:t>°</w:t>
      </w:r>
      <w:r w:rsidR="00802267">
        <w:rPr>
          <w:lang w:val="en-US"/>
        </w:rPr>
        <w:t>C.</w:t>
      </w:r>
      <w:r w:rsidR="00160203">
        <w:rPr>
          <w:lang w:val="en-US"/>
        </w:rPr>
        <w:t xml:space="preserve"> </w:t>
      </w:r>
      <w:r w:rsidR="00802267">
        <w:rPr>
          <w:lang w:val="en-US"/>
        </w:rPr>
        <w:t xml:space="preserve">The </w:t>
      </w:r>
      <w:r w:rsidR="00521CCE">
        <w:rPr>
          <w:lang w:val="en-US"/>
        </w:rPr>
        <w:t>peak of mass loss rate</w:t>
      </w:r>
      <w:r w:rsidR="005E15D8">
        <w:rPr>
          <w:lang w:val="en-US"/>
        </w:rPr>
        <w:t xml:space="preserve"> lies</w:t>
      </w:r>
      <w:r w:rsidR="00802267">
        <w:rPr>
          <w:lang w:val="en-US"/>
        </w:rPr>
        <w:t xml:space="preserve"> in the range of 347-387 </w:t>
      </w:r>
      <w:r w:rsidR="00BB50AF">
        <w:rPr>
          <w:lang w:val="en-US"/>
        </w:rPr>
        <w:t>°</w:t>
      </w:r>
      <w:r w:rsidR="00802267">
        <w:rPr>
          <w:lang w:val="en-US"/>
        </w:rPr>
        <w:t>C</w:t>
      </w:r>
      <w:r w:rsidR="00CD4911">
        <w:rPr>
          <w:lang w:val="en-US"/>
        </w:rPr>
        <w:t xml:space="preserve"> depending upon the heating rate</w:t>
      </w:r>
      <w:r w:rsidR="00802267">
        <w:rPr>
          <w:lang w:val="en-US"/>
        </w:rPr>
        <w:t>. Also the amount of residue left after the decomposition range</w:t>
      </w:r>
      <w:r w:rsidR="005E15D8">
        <w:rPr>
          <w:lang w:val="en-US"/>
        </w:rPr>
        <w:t>s</w:t>
      </w:r>
      <w:r w:rsidR="00802267">
        <w:rPr>
          <w:lang w:val="en-US"/>
        </w:rPr>
        <w:t xml:space="preserve"> from 32% to 50% of initial mass.</w:t>
      </w:r>
      <w:r w:rsidR="005E15D8">
        <w:rPr>
          <w:lang w:val="en-US"/>
        </w:rPr>
        <w:t xml:space="preserve"> There is one main DTG peak visible, hence the reaction is </w:t>
      </w:r>
      <w:r w:rsidR="00701915">
        <w:rPr>
          <w:lang w:val="en-US"/>
        </w:rPr>
        <w:t>assumed to follow one main step (</w:t>
      </w:r>
      <w:r w:rsidR="005E15D8">
        <w:rPr>
          <w:lang w:val="en-US"/>
        </w:rPr>
        <w:t>i.e. the pyrolysis reaction consists of decomposition of solid leading to formation of volatiles and char</w:t>
      </w:r>
      <w:r w:rsidR="00701915">
        <w:rPr>
          <w:lang w:val="en-US"/>
        </w:rPr>
        <w:t>)</w:t>
      </w:r>
      <w:r w:rsidR="005E15D8">
        <w:rPr>
          <w:lang w:val="en-US"/>
        </w:rPr>
        <w:t>.</w:t>
      </w:r>
      <w:r w:rsidR="00CD4911">
        <w:rPr>
          <w:lang w:val="en-US"/>
        </w:rPr>
        <w:t xml:space="preserve"> Table 1 summarizes the experimental observations.</w:t>
      </w:r>
    </w:p>
    <w:p w14:paraId="4504AE88" w14:textId="1059127B" w:rsidR="00160203" w:rsidRPr="00701915" w:rsidRDefault="00160203" w:rsidP="00701915">
      <w:pPr>
        <w:pStyle w:val="Caption"/>
        <w:keepNext/>
        <w:rPr>
          <w:color w:val="000000" w:themeColor="text1"/>
          <w:lang w:val="en-US"/>
        </w:rPr>
      </w:pPr>
      <w:r w:rsidRPr="00701915">
        <w:rPr>
          <w:color w:val="000000" w:themeColor="text1"/>
          <w:lang w:val="en-US"/>
        </w:rPr>
        <w:t xml:space="preserve">Table </w:t>
      </w:r>
      <w:r w:rsidRPr="00701915">
        <w:rPr>
          <w:color w:val="000000" w:themeColor="text1"/>
        </w:rPr>
        <w:fldChar w:fldCharType="begin"/>
      </w:r>
      <w:r w:rsidRPr="00701915">
        <w:rPr>
          <w:color w:val="000000" w:themeColor="text1"/>
          <w:lang w:val="en-US"/>
        </w:rPr>
        <w:instrText xml:space="preserve"> SEQ Table \* ARABIC </w:instrText>
      </w:r>
      <w:r w:rsidRPr="00701915">
        <w:rPr>
          <w:color w:val="000000" w:themeColor="text1"/>
        </w:rPr>
        <w:fldChar w:fldCharType="separate"/>
      </w:r>
      <w:r w:rsidR="00BB585D" w:rsidRPr="00701915">
        <w:rPr>
          <w:noProof/>
          <w:color w:val="000000" w:themeColor="text1"/>
          <w:lang w:val="en-US"/>
        </w:rPr>
        <w:t>1</w:t>
      </w:r>
      <w:r w:rsidRPr="00701915">
        <w:rPr>
          <w:color w:val="000000" w:themeColor="text1"/>
        </w:rPr>
        <w:fldChar w:fldCharType="end"/>
      </w:r>
      <w:r w:rsidR="00701915">
        <w:rPr>
          <w:color w:val="000000" w:themeColor="text1"/>
          <w:lang w:val="en-US"/>
        </w:rPr>
        <w:t>:</w:t>
      </w:r>
      <w:r w:rsidR="00337B1E" w:rsidRPr="00701915">
        <w:rPr>
          <w:color w:val="000000" w:themeColor="text1"/>
          <w:lang w:val="en-US"/>
        </w:rPr>
        <w:t xml:space="preserve"> Summary of</w:t>
      </w:r>
      <w:r w:rsidR="000F7A35">
        <w:rPr>
          <w:color w:val="000000" w:themeColor="text1"/>
          <w:lang w:val="en-US"/>
        </w:rPr>
        <w:t xml:space="preserve"> parameters obtained from</w:t>
      </w:r>
      <w:r w:rsidR="00337B1E" w:rsidRPr="00701915">
        <w:rPr>
          <w:color w:val="000000" w:themeColor="text1"/>
          <w:lang w:val="en-US"/>
        </w:rPr>
        <w:t xml:space="preserve"> TG-DTG </w:t>
      </w:r>
      <w:r w:rsidR="000F7A35">
        <w:rPr>
          <w:color w:val="000000" w:themeColor="text1"/>
          <w:lang w:val="en-US"/>
        </w:rPr>
        <w:t xml:space="preserve">tests for use in FDS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4"/>
        <w:gridCol w:w="1702"/>
        <w:gridCol w:w="1633"/>
        <w:gridCol w:w="1477"/>
        <w:gridCol w:w="1660"/>
        <w:gridCol w:w="1482"/>
      </w:tblGrid>
      <w:tr w:rsidR="004C15E5" w:rsidRPr="00A75889" w14:paraId="1F570DBC" w14:textId="77777777" w:rsidTr="006D05CE">
        <w:tc>
          <w:tcPr>
            <w:tcW w:w="87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A87451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Heating Rate [K/min]</w:t>
            </w:r>
          </w:p>
        </w:tc>
        <w:tc>
          <w:tcPr>
            <w:tcW w:w="88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32A41" w14:textId="77777777" w:rsidR="004C15E5" w:rsidRPr="00741D05" w:rsidRDefault="004C15E5" w:rsidP="00771584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T</w:t>
            </w:r>
            <w:r w:rsidRPr="00741D05">
              <w:rPr>
                <w:vertAlign w:val="subscript"/>
                <w:lang w:val="en-US"/>
              </w:rPr>
              <w:t>onset</w:t>
            </w:r>
            <w:r>
              <w:rPr>
                <w:lang w:val="en-US"/>
              </w:rPr>
              <w:t xml:space="preserve"> [°C]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EF8EFDB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741D05">
              <w:rPr>
                <w:vertAlign w:val="subscript"/>
                <w:lang w:val="en-US"/>
              </w:rPr>
              <w:t>final</w:t>
            </w:r>
            <w:r>
              <w:rPr>
                <w:lang w:val="en-US"/>
              </w:rPr>
              <w:t xml:space="preserve"> [°C]</w:t>
            </w:r>
          </w:p>
        </w:tc>
        <w:tc>
          <w:tcPr>
            <w:tcW w:w="766" w:type="pct"/>
            <w:tcBorders>
              <w:bottom w:val="single" w:sz="4" w:space="0" w:color="auto"/>
            </w:tcBorders>
          </w:tcPr>
          <w:p w14:paraId="1F168225" w14:textId="77777777" w:rsidR="004C15E5" w:rsidRDefault="00741D0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Reference Temperature-</w:t>
            </w:r>
            <w:r w:rsidR="004C15E5">
              <w:rPr>
                <w:lang w:val="en-US"/>
              </w:rPr>
              <w:t>Tp</w:t>
            </w:r>
            <w:r w:rsidR="0083627B">
              <w:rPr>
                <w:lang w:val="en-US"/>
              </w:rPr>
              <w:t xml:space="preserve"> [°C]</w:t>
            </w:r>
          </w:p>
        </w:tc>
        <w:tc>
          <w:tcPr>
            <w:tcW w:w="861" w:type="pct"/>
            <w:tcBorders>
              <w:bottom w:val="single" w:sz="4" w:space="0" w:color="auto"/>
            </w:tcBorders>
            <w:vAlign w:val="center"/>
          </w:tcPr>
          <w:p w14:paraId="3D8B9A43" w14:textId="77777777" w:rsidR="004C15E5" w:rsidRDefault="00741D0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Yield of the r</w:t>
            </w:r>
            <w:r w:rsidR="004C15E5">
              <w:rPr>
                <w:lang w:val="en-US"/>
              </w:rPr>
              <w:t>esidue [</w:t>
            </w:r>
            <m:oMath>
              <m:r>
                <w:rPr>
                  <w:rFonts w:ascii="Cambria Math" w:hAnsi="Cambria Math"/>
                  <w:lang w:val="en-US"/>
                </w:rPr>
                <m:t>ϑs</m:t>
              </m:r>
            </m:oMath>
            <w:r w:rsidR="004C15E5">
              <w:rPr>
                <w:lang w:val="en-US"/>
              </w:rPr>
              <w:t>]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2FA9C77F" w14:textId="77777777" w:rsidR="004C15E5" w:rsidRPr="00D76B94" w:rsidRDefault="00741D05" w:rsidP="00771584">
            <w:pPr>
              <w:jc w:val="center"/>
              <w:rPr>
                <w:lang w:val="en-US"/>
              </w:rPr>
            </w:pPr>
            <w:r w:rsidRPr="00D76B94">
              <w:rPr>
                <w:lang w:val="en-US"/>
              </w:rPr>
              <w:t>Pyrolysis Range-</w:t>
            </w:r>
            <w:r w:rsidR="004C15E5" w:rsidRPr="00D76B94">
              <w:rPr>
                <w:lang w:val="en-US"/>
              </w:rPr>
              <w:t>∆T [°C]</w:t>
            </w:r>
            <w:r w:rsidR="00D76B94" w:rsidRPr="00D76B94">
              <w:rPr>
                <w:lang w:val="en-US"/>
              </w:rPr>
              <w:t xml:space="preserve">= </w:t>
            </w:r>
            <w:r w:rsidR="00D76B94">
              <w:rPr>
                <w:lang w:val="en-US"/>
              </w:rPr>
              <w:t>T</w:t>
            </w:r>
            <w:r w:rsidR="00D76B94" w:rsidRPr="00741D05">
              <w:rPr>
                <w:vertAlign w:val="subscript"/>
                <w:lang w:val="en-US"/>
              </w:rPr>
              <w:t>final</w:t>
            </w:r>
            <w:r w:rsidR="00D76B94">
              <w:rPr>
                <w:vertAlign w:val="subscript"/>
                <w:lang w:val="en-US"/>
              </w:rPr>
              <w:t xml:space="preserve"> -</w:t>
            </w:r>
            <w:r w:rsidR="00D76B94">
              <w:rPr>
                <w:lang w:val="en-US"/>
              </w:rPr>
              <w:t>T</w:t>
            </w:r>
            <w:r w:rsidR="00D76B94" w:rsidRPr="00741D05">
              <w:rPr>
                <w:vertAlign w:val="subscript"/>
                <w:lang w:val="en-US"/>
              </w:rPr>
              <w:t>onset</w:t>
            </w:r>
          </w:p>
        </w:tc>
      </w:tr>
      <w:tr w:rsidR="004C15E5" w14:paraId="71FC2AC2" w14:textId="77777777" w:rsidTr="006D05CE">
        <w:tc>
          <w:tcPr>
            <w:tcW w:w="87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B69A6B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5K/min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4EF2C2" w14:textId="77777777" w:rsidR="004C15E5" w:rsidRDefault="00A05A84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229</w:t>
            </w: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14:paraId="78C3C7ED" w14:textId="77777777" w:rsidR="004C15E5" w:rsidRDefault="00A05A84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  <w:tc>
          <w:tcPr>
            <w:tcW w:w="766" w:type="pct"/>
            <w:tcBorders>
              <w:top w:val="single" w:sz="4" w:space="0" w:color="auto"/>
            </w:tcBorders>
          </w:tcPr>
          <w:p w14:paraId="09D9CBEF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347</w:t>
            </w:r>
          </w:p>
        </w:tc>
        <w:tc>
          <w:tcPr>
            <w:tcW w:w="861" w:type="pct"/>
            <w:tcBorders>
              <w:top w:val="single" w:sz="4" w:space="0" w:color="auto"/>
            </w:tcBorders>
            <w:vAlign w:val="center"/>
          </w:tcPr>
          <w:p w14:paraId="0371349E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0.32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14:paraId="28FC4BFE" w14:textId="77777777" w:rsidR="004C15E5" w:rsidRDefault="00CA14F9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186</w:t>
            </w:r>
          </w:p>
        </w:tc>
      </w:tr>
      <w:tr w:rsidR="004C15E5" w14:paraId="31C93377" w14:textId="77777777" w:rsidTr="006D05CE"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72014C5C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15K/min</w:t>
            </w:r>
          </w:p>
        </w:tc>
        <w:tc>
          <w:tcPr>
            <w:tcW w:w="883" w:type="pct"/>
            <w:tcBorders>
              <w:left w:val="single" w:sz="4" w:space="0" w:color="auto"/>
            </w:tcBorders>
            <w:vAlign w:val="center"/>
          </w:tcPr>
          <w:p w14:paraId="36DB573D" w14:textId="77777777" w:rsidR="004C15E5" w:rsidRDefault="00A05A84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265</w:t>
            </w:r>
          </w:p>
        </w:tc>
        <w:tc>
          <w:tcPr>
            <w:tcW w:w="847" w:type="pct"/>
            <w:vAlign w:val="center"/>
          </w:tcPr>
          <w:p w14:paraId="17AE95B5" w14:textId="77777777" w:rsidR="004C15E5" w:rsidRDefault="00A05A84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395</w:t>
            </w:r>
          </w:p>
        </w:tc>
        <w:tc>
          <w:tcPr>
            <w:tcW w:w="766" w:type="pct"/>
          </w:tcPr>
          <w:p w14:paraId="1FB1EC5D" w14:textId="77777777" w:rsidR="004C15E5" w:rsidRDefault="00A05A84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367</w:t>
            </w:r>
          </w:p>
        </w:tc>
        <w:tc>
          <w:tcPr>
            <w:tcW w:w="861" w:type="pct"/>
            <w:vAlign w:val="center"/>
          </w:tcPr>
          <w:p w14:paraId="07C57AB0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769" w:type="pct"/>
          </w:tcPr>
          <w:p w14:paraId="3E006FAE" w14:textId="77777777" w:rsidR="004C15E5" w:rsidRDefault="00CA14F9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</w:tr>
      <w:tr w:rsidR="004C15E5" w14:paraId="636CF664" w14:textId="77777777" w:rsidTr="006D05CE"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0EC81A20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30K/min</w:t>
            </w:r>
          </w:p>
        </w:tc>
        <w:tc>
          <w:tcPr>
            <w:tcW w:w="883" w:type="pct"/>
            <w:tcBorders>
              <w:left w:val="single" w:sz="4" w:space="0" w:color="auto"/>
            </w:tcBorders>
            <w:vAlign w:val="center"/>
          </w:tcPr>
          <w:p w14:paraId="2D9EF273" w14:textId="77777777" w:rsidR="004C15E5" w:rsidRDefault="00D74F83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280</w:t>
            </w:r>
          </w:p>
        </w:tc>
        <w:tc>
          <w:tcPr>
            <w:tcW w:w="847" w:type="pct"/>
            <w:vAlign w:val="center"/>
          </w:tcPr>
          <w:p w14:paraId="45C801CA" w14:textId="77777777" w:rsidR="004C15E5" w:rsidRDefault="00D74F83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407</w:t>
            </w:r>
          </w:p>
        </w:tc>
        <w:tc>
          <w:tcPr>
            <w:tcW w:w="766" w:type="pct"/>
          </w:tcPr>
          <w:p w14:paraId="24F97E52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387</w:t>
            </w:r>
          </w:p>
        </w:tc>
        <w:tc>
          <w:tcPr>
            <w:tcW w:w="861" w:type="pct"/>
            <w:vAlign w:val="center"/>
          </w:tcPr>
          <w:p w14:paraId="126FE4C3" w14:textId="77777777" w:rsidR="004C15E5" w:rsidRDefault="004C15E5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</w:t>
            </w:r>
          </w:p>
        </w:tc>
        <w:tc>
          <w:tcPr>
            <w:tcW w:w="769" w:type="pct"/>
          </w:tcPr>
          <w:p w14:paraId="69A7BF90" w14:textId="77777777" w:rsidR="004C15E5" w:rsidRDefault="004C15E5" w:rsidP="00D74F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D74F83">
              <w:rPr>
                <w:lang w:val="en-US"/>
              </w:rPr>
              <w:t>27</w:t>
            </w:r>
          </w:p>
        </w:tc>
      </w:tr>
      <w:tr w:rsidR="00D4361A" w14:paraId="2257158A" w14:textId="77777777" w:rsidTr="006D05CE"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66353690" w14:textId="77777777" w:rsidR="00D4361A" w:rsidRDefault="00D4361A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Mean</w:t>
            </w:r>
          </w:p>
        </w:tc>
        <w:tc>
          <w:tcPr>
            <w:tcW w:w="883" w:type="pct"/>
            <w:tcBorders>
              <w:left w:val="single" w:sz="4" w:space="0" w:color="auto"/>
            </w:tcBorders>
            <w:vAlign w:val="center"/>
          </w:tcPr>
          <w:p w14:paraId="227B2328" w14:textId="77777777" w:rsidR="00D4361A" w:rsidRDefault="00C5157D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258</w:t>
            </w:r>
          </w:p>
        </w:tc>
        <w:tc>
          <w:tcPr>
            <w:tcW w:w="847" w:type="pct"/>
            <w:vAlign w:val="center"/>
          </w:tcPr>
          <w:p w14:paraId="69007E22" w14:textId="77777777" w:rsidR="00D4361A" w:rsidRDefault="00106B83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406</w:t>
            </w:r>
          </w:p>
        </w:tc>
        <w:tc>
          <w:tcPr>
            <w:tcW w:w="766" w:type="pct"/>
          </w:tcPr>
          <w:p w14:paraId="52F3DEED" w14:textId="77777777" w:rsidR="00D4361A" w:rsidRDefault="00C5157D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367</w:t>
            </w:r>
          </w:p>
        </w:tc>
        <w:tc>
          <w:tcPr>
            <w:tcW w:w="861" w:type="pct"/>
            <w:vAlign w:val="center"/>
          </w:tcPr>
          <w:p w14:paraId="70BC1E9C" w14:textId="77777777" w:rsidR="00D4361A" w:rsidRDefault="00C5157D" w:rsidP="007715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0.43</w:t>
            </w:r>
          </w:p>
        </w:tc>
        <w:tc>
          <w:tcPr>
            <w:tcW w:w="769" w:type="pct"/>
          </w:tcPr>
          <w:p w14:paraId="7BEF31D1" w14:textId="77777777" w:rsidR="00D4361A" w:rsidRDefault="00106B83" w:rsidP="00D74F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</w:tr>
    </w:tbl>
    <w:p w14:paraId="01E2174B" w14:textId="77777777" w:rsidR="00CD4911" w:rsidRDefault="00CD4911" w:rsidP="00B10F11">
      <w:pPr>
        <w:pStyle w:val="Heading1"/>
        <w:rPr>
          <w:lang w:val="en-US"/>
        </w:rPr>
      </w:pPr>
    </w:p>
    <w:p w14:paraId="59A448A6" w14:textId="77777777" w:rsidR="00CD4911" w:rsidRPr="00A52584" w:rsidRDefault="00CD4911" w:rsidP="00CD4911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0E83EF30" w14:textId="77777777" w:rsidR="00701915" w:rsidRPr="00701915" w:rsidRDefault="00701915" w:rsidP="00701915">
      <w:pPr>
        <w:pStyle w:val="Heading1"/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  <w:lastRenderedPageBreak/>
        <w:t>Determination of the kinetic parameters</w:t>
      </w:r>
    </w:p>
    <w:p w14:paraId="767BB79C" w14:textId="77777777" w:rsidR="00CD4911" w:rsidRDefault="00CD4911" w:rsidP="00CD4911">
      <w:pPr>
        <w:rPr>
          <w:lang w:val="en-US"/>
        </w:rPr>
      </w:pPr>
      <w:r>
        <w:rPr>
          <w:lang w:val="en-US"/>
        </w:rPr>
        <w:t>The</w:t>
      </w:r>
      <w:r w:rsidR="00A52584">
        <w:rPr>
          <w:lang w:val="en-US"/>
        </w:rPr>
        <w:t xml:space="preserve"> reaction kinetic parameters were obtained with the software Fire Dynamics Simulator (FDS) version 6.3.0, based on the input obtained from TGA tests. The kinetic parameters are obtained </w:t>
      </w:r>
      <w:r w:rsidR="001379B5">
        <w:rPr>
          <w:lang w:val="en-US"/>
        </w:rPr>
        <w:t>with equations (1)-(3</w:t>
      </w:r>
      <w:r w:rsidR="00A52584">
        <w:rPr>
          <w:lang w:val="en-US"/>
        </w:rPr>
        <w:t>)</w:t>
      </w:r>
      <w:r w:rsidR="00070EC0" w:rsidRPr="00070EC0">
        <w:rPr>
          <w:lang w:val="en-US"/>
        </w:rPr>
        <w:t xml:space="preserve"> </w:t>
      </w:r>
      <w:r w:rsidR="00070EC0">
        <w:rPr>
          <w:lang w:val="en-US"/>
        </w:rPr>
        <w:fldChar w:fldCharType="begin" w:fldLock="1"/>
      </w:r>
      <w:r w:rsidR="00070EC0">
        <w:rPr>
          <w:lang w:val="en-US"/>
        </w:rPr>
        <w:instrText>ADDIN CSL_CITATION {"citationItems":[{"id":"ITEM-1","itemData":{"DOI":"10.6028/NIST.SP.1019","author":[{"dropping-particle":"","family":"McGrattan","given":"K","non-dropping-particle":"","parse-names":false,"suffix":""},{"dropping-particle":"","family":"Hostikka","given":"S.","non-dropping-particle":"","parse-names":false,"suffix":""},{"dropping-particle":"","family":"McDermott","given":"Randall","non-dropping-particle":"","parse-names":false,"suffix":""},{"dropping-particle":"","family":"Floyd","given":"Jason","non-dropping-particle":"","parse-names":false,"suffix":""},{"dropping-particle":"","family":"Weinschenk","given":"Craig","non-dropping-particle":"","parse-names":false,"suffix":""},{"dropping-particle":"","family":"Overholt","given":"Kristopher","non-dropping-particle":"","parse-names":false,"suffix":""}],"id":"ITEM-1","issued":{"date-parts":[["2004"]]},"title":"FDS User’s Guide","type":"article-journal"},"uris":["http://www.mendeley.com/documents/?uuid=9ef1d18b-dd6e-420f-b22d-44f15e643783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070EC0">
        <w:rPr>
          <w:lang w:val="en-US"/>
        </w:rPr>
        <w:fldChar w:fldCharType="separate"/>
      </w:r>
      <w:r w:rsidR="00070EC0" w:rsidRPr="00BB50AF">
        <w:rPr>
          <w:noProof/>
          <w:lang w:val="en-US"/>
        </w:rPr>
        <w:t>[2]</w:t>
      </w:r>
      <w:r w:rsidR="00070EC0">
        <w:rPr>
          <w:lang w:val="en-US"/>
        </w:rPr>
        <w:fldChar w:fldCharType="end"/>
      </w:r>
      <w:r>
        <w:rPr>
          <w:lang w:val="en-US"/>
        </w:rPr>
        <w:t>.</w:t>
      </w:r>
    </w:p>
    <w:p w14:paraId="033FDE33" w14:textId="77777777" w:rsidR="001379B5" w:rsidRPr="001379B5" w:rsidRDefault="00EC4AF4" w:rsidP="00CD4911">
      <w:pPr>
        <w:rPr>
          <w:rFonts w:eastAsiaTheme="minorEastAsia"/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p,i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s,i</m:t>
                </m:r>
              </m:sub>
            </m:sSub>
            <m:r>
              <w:rPr>
                <w:rFonts w:ascii="Cambria Math" w:hAnsi="Cambria Math"/>
                <w:lang w:val="en-US"/>
              </w:rPr>
              <m:t>(0)</m:t>
            </m:r>
          </m:den>
        </m:f>
        <m:r>
          <w:rPr>
            <w:rFonts w:ascii="Cambria Math" w:hAnsi="Cambria Math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</m:t>
            </m:r>
            <m:acc>
              <m:accPr>
                <m:chr m:val="̇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</m:acc>
            <m:r>
              <w:rPr>
                <w:rFonts w:ascii="Cambria Math" w:hAnsi="Cambria Math"/>
                <w:lang w:val="en-US"/>
              </w:rPr>
              <m:t>(1-ϑs)</m:t>
            </m:r>
          </m:num>
          <m:den>
            <m:r>
              <w:rPr>
                <w:rFonts w:ascii="Cambria Math" w:hAnsi="Cambria Math"/>
                <w:lang w:val="en-US"/>
              </w:rPr>
              <m:t>∆T</m:t>
            </m:r>
          </m:den>
        </m:f>
      </m:oMath>
      <w:r w:rsidR="001379B5">
        <w:rPr>
          <w:rFonts w:eastAsiaTheme="minorEastAsia"/>
          <w:lang w:val="en-US"/>
        </w:rPr>
        <w:tab/>
      </w:r>
      <w:r w:rsidR="001379B5">
        <w:rPr>
          <w:rFonts w:eastAsiaTheme="minorEastAsia"/>
          <w:lang w:val="en-US"/>
        </w:rPr>
        <w:tab/>
      </w:r>
      <w:r w:rsidR="001379B5">
        <w:rPr>
          <w:rFonts w:eastAsiaTheme="minorEastAsia"/>
          <w:lang w:val="en-US"/>
        </w:rPr>
        <w:tab/>
        <w:t>(1)</w:t>
      </w:r>
    </w:p>
    <w:p w14:paraId="443C0E30" w14:textId="77777777" w:rsidR="00A52584" w:rsidRPr="00A52584" w:rsidRDefault="00EC4AF4" w:rsidP="00CD4911">
      <w:pPr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i,1</m:t>
            </m:r>
          </m:sub>
        </m:sSub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e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p,i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s,i</m:t>
                </m:r>
              </m:sub>
            </m:sSub>
            <m:r>
              <w:rPr>
                <w:rFonts w:ascii="Cambria Math" w:eastAsiaTheme="minorEastAsia" w:hAnsi="Cambria Math"/>
                <w:lang w:val="en-US"/>
              </w:rPr>
              <m:t>(0)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R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p,i</m:t>
                </m:r>
              </m:sub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bSup>
          </m:num>
          <m:den>
            <m:acc>
              <m:accPr>
                <m:chr m:val="̇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</m:acc>
          </m:den>
        </m:f>
      </m:oMath>
      <w:r w:rsidR="001379B5">
        <w:rPr>
          <w:rFonts w:eastAsiaTheme="minorEastAsia"/>
          <w:lang w:val="en-US"/>
        </w:rPr>
        <w:tab/>
      </w:r>
      <w:r w:rsidR="001379B5">
        <w:rPr>
          <w:rFonts w:eastAsiaTheme="minorEastAsia"/>
          <w:lang w:val="en-US"/>
        </w:rPr>
        <w:tab/>
      </w:r>
      <w:r w:rsidR="001379B5">
        <w:rPr>
          <w:rFonts w:eastAsiaTheme="minorEastAsia"/>
          <w:lang w:val="en-US"/>
        </w:rPr>
        <w:tab/>
        <w:t>(2</w:t>
      </w:r>
      <w:r w:rsidR="00A52584">
        <w:rPr>
          <w:rFonts w:eastAsiaTheme="minorEastAsia"/>
          <w:lang w:val="en-US"/>
        </w:rPr>
        <w:t>)</w:t>
      </w:r>
    </w:p>
    <w:p w14:paraId="4EF9221A" w14:textId="77777777" w:rsidR="00A52584" w:rsidRPr="00A52584" w:rsidRDefault="00EC4AF4" w:rsidP="00CD4911">
      <w:pPr>
        <w:rPr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i,1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e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p,i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s,i</m:t>
                </m:r>
              </m:sub>
            </m:sSub>
            <m:r>
              <w:rPr>
                <w:rFonts w:ascii="Cambria Math" w:hAnsi="Cambria Math"/>
                <w:lang w:val="en-US"/>
              </w:rPr>
              <m:t>(0)</m:t>
            </m:r>
          </m:den>
        </m:f>
        <m:r>
          <w:rPr>
            <w:rFonts w:ascii="Cambria Math" w:hAnsi="Cambria Math"/>
            <w:lang w:val="en-US"/>
          </w:rPr>
          <m:t xml:space="preserve"> EXP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E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R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p,i</m:t>
                    </m:r>
                  </m:sub>
                </m:sSub>
              </m:den>
            </m:f>
          </m:e>
        </m:d>
      </m:oMath>
      <w:r w:rsidR="001379B5">
        <w:rPr>
          <w:rFonts w:eastAsiaTheme="minorEastAsia"/>
          <w:lang w:val="en-US"/>
        </w:rPr>
        <w:tab/>
      </w:r>
      <w:r w:rsidR="001379B5">
        <w:rPr>
          <w:rFonts w:eastAsiaTheme="minorEastAsia"/>
          <w:lang w:val="en-US"/>
        </w:rPr>
        <w:tab/>
      </w:r>
      <w:r w:rsidR="001379B5">
        <w:rPr>
          <w:rFonts w:eastAsiaTheme="minorEastAsia"/>
          <w:lang w:val="en-US"/>
        </w:rPr>
        <w:tab/>
        <w:t>(3</w:t>
      </w:r>
      <w:r w:rsidR="00A52584">
        <w:rPr>
          <w:rFonts w:eastAsiaTheme="minorEastAsia"/>
          <w:lang w:val="en-US"/>
        </w:rPr>
        <w:t>)</w:t>
      </w:r>
    </w:p>
    <w:p w14:paraId="469E280C" w14:textId="77777777" w:rsidR="00CD4911" w:rsidRPr="00773C28" w:rsidRDefault="00773C28" w:rsidP="005261A1">
      <w:pPr>
        <w:rPr>
          <w:color w:val="000000" w:themeColor="text1"/>
          <w:lang w:val="en-US"/>
        </w:rPr>
      </w:pPr>
      <w:r w:rsidRPr="00773C28">
        <w:rPr>
          <w:color w:val="000000" w:themeColor="text1"/>
          <w:lang w:val="en-US"/>
        </w:rPr>
        <w:t xml:space="preserve">where </w:t>
      </w:r>
      <w:r w:rsidRPr="00773C28">
        <w:rPr>
          <w:i/>
          <w:color w:val="000000" w:themeColor="text1"/>
          <w:lang w:val="en-US"/>
        </w:rPr>
        <w:t>r</w:t>
      </w:r>
      <w:r w:rsidRPr="00773C28">
        <w:rPr>
          <w:i/>
          <w:color w:val="000000" w:themeColor="text1"/>
          <w:vertAlign w:val="subscript"/>
          <w:lang w:val="en-US"/>
        </w:rPr>
        <w:t>p</w:t>
      </w:r>
      <w:r w:rsidRPr="00773C28">
        <w:rPr>
          <w:color w:val="000000" w:themeColor="text1"/>
          <w:lang w:val="en-US"/>
        </w:rPr>
        <w:t xml:space="preserve"> is the reaction rate (-/s), </w:t>
      </w:r>
      <w:r w:rsidRPr="00773C28">
        <w:rPr>
          <w:i/>
          <w:color w:val="000000" w:themeColor="text1"/>
          <w:lang w:val="en-US"/>
        </w:rPr>
        <w:t>Y</w:t>
      </w:r>
      <w:r w:rsidRPr="00773C28">
        <w:rPr>
          <w:i/>
          <w:color w:val="000000" w:themeColor="text1"/>
          <w:vertAlign w:val="subscript"/>
          <w:lang w:val="en-US"/>
        </w:rPr>
        <w:t xml:space="preserve">s </w:t>
      </w:r>
      <w:r w:rsidRPr="00773C28">
        <w:rPr>
          <w:i/>
          <w:color w:val="000000" w:themeColor="text1"/>
          <w:lang w:val="en-US"/>
        </w:rPr>
        <w:t>(0)</w:t>
      </w:r>
      <w:r w:rsidRPr="00773C28">
        <w:rPr>
          <w:color w:val="000000" w:themeColor="text1"/>
          <w:lang w:val="en-US"/>
        </w:rPr>
        <w:t xml:space="preserve"> is the mass fraction of the material undergoing the reaction, </w:t>
      </w:r>
      <m:oMath>
        <m:acc>
          <m:accPr>
            <m:chr m:val="̇"/>
            <m:ctrlPr>
              <w:rPr>
                <w:rFonts w:ascii="Cambria Math" w:hAnsi="Cambria Math"/>
                <w:color w:val="000000" w:themeColor="text1"/>
              </w:rPr>
            </m:ctrlPr>
          </m:acc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</m:acc>
      </m:oMath>
      <w:r w:rsidRPr="00773C28">
        <w:rPr>
          <w:color w:val="000000" w:themeColor="text1"/>
          <w:lang w:val="en-US"/>
        </w:rPr>
        <w:t xml:space="preserve"> is the</w:t>
      </w:r>
      <w:r>
        <w:rPr>
          <w:color w:val="000000" w:themeColor="text1"/>
          <w:lang w:val="en-US"/>
        </w:rPr>
        <w:t xml:space="preserve"> TGA</w:t>
      </w:r>
      <w:r w:rsidRPr="00773C28">
        <w:rPr>
          <w:color w:val="000000" w:themeColor="text1"/>
          <w:lang w:val="en-US"/>
        </w:rPr>
        <w:t xml:space="preserve"> test heating rate (K/s),</w:t>
      </w:r>
      <w:r w:rsidR="001379B5" w:rsidRPr="001379B5">
        <w:rPr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ϑs</m:t>
        </m:r>
      </m:oMath>
      <w:r w:rsidR="001379B5">
        <w:rPr>
          <w:lang w:val="en-US"/>
        </w:rPr>
        <w:t xml:space="preserve"> is the yield of the residue, </w:t>
      </w:r>
      <m:oMath>
        <m:r>
          <w:rPr>
            <w:rFonts w:ascii="Cambria Math" w:hAnsi="Cambria Math"/>
            <w:lang w:val="en-US"/>
          </w:rPr>
          <m:t>∆T</m:t>
        </m:r>
      </m:oMath>
      <w:r w:rsidR="001379B5">
        <w:rPr>
          <w:rFonts w:eastAsiaTheme="minorEastAsia"/>
          <w:lang w:val="en-US"/>
        </w:rPr>
        <w:t xml:space="preserve"> is the pyrolysis range,</w:t>
      </w:r>
      <w:r w:rsidR="001379B5" w:rsidRPr="00773C28">
        <w:rPr>
          <w:i/>
          <w:color w:val="000000" w:themeColor="text1"/>
          <w:lang w:val="en-US"/>
        </w:rPr>
        <w:t xml:space="preserve"> T</w:t>
      </w:r>
      <w:r w:rsidR="001379B5" w:rsidRPr="00773C28">
        <w:rPr>
          <w:i/>
          <w:color w:val="000000" w:themeColor="text1"/>
          <w:vertAlign w:val="subscript"/>
          <w:lang w:val="en-US"/>
        </w:rPr>
        <w:t>p</w:t>
      </w:r>
      <w:r w:rsidR="001379B5" w:rsidRPr="00773C28">
        <w:rPr>
          <w:color w:val="000000" w:themeColor="text1"/>
          <w:lang w:val="en-US"/>
        </w:rPr>
        <w:t xml:space="preserve"> is the reference temperature (K), </w:t>
      </w:r>
      <w:r w:rsidRPr="00773C28">
        <w:rPr>
          <w:color w:val="000000" w:themeColor="text1"/>
          <w:lang w:val="en-US"/>
        </w:rPr>
        <w:t xml:space="preserve"> </w:t>
      </w:r>
      <w:r w:rsidRPr="00773C28">
        <w:rPr>
          <w:rFonts w:eastAsiaTheme="minorEastAsia"/>
          <w:i/>
          <w:color w:val="000000" w:themeColor="text1"/>
          <w:lang w:val="en-US"/>
        </w:rPr>
        <w:t>R</w:t>
      </w:r>
      <w:r>
        <w:rPr>
          <w:rFonts w:eastAsiaTheme="minorEastAsia"/>
          <w:color w:val="000000" w:themeColor="text1"/>
          <w:lang w:val="en-US"/>
        </w:rPr>
        <w:t xml:space="preserve"> is the universal gas constant, </w:t>
      </w:r>
      <w:r w:rsidRPr="00773C28">
        <w:rPr>
          <w:rFonts w:eastAsiaTheme="minorEastAsia"/>
          <w:i/>
          <w:color w:val="000000" w:themeColor="text1"/>
          <w:lang w:val="en-US"/>
        </w:rPr>
        <w:t>A</w:t>
      </w:r>
      <w:r w:rsidRPr="00773C28">
        <w:rPr>
          <w:rFonts w:eastAsiaTheme="minorEastAsia"/>
          <w:color w:val="000000" w:themeColor="text1"/>
          <w:lang w:val="en-US"/>
        </w:rPr>
        <w:t xml:space="preserve"> is the pre-exponential factor (-/s), </w:t>
      </w:r>
      <w:r w:rsidRPr="00773C28">
        <w:rPr>
          <w:rFonts w:eastAsiaTheme="minorEastAsia"/>
          <w:i/>
          <w:color w:val="000000" w:themeColor="text1"/>
          <w:lang w:val="en-US"/>
        </w:rPr>
        <w:t>E</w:t>
      </w:r>
      <w:r w:rsidRPr="00773C28">
        <w:rPr>
          <w:rFonts w:eastAsiaTheme="minorEastAsia"/>
          <w:color w:val="000000" w:themeColor="text1"/>
          <w:lang w:val="en-US"/>
        </w:rPr>
        <w:t xml:space="preserve"> is the activation energy (kJ/kmol) and subscript </w:t>
      </w:r>
      <w:r w:rsidRPr="00773C28">
        <w:rPr>
          <w:rFonts w:eastAsiaTheme="minorEastAsia"/>
          <w:i/>
          <w:color w:val="000000" w:themeColor="text1"/>
          <w:lang w:val="en-US"/>
        </w:rPr>
        <w:t>i</w:t>
      </w:r>
      <w:r w:rsidRPr="00773C28">
        <w:rPr>
          <w:rFonts w:eastAsiaTheme="minorEastAsia"/>
          <w:color w:val="000000" w:themeColor="text1"/>
          <w:lang w:val="en-US"/>
        </w:rPr>
        <w:t xml:space="preserve"> refer to the material component number</w:t>
      </w:r>
      <w:r>
        <w:rPr>
          <w:color w:val="000000" w:themeColor="text1"/>
          <w:lang w:val="en-US"/>
        </w:rPr>
        <w:t xml:space="preserve">. </w:t>
      </w:r>
      <w:r w:rsidR="00CD4911">
        <w:rPr>
          <w:rFonts w:eastAsiaTheme="minorEastAsia"/>
          <w:lang w:val="en-US"/>
        </w:rPr>
        <w:t>Table 2 summarizes the kinetic parameters using the above equations and the inputs from Table 1.</w:t>
      </w:r>
    </w:p>
    <w:p w14:paraId="3C731DB7" w14:textId="77777777" w:rsidR="00D74F83" w:rsidRDefault="00D74F83" w:rsidP="00773C28">
      <w:pPr>
        <w:pStyle w:val="Caption"/>
        <w:keepNext/>
        <w:rPr>
          <w:color w:val="000000" w:themeColor="text1"/>
          <w:lang w:val="en-US"/>
        </w:rPr>
      </w:pPr>
      <w:r w:rsidRPr="00773C28">
        <w:rPr>
          <w:color w:val="000000" w:themeColor="text1"/>
          <w:lang w:val="en-US"/>
        </w:rPr>
        <w:t xml:space="preserve">Table </w:t>
      </w:r>
      <w:r w:rsidRPr="00773C28">
        <w:rPr>
          <w:color w:val="000000" w:themeColor="text1"/>
        </w:rPr>
        <w:fldChar w:fldCharType="begin"/>
      </w:r>
      <w:r w:rsidRPr="00773C28">
        <w:rPr>
          <w:color w:val="000000" w:themeColor="text1"/>
          <w:lang w:val="en-US"/>
        </w:rPr>
        <w:instrText xml:space="preserve"> SEQ Table \* ARABIC </w:instrText>
      </w:r>
      <w:r w:rsidRPr="00773C28">
        <w:rPr>
          <w:color w:val="000000" w:themeColor="text1"/>
        </w:rPr>
        <w:fldChar w:fldCharType="separate"/>
      </w:r>
      <w:r w:rsidR="00BB585D" w:rsidRPr="00773C28">
        <w:rPr>
          <w:noProof/>
          <w:color w:val="000000" w:themeColor="text1"/>
          <w:lang w:val="en-US"/>
        </w:rPr>
        <w:t>2</w:t>
      </w:r>
      <w:r w:rsidRPr="00773C28">
        <w:rPr>
          <w:color w:val="000000" w:themeColor="text1"/>
        </w:rPr>
        <w:fldChar w:fldCharType="end"/>
      </w:r>
      <w:r w:rsidR="00BB50AF">
        <w:rPr>
          <w:color w:val="000000" w:themeColor="text1"/>
          <w:lang w:val="en-US"/>
        </w:rPr>
        <w:t xml:space="preserve">: </w:t>
      </w:r>
      <w:r w:rsidRPr="00773C28">
        <w:rPr>
          <w:color w:val="000000" w:themeColor="text1"/>
          <w:lang w:val="en-US"/>
        </w:rPr>
        <w:t>Calculated Kinetic Pa</w:t>
      </w:r>
      <w:r w:rsidR="00BB50AF">
        <w:rPr>
          <w:color w:val="000000" w:themeColor="text1"/>
          <w:lang w:val="en-US"/>
        </w:rPr>
        <w:t xml:space="preserve">rameters using equations 1 and </w:t>
      </w:r>
      <w:r w:rsidRPr="00773C28">
        <w:rPr>
          <w:color w:val="000000" w:themeColor="text1"/>
          <w:lang w:val="en-US"/>
        </w:rPr>
        <w:t xml:space="preserve">2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408"/>
        <w:gridCol w:w="2411"/>
        <w:gridCol w:w="2410"/>
      </w:tblGrid>
      <w:tr w:rsidR="001379B5" w14:paraId="0BB3AECE" w14:textId="77777777" w:rsidTr="006D05CE"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47C8A7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Heating Rate [K/min]</w:t>
            </w:r>
          </w:p>
        </w:tc>
        <w:tc>
          <w:tcPr>
            <w:tcW w:w="24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E979FA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r</w:t>
            </w:r>
            <w:r w:rsidRPr="004C15E5">
              <w:rPr>
                <w:rFonts w:eastAsiaTheme="minorEastAsia"/>
                <w:vertAlign w:val="subscript"/>
                <w:lang w:val="en-US"/>
              </w:rPr>
              <w:t>pi</w:t>
            </w:r>
            <w:r>
              <w:rPr>
                <w:rFonts w:eastAsiaTheme="minorEastAsia"/>
                <w:lang w:val="en-US"/>
              </w:rPr>
              <w:t xml:space="preserve"> [1/s]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22F90DFD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E [kJ/mol]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479A7628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A[1/s]</w:t>
            </w:r>
          </w:p>
        </w:tc>
      </w:tr>
      <w:tr w:rsidR="001379B5" w14:paraId="2FE3298E" w14:textId="77777777" w:rsidTr="006D05CE">
        <w:tc>
          <w:tcPr>
            <w:tcW w:w="24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45D940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AC1982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0.0012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vAlign w:val="center"/>
          </w:tcPr>
          <w:p w14:paraId="6E5B5EF9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127.1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vAlign w:val="center"/>
          </w:tcPr>
          <w:p w14:paraId="425772FD" w14:textId="77777777" w:rsidR="001379B5" w:rsidRDefault="001379B5" w:rsidP="001379B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1.68E8</w:t>
            </w:r>
          </w:p>
        </w:tc>
      </w:tr>
      <w:tr w:rsidR="001379B5" w14:paraId="0A67ACFF" w14:textId="77777777" w:rsidTr="006D05CE">
        <w:tc>
          <w:tcPr>
            <w:tcW w:w="2444" w:type="dxa"/>
            <w:tcBorders>
              <w:right w:val="single" w:sz="4" w:space="0" w:color="auto"/>
            </w:tcBorders>
            <w:vAlign w:val="center"/>
          </w:tcPr>
          <w:p w14:paraId="38BDF7AA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15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vAlign w:val="center"/>
          </w:tcPr>
          <w:p w14:paraId="6AD30EBF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0.0042</w:t>
            </w:r>
          </w:p>
        </w:tc>
        <w:tc>
          <w:tcPr>
            <w:tcW w:w="2445" w:type="dxa"/>
            <w:vAlign w:val="center"/>
          </w:tcPr>
          <w:p w14:paraId="3DE994FF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153.8</w:t>
            </w:r>
          </w:p>
        </w:tc>
        <w:tc>
          <w:tcPr>
            <w:tcW w:w="2445" w:type="dxa"/>
            <w:vAlign w:val="center"/>
          </w:tcPr>
          <w:p w14:paraId="4505CBC9" w14:textId="77777777" w:rsidR="001379B5" w:rsidRDefault="001379B5" w:rsidP="001379B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4.1E10</w:t>
            </w:r>
          </w:p>
        </w:tc>
      </w:tr>
      <w:tr w:rsidR="001379B5" w14:paraId="7C02D63D" w14:textId="77777777" w:rsidTr="006D05CE">
        <w:tc>
          <w:tcPr>
            <w:tcW w:w="2444" w:type="dxa"/>
            <w:tcBorders>
              <w:right w:val="single" w:sz="4" w:space="0" w:color="auto"/>
            </w:tcBorders>
            <w:vAlign w:val="center"/>
          </w:tcPr>
          <w:p w14:paraId="46647759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30</w:t>
            </w:r>
          </w:p>
        </w:tc>
        <w:tc>
          <w:tcPr>
            <w:tcW w:w="2445" w:type="dxa"/>
            <w:tcBorders>
              <w:left w:val="single" w:sz="4" w:space="0" w:color="auto"/>
            </w:tcBorders>
            <w:vAlign w:val="center"/>
          </w:tcPr>
          <w:p w14:paraId="17435A77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0.0079</w:t>
            </w:r>
          </w:p>
        </w:tc>
        <w:tc>
          <w:tcPr>
            <w:tcW w:w="2445" w:type="dxa"/>
            <w:vAlign w:val="center"/>
          </w:tcPr>
          <w:p w14:paraId="0DF24580" w14:textId="77777777" w:rsidR="001379B5" w:rsidRDefault="001379B5" w:rsidP="00CE70B3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155.1</w:t>
            </w:r>
          </w:p>
        </w:tc>
        <w:tc>
          <w:tcPr>
            <w:tcW w:w="2445" w:type="dxa"/>
            <w:vAlign w:val="center"/>
          </w:tcPr>
          <w:p w14:paraId="2260F0CE" w14:textId="77777777" w:rsidR="001379B5" w:rsidRDefault="001379B5" w:rsidP="001379B5">
            <w:pPr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4.01E10</w:t>
            </w:r>
          </w:p>
        </w:tc>
      </w:tr>
    </w:tbl>
    <w:p w14:paraId="13E1E656" w14:textId="77777777" w:rsidR="00701915" w:rsidRDefault="00701915" w:rsidP="00160203">
      <w:pPr>
        <w:rPr>
          <w:lang w:val="en-US"/>
        </w:rPr>
      </w:pPr>
    </w:p>
    <w:p w14:paraId="5C4E349A" w14:textId="77777777" w:rsidR="00701915" w:rsidRPr="00701915" w:rsidRDefault="00701915" w:rsidP="00701915">
      <w:pPr>
        <w:pStyle w:val="Heading1"/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  <w:lang w:val="en-US"/>
        </w:rPr>
        <w:t>Comparison between the reaction model and the experimental data</w:t>
      </w:r>
    </w:p>
    <w:p w14:paraId="3F44DD19" w14:textId="77777777" w:rsidR="00701915" w:rsidRDefault="00160203" w:rsidP="00701915">
      <w:pPr>
        <w:rPr>
          <w:lang w:val="en-US"/>
        </w:rPr>
      </w:pPr>
      <w:r>
        <w:rPr>
          <w:lang w:val="en-US"/>
        </w:rPr>
        <w:t xml:space="preserve">The TG </w:t>
      </w:r>
      <w:r w:rsidR="00741D05">
        <w:rPr>
          <w:lang w:val="en-US"/>
        </w:rPr>
        <w:t>-</w:t>
      </w:r>
      <w:r w:rsidR="0083627B">
        <w:rPr>
          <w:lang w:val="en-US"/>
        </w:rPr>
        <w:t xml:space="preserve">DTG </w:t>
      </w:r>
      <w:r w:rsidR="00741D05">
        <w:rPr>
          <w:lang w:val="en-US"/>
        </w:rPr>
        <w:t>curves have been simulated</w:t>
      </w:r>
      <w:r>
        <w:rPr>
          <w:lang w:val="en-US"/>
        </w:rPr>
        <w:t xml:space="preserve"> by solving the</w:t>
      </w:r>
      <w:r w:rsidR="0083627B">
        <w:rPr>
          <w:lang w:val="en-US"/>
        </w:rPr>
        <w:t xml:space="preserve"> following</w:t>
      </w:r>
      <w:r>
        <w:rPr>
          <w:lang w:val="en-US"/>
        </w:rPr>
        <w:t xml:space="preserve"> system of ordinary differential e</w:t>
      </w:r>
      <w:r w:rsidR="00CD4911">
        <w:rPr>
          <w:lang w:val="en-US"/>
        </w:rPr>
        <w:t xml:space="preserve">quations corresponding to </w:t>
      </w:r>
      <w:r w:rsidR="0083627B">
        <w:rPr>
          <w:lang w:val="en-US"/>
        </w:rPr>
        <w:t>each heating rate.</w:t>
      </w:r>
      <w:r w:rsidR="00CD4911">
        <w:rPr>
          <w:lang w:val="en-US"/>
        </w:rPr>
        <w:t xml:space="preserve"> </w:t>
      </w:r>
      <w:r w:rsidR="00070EC0">
        <w:rPr>
          <w:lang w:val="en-US"/>
        </w:rPr>
        <w:t xml:space="preserve">A matlab routine was written to solve the below mentioned equations using ode45 solver. </w:t>
      </w:r>
    </w:p>
    <w:p w14:paraId="4FE2EA2A" w14:textId="77777777" w:rsidR="005E15D8" w:rsidRPr="00070EC0" w:rsidRDefault="005E15D8" w:rsidP="00160203">
      <w:pPr>
        <w:rPr>
          <w:i/>
          <w:sz w:val="18"/>
          <w:szCs w:val="18"/>
          <w:lang w:val="en-US"/>
        </w:rPr>
      </w:pPr>
      <w:r w:rsidRPr="00070EC0">
        <w:rPr>
          <w:i/>
          <w:sz w:val="18"/>
          <w:szCs w:val="18"/>
          <w:lang w:val="en-US"/>
        </w:rPr>
        <w:t>Pyrolysis of paper sample into char and volatiles</w:t>
      </w:r>
    </w:p>
    <w:p w14:paraId="4F3E1E2E" w14:textId="77777777" w:rsidR="00160203" w:rsidRPr="00701915" w:rsidRDefault="00EC4AF4" w:rsidP="00160203">
      <w:pPr>
        <w:rPr>
          <w:rFonts w:eastAsiaTheme="minorEastAsia"/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dY1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  <m:r>
          <w:rPr>
            <w:rFonts w:ascii="Cambria Math" w:hAnsi="Cambria Math"/>
            <w:lang w:val="en-US"/>
          </w:rPr>
          <m:t>=-A*</m:t>
        </m:r>
        <m:func>
          <m:funcPr>
            <m:ctrlPr>
              <w:rPr>
                <w:rFonts w:ascii="Cambria Math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exp</m:t>
            </m:r>
            <m:ctrlPr>
              <w:rPr>
                <w:rFonts w:ascii="Cambria Math" w:hAnsi="Cambria Math"/>
                <w:i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RT</m:t>
                    </m:r>
                  </m:den>
                </m:f>
              </m:e>
            </m:d>
          </m:e>
        </m:func>
        <m:r>
          <w:rPr>
            <w:rFonts w:ascii="Cambria Math" w:hAnsi="Cambria Math"/>
            <w:lang w:val="en-US"/>
          </w:rPr>
          <m:t>*Y1</m:t>
        </m:r>
      </m:oMath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  <w:t>(4)</w:t>
      </w:r>
    </w:p>
    <w:p w14:paraId="1D18AB25" w14:textId="77777777" w:rsidR="00160203" w:rsidRPr="00070EC0" w:rsidRDefault="005E15D8" w:rsidP="00160203">
      <w:pPr>
        <w:rPr>
          <w:rFonts w:eastAsiaTheme="minorEastAsia"/>
          <w:i/>
          <w:sz w:val="18"/>
          <w:szCs w:val="18"/>
          <w:lang w:val="en-US"/>
        </w:rPr>
      </w:pPr>
      <w:r w:rsidRPr="00070EC0">
        <w:rPr>
          <w:rFonts w:eastAsiaTheme="minorEastAsia"/>
          <w:i/>
          <w:sz w:val="18"/>
          <w:szCs w:val="18"/>
          <w:lang w:val="en-US"/>
        </w:rPr>
        <w:t>Char formation reaction</w:t>
      </w:r>
    </w:p>
    <w:p w14:paraId="566A7B83" w14:textId="77777777" w:rsidR="00160203" w:rsidRPr="00701915" w:rsidRDefault="00EC4AF4" w:rsidP="00160203">
      <w:pPr>
        <w:rPr>
          <w:rFonts w:eastAsiaTheme="minorEastAsia"/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dY2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  <m:r>
          <w:rPr>
            <w:rFonts w:ascii="Cambria Math" w:hAnsi="Cambria Math"/>
            <w:lang w:val="en-US"/>
          </w:rPr>
          <m:t>= - ϑ*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dY1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</m:oMath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  <w:t>(5)</w:t>
      </w:r>
    </w:p>
    <w:p w14:paraId="4E113EF5" w14:textId="77777777" w:rsidR="00160203" w:rsidRPr="00070EC0" w:rsidRDefault="0083627B" w:rsidP="00160203">
      <w:pPr>
        <w:rPr>
          <w:i/>
          <w:sz w:val="18"/>
          <w:szCs w:val="18"/>
          <w:lang w:val="en-US"/>
        </w:rPr>
      </w:pPr>
      <w:r w:rsidRPr="00070EC0">
        <w:rPr>
          <w:i/>
          <w:sz w:val="18"/>
          <w:szCs w:val="18"/>
          <w:lang w:val="en-US"/>
        </w:rPr>
        <w:t>Net Reaction Rate</w:t>
      </w:r>
    </w:p>
    <w:p w14:paraId="06A92C34" w14:textId="77777777" w:rsidR="00160203" w:rsidRPr="00701915" w:rsidRDefault="0083627B" w:rsidP="00160203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dY1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  <m:r>
          <w:rPr>
            <w:rFonts w:ascii="Cambria Math" w:hAnsi="Cambria Math"/>
            <w:lang w:val="en-US"/>
          </w:rPr>
          <m:t xml:space="preserve">+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dY2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</m:oMath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  <w:t>(6)</w:t>
      </w:r>
    </w:p>
    <w:p w14:paraId="23116949" w14:textId="77777777" w:rsidR="0083627B" w:rsidRPr="00070EC0" w:rsidRDefault="0083627B" w:rsidP="00160203">
      <w:pPr>
        <w:rPr>
          <w:rFonts w:eastAsiaTheme="minorEastAsia"/>
          <w:i/>
          <w:sz w:val="18"/>
          <w:szCs w:val="18"/>
          <w:lang w:val="en-US"/>
        </w:rPr>
      </w:pPr>
      <w:r w:rsidRPr="00070EC0">
        <w:rPr>
          <w:rFonts w:eastAsiaTheme="minorEastAsia"/>
          <w:i/>
          <w:sz w:val="18"/>
          <w:szCs w:val="18"/>
          <w:lang w:val="en-US"/>
        </w:rPr>
        <w:t>Combined Mass Fraction</w:t>
      </w:r>
      <w:r w:rsidR="005E15D8" w:rsidRPr="00070EC0">
        <w:rPr>
          <w:rFonts w:eastAsiaTheme="minorEastAsia"/>
          <w:i/>
          <w:sz w:val="18"/>
          <w:szCs w:val="18"/>
          <w:lang w:val="en-US"/>
        </w:rPr>
        <w:t xml:space="preserve"> </w:t>
      </w:r>
    </w:p>
    <w:p w14:paraId="6E00D74E" w14:textId="77777777" w:rsidR="0083627B" w:rsidRDefault="0083627B" w:rsidP="00701915">
      <w:pPr>
        <w:rPr>
          <w:rFonts w:eastAsiaTheme="minorEastAsia"/>
          <w:lang w:val="en-US"/>
        </w:rPr>
      </w:pPr>
      <m:oMath>
        <m:r>
          <w:rPr>
            <w:rFonts w:ascii="Cambria Math" w:eastAsiaTheme="minorEastAsia" w:hAnsi="Cambria Math"/>
            <w:lang w:val="en-US"/>
          </w:rPr>
          <m:t>Y=Y1+Y2</m:t>
        </m:r>
      </m:oMath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</w:r>
      <w:r w:rsidR="00701915">
        <w:rPr>
          <w:rFonts w:eastAsiaTheme="minorEastAsia"/>
          <w:lang w:val="en-US"/>
        </w:rPr>
        <w:tab/>
        <w:t>(7)</w:t>
      </w:r>
    </w:p>
    <w:p w14:paraId="3150B79C" w14:textId="77777777" w:rsidR="00070EC0" w:rsidRPr="00701915" w:rsidRDefault="00070EC0" w:rsidP="00701915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lastRenderedPageBreak/>
        <w:fldChar w:fldCharType="begin"/>
      </w:r>
      <w:r>
        <w:rPr>
          <w:rFonts w:eastAsiaTheme="minorEastAsia"/>
          <w:lang w:val="en-US"/>
        </w:rPr>
        <w:instrText xml:space="preserve"> REF _Ref63935580 \h </w:instrText>
      </w:r>
      <w:r>
        <w:rPr>
          <w:rFonts w:eastAsiaTheme="minorEastAsia"/>
          <w:lang w:val="en-US"/>
        </w:rPr>
      </w:r>
      <w:r>
        <w:rPr>
          <w:rFonts w:eastAsiaTheme="minorEastAsia"/>
          <w:lang w:val="en-US"/>
        </w:rPr>
        <w:fldChar w:fldCharType="separate"/>
      </w:r>
      <w:r w:rsidRPr="00701915">
        <w:rPr>
          <w:color w:val="000000" w:themeColor="text1"/>
          <w:lang w:val="en-GB"/>
        </w:rPr>
        <w:t>Figure</w:t>
      </w:r>
      <w:r w:rsidRPr="00701915">
        <w:rPr>
          <w:color w:val="000000" w:themeColor="text1"/>
          <w:lang w:val="en-US"/>
        </w:rPr>
        <w:t xml:space="preserve"> </w:t>
      </w:r>
      <w:r>
        <w:rPr>
          <w:noProof/>
          <w:color w:val="000000" w:themeColor="text1"/>
          <w:lang w:val="en-US"/>
        </w:rPr>
        <w:t>3</w:t>
      </w:r>
      <w:r>
        <w:rPr>
          <w:rFonts w:eastAsiaTheme="minorEastAsia"/>
          <w:lang w:val="en-US"/>
        </w:rPr>
        <w:fldChar w:fldCharType="end"/>
      </w:r>
      <w:r>
        <w:rPr>
          <w:rFonts w:eastAsiaTheme="minorEastAsia"/>
          <w:lang w:val="en-US"/>
        </w:rPr>
        <w:t xml:space="preserve"> and </w:t>
      </w:r>
      <w:r>
        <w:rPr>
          <w:rFonts w:eastAsiaTheme="minorEastAsia"/>
          <w:lang w:val="en-US"/>
        </w:rPr>
        <w:fldChar w:fldCharType="begin"/>
      </w:r>
      <w:r>
        <w:rPr>
          <w:rFonts w:eastAsiaTheme="minorEastAsia"/>
          <w:lang w:val="en-US"/>
        </w:rPr>
        <w:instrText xml:space="preserve"> REF _Ref63935583 \h </w:instrText>
      </w:r>
      <w:r>
        <w:rPr>
          <w:rFonts w:eastAsiaTheme="minorEastAsia"/>
          <w:lang w:val="en-US"/>
        </w:rPr>
      </w:r>
      <w:r>
        <w:rPr>
          <w:rFonts w:eastAsiaTheme="minorEastAsia"/>
          <w:lang w:val="en-US"/>
        </w:rPr>
        <w:fldChar w:fldCharType="separate"/>
      </w:r>
      <w:r w:rsidRPr="00701915">
        <w:rPr>
          <w:color w:val="000000" w:themeColor="text1"/>
          <w:lang w:val="en-GB"/>
        </w:rPr>
        <w:t>Figure</w:t>
      </w:r>
      <w:r w:rsidRPr="00701915">
        <w:rPr>
          <w:color w:val="000000" w:themeColor="text1"/>
          <w:lang w:val="en-US"/>
        </w:rPr>
        <w:t xml:space="preserve"> </w:t>
      </w:r>
      <w:r>
        <w:rPr>
          <w:noProof/>
          <w:color w:val="000000" w:themeColor="text1"/>
          <w:lang w:val="en-US"/>
        </w:rPr>
        <w:t>4</w:t>
      </w:r>
      <w:r>
        <w:rPr>
          <w:rFonts w:eastAsiaTheme="minorEastAsia"/>
          <w:lang w:val="en-US"/>
        </w:rPr>
        <w:fldChar w:fldCharType="end"/>
      </w:r>
      <w:r>
        <w:rPr>
          <w:rFonts w:eastAsiaTheme="minorEastAsia"/>
          <w:lang w:val="en-US"/>
        </w:rPr>
        <w:t xml:space="preserve"> show the comparison between the kinetic model and the experimental data. Results show good agreement between the experimental data and the modelling results.</w:t>
      </w:r>
    </w:p>
    <w:p w14:paraId="00A0A149" w14:textId="77777777" w:rsidR="00CA14F9" w:rsidRDefault="00C432D2" w:rsidP="00741D05">
      <w:pPr>
        <w:jc w:val="center"/>
        <w:rPr>
          <w:rFonts w:eastAsiaTheme="minorEastAsia"/>
          <w:lang w:val="en-US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18BC8B2D" wp14:editId="14340475">
            <wp:extent cx="4178597" cy="3133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s and exp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104" cy="31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8172E" w14:textId="77777777" w:rsidR="00070EC0" w:rsidRPr="00701915" w:rsidRDefault="00070EC0" w:rsidP="00070EC0">
      <w:pPr>
        <w:pStyle w:val="Caption"/>
        <w:jc w:val="center"/>
        <w:rPr>
          <w:color w:val="000000" w:themeColor="text1"/>
          <w:lang w:val="en-US"/>
        </w:rPr>
      </w:pPr>
      <w:bookmarkStart w:id="3" w:name="_Ref63935580"/>
      <w:r w:rsidRPr="00701915">
        <w:rPr>
          <w:color w:val="000000" w:themeColor="text1"/>
          <w:lang w:val="en-GB"/>
        </w:rPr>
        <w:t>Figure</w:t>
      </w:r>
      <w:r w:rsidRPr="00701915">
        <w:rPr>
          <w:color w:val="000000" w:themeColor="text1"/>
          <w:lang w:val="en-US"/>
        </w:rPr>
        <w:t xml:space="preserve"> </w:t>
      </w:r>
      <w:r w:rsidRPr="00701915">
        <w:rPr>
          <w:color w:val="000000" w:themeColor="text1"/>
        </w:rPr>
        <w:fldChar w:fldCharType="begin"/>
      </w:r>
      <w:r w:rsidRPr="00701915">
        <w:rPr>
          <w:color w:val="000000" w:themeColor="text1"/>
          <w:lang w:val="en-US"/>
        </w:rPr>
        <w:instrText xml:space="preserve"> SEQ Figure \* ARABIC </w:instrText>
      </w:r>
      <w:r w:rsidRPr="00701915">
        <w:rPr>
          <w:color w:val="000000" w:themeColor="text1"/>
        </w:rPr>
        <w:fldChar w:fldCharType="separate"/>
      </w:r>
      <w:r>
        <w:rPr>
          <w:noProof/>
          <w:color w:val="000000" w:themeColor="text1"/>
          <w:lang w:val="en-US"/>
        </w:rPr>
        <w:t>3</w:t>
      </w:r>
      <w:r w:rsidRPr="00701915">
        <w:rPr>
          <w:color w:val="000000" w:themeColor="text1"/>
        </w:rPr>
        <w:fldChar w:fldCharType="end"/>
      </w:r>
      <w:bookmarkEnd w:id="3"/>
      <w:r w:rsidRPr="00701915">
        <w:rPr>
          <w:color w:val="000000" w:themeColor="text1"/>
          <w:lang w:val="en-US"/>
        </w:rPr>
        <w:t xml:space="preserve">: </w:t>
      </w:r>
      <w:r>
        <w:rPr>
          <w:color w:val="000000" w:themeColor="text1"/>
          <w:lang w:val="en-US"/>
        </w:rPr>
        <w:t xml:space="preserve"> Comparison of the experimental and simulated mass loss</w:t>
      </w:r>
    </w:p>
    <w:p w14:paraId="277E1941" w14:textId="77777777" w:rsidR="00070EC0" w:rsidRDefault="00070EC0" w:rsidP="00741D05">
      <w:pPr>
        <w:jc w:val="center"/>
        <w:rPr>
          <w:rFonts w:eastAsiaTheme="minorEastAsia"/>
          <w:lang w:val="en-US"/>
        </w:rPr>
      </w:pPr>
    </w:p>
    <w:p w14:paraId="2B9B93EA" w14:textId="77777777" w:rsidR="0083627B" w:rsidRPr="00802267" w:rsidRDefault="001C439F" w:rsidP="00741D05">
      <w:pPr>
        <w:keepNext/>
        <w:jc w:val="center"/>
        <w:rPr>
          <w:lang w:val="en-US"/>
        </w:rPr>
      </w:pPr>
      <w:r>
        <w:rPr>
          <w:rFonts w:eastAsiaTheme="minorEastAsia"/>
          <w:noProof/>
          <w:lang w:val="en-US"/>
        </w:rPr>
        <w:drawing>
          <wp:inline distT="0" distB="0" distL="0" distR="0" wp14:anchorId="2A9BBE71" wp14:editId="33E5C8E6">
            <wp:extent cx="4410075" cy="330732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S_DTG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978" cy="330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4A2C" w14:textId="77777777" w:rsidR="00070EC0" w:rsidRPr="00701915" w:rsidRDefault="00070EC0" w:rsidP="00070EC0">
      <w:pPr>
        <w:pStyle w:val="Caption"/>
        <w:jc w:val="center"/>
        <w:rPr>
          <w:color w:val="000000" w:themeColor="text1"/>
          <w:lang w:val="en-US"/>
        </w:rPr>
      </w:pPr>
      <w:bookmarkStart w:id="4" w:name="_Ref63935583"/>
      <w:r w:rsidRPr="00701915">
        <w:rPr>
          <w:color w:val="000000" w:themeColor="text1"/>
          <w:lang w:val="en-GB"/>
        </w:rPr>
        <w:t>Figure</w:t>
      </w:r>
      <w:r w:rsidRPr="00701915">
        <w:rPr>
          <w:color w:val="000000" w:themeColor="text1"/>
          <w:lang w:val="en-US"/>
        </w:rPr>
        <w:t xml:space="preserve"> </w:t>
      </w:r>
      <w:r w:rsidRPr="00701915">
        <w:rPr>
          <w:color w:val="000000" w:themeColor="text1"/>
        </w:rPr>
        <w:fldChar w:fldCharType="begin"/>
      </w:r>
      <w:r w:rsidRPr="00701915">
        <w:rPr>
          <w:color w:val="000000" w:themeColor="text1"/>
          <w:lang w:val="en-US"/>
        </w:rPr>
        <w:instrText xml:space="preserve"> SEQ Figure \* ARABIC </w:instrText>
      </w:r>
      <w:r w:rsidRPr="00701915">
        <w:rPr>
          <w:color w:val="000000" w:themeColor="text1"/>
        </w:rPr>
        <w:fldChar w:fldCharType="separate"/>
      </w:r>
      <w:r>
        <w:rPr>
          <w:noProof/>
          <w:color w:val="000000" w:themeColor="text1"/>
          <w:lang w:val="en-US"/>
        </w:rPr>
        <w:t>4</w:t>
      </w:r>
      <w:r w:rsidRPr="00701915">
        <w:rPr>
          <w:color w:val="000000" w:themeColor="text1"/>
        </w:rPr>
        <w:fldChar w:fldCharType="end"/>
      </w:r>
      <w:bookmarkEnd w:id="4"/>
      <w:r w:rsidRPr="00701915">
        <w:rPr>
          <w:color w:val="000000" w:themeColor="text1"/>
          <w:lang w:val="en-US"/>
        </w:rPr>
        <w:t xml:space="preserve">: </w:t>
      </w:r>
      <w:r>
        <w:rPr>
          <w:color w:val="000000" w:themeColor="text1"/>
          <w:lang w:val="en-US"/>
        </w:rPr>
        <w:t xml:space="preserve"> Comparison of the experimental and simulated DTG curve</w:t>
      </w:r>
    </w:p>
    <w:p w14:paraId="5CD820C2" w14:textId="77777777" w:rsidR="00CD4911" w:rsidRPr="00CD4911" w:rsidRDefault="00CD4911" w:rsidP="00CD4911">
      <w:pPr>
        <w:rPr>
          <w:lang w:val="en-US"/>
        </w:rPr>
      </w:pPr>
    </w:p>
    <w:p w14:paraId="6A6D9F75" w14:textId="77777777" w:rsidR="00CD4911" w:rsidRPr="00DD6F77" w:rsidRDefault="00CD4911" w:rsidP="00CD4911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DD6F7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lastRenderedPageBreak/>
        <w:t>References</w:t>
      </w:r>
    </w:p>
    <w:p w14:paraId="0A8B4019" w14:textId="77777777" w:rsidR="00070EC0" w:rsidRPr="00165DC9" w:rsidRDefault="00CD4911" w:rsidP="00070EC0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szCs w:val="24"/>
          <w:lang w:val="en-US"/>
        </w:rPr>
      </w:pPr>
      <w:r>
        <w:rPr>
          <w:lang w:val="en-US"/>
        </w:rPr>
        <w:fldChar w:fldCharType="begin" w:fldLock="1"/>
      </w:r>
      <w:r>
        <w:rPr>
          <w:lang w:val="en-US"/>
        </w:rPr>
        <w:instrText xml:space="preserve">ADDIN Mendeley Bibliography CSL_BIBLIOGRAPHY </w:instrText>
      </w:r>
      <w:r>
        <w:rPr>
          <w:lang w:val="en-US"/>
        </w:rPr>
        <w:fldChar w:fldCharType="separate"/>
      </w:r>
      <w:r w:rsidR="00070EC0" w:rsidRPr="00165DC9">
        <w:rPr>
          <w:rFonts w:ascii="Calibri" w:hAnsi="Calibri" w:cs="Calibri"/>
          <w:noProof/>
          <w:szCs w:val="24"/>
          <w:lang w:val="en-US"/>
        </w:rPr>
        <w:t>[1]</w:t>
      </w:r>
      <w:r w:rsidR="00070EC0" w:rsidRPr="00165DC9">
        <w:rPr>
          <w:rFonts w:ascii="Calibri" w:hAnsi="Calibri" w:cs="Calibri"/>
          <w:noProof/>
          <w:szCs w:val="24"/>
          <w:lang w:val="en-US"/>
        </w:rPr>
        <w:tab/>
        <w:t>A. Bhargava, B. Andersson, P. Van Hees, H. Sina, S. Iyengar, S. Technology, Distributed Reactivity Model to Predict Multistage Pyrolysis of Polymeric Materials and Sensitivity Analysis, in: Interflam’16, 14th Int. Conf. Exhib. Fire Sci. Eng., 4-6th July, London, UK, 2016: pp. 107–118.</w:t>
      </w:r>
    </w:p>
    <w:p w14:paraId="1B26A479" w14:textId="77777777" w:rsidR="00070EC0" w:rsidRPr="00165DC9" w:rsidRDefault="00070EC0" w:rsidP="00070EC0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Calibri" w:hAnsi="Calibri" w:cs="Calibri"/>
          <w:noProof/>
          <w:lang w:val="en-US"/>
        </w:rPr>
      </w:pPr>
      <w:r w:rsidRPr="00165DC9">
        <w:rPr>
          <w:rFonts w:ascii="Calibri" w:hAnsi="Calibri" w:cs="Calibri"/>
          <w:noProof/>
          <w:szCs w:val="24"/>
          <w:lang w:val="en-US"/>
        </w:rPr>
        <w:t>[2]</w:t>
      </w:r>
      <w:r w:rsidRPr="00165DC9">
        <w:rPr>
          <w:rFonts w:ascii="Calibri" w:hAnsi="Calibri" w:cs="Calibri"/>
          <w:noProof/>
          <w:szCs w:val="24"/>
          <w:lang w:val="en-US"/>
        </w:rPr>
        <w:tab/>
        <w:t>K. McGrattan, S. Hostikka, R. McDermott, J. Floyd, C. Weinschenk, K. Overholt, FDS User’s Guide, (2004). doi:10.6028/NIST.SP.1019.</w:t>
      </w:r>
    </w:p>
    <w:p w14:paraId="348081EF" w14:textId="77777777" w:rsidR="00BB585D" w:rsidRPr="00F30C19" w:rsidRDefault="00CD4911" w:rsidP="00F30C19">
      <w:pPr>
        <w:rPr>
          <w:lang w:val="en-US"/>
        </w:rPr>
      </w:pPr>
      <w:r>
        <w:rPr>
          <w:lang w:val="en-US"/>
        </w:rPr>
        <w:fldChar w:fldCharType="end"/>
      </w:r>
    </w:p>
    <w:sectPr w:rsidR="00BB585D" w:rsidRPr="00F30C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D4C96"/>
    <w:multiLevelType w:val="hybridMultilevel"/>
    <w:tmpl w:val="6AE2E0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A1"/>
    <w:rsid w:val="00070EC0"/>
    <w:rsid w:val="000F7A35"/>
    <w:rsid w:val="00106B83"/>
    <w:rsid w:val="001379B5"/>
    <w:rsid w:val="00160203"/>
    <w:rsid w:val="00165DC9"/>
    <w:rsid w:val="001C439F"/>
    <w:rsid w:val="00247139"/>
    <w:rsid w:val="00337B1E"/>
    <w:rsid w:val="004C15E5"/>
    <w:rsid w:val="004D0F0B"/>
    <w:rsid w:val="00521CCE"/>
    <w:rsid w:val="005261A1"/>
    <w:rsid w:val="005C3D4E"/>
    <w:rsid w:val="005C5768"/>
    <w:rsid w:val="005E15D8"/>
    <w:rsid w:val="006438A7"/>
    <w:rsid w:val="006609A5"/>
    <w:rsid w:val="006D05CE"/>
    <w:rsid w:val="00701915"/>
    <w:rsid w:val="00741D05"/>
    <w:rsid w:val="00771584"/>
    <w:rsid w:val="00773C28"/>
    <w:rsid w:val="007A497B"/>
    <w:rsid w:val="007D2B8F"/>
    <w:rsid w:val="00802267"/>
    <w:rsid w:val="0083627B"/>
    <w:rsid w:val="00846B94"/>
    <w:rsid w:val="00877710"/>
    <w:rsid w:val="00A05A84"/>
    <w:rsid w:val="00A52584"/>
    <w:rsid w:val="00A67957"/>
    <w:rsid w:val="00A75889"/>
    <w:rsid w:val="00B10F11"/>
    <w:rsid w:val="00B658EF"/>
    <w:rsid w:val="00B9734E"/>
    <w:rsid w:val="00BB50AF"/>
    <w:rsid w:val="00BB585D"/>
    <w:rsid w:val="00C432D2"/>
    <w:rsid w:val="00C5157D"/>
    <w:rsid w:val="00CA14F9"/>
    <w:rsid w:val="00CD4911"/>
    <w:rsid w:val="00D251F0"/>
    <w:rsid w:val="00D4361A"/>
    <w:rsid w:val="00D74F83"/>
    <w:rsid w:val="00D76B94"/>
    <w:rsid w:val="00DD6F77"/>
    <w:rsid w:val="00E038D6"/>
    <w:rsid w:val="00E331EA"/>
    <w:rsid w:val="00EC4AF4"/>
    <w:rsid w:val="00F3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5FDC"/>
  <w15:docId w15:val="{866A0694-C91A-43E2-B75C-E9BBD4E6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1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261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61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261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8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038D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1584"/>
    <w:rPr>
      <w:color w:val="808080"/>
    </w:rPr>
  </w:style>
  <w:style w:type="paragraph" w:styleId="ListParagraph">
    <w:name w:val="List Paragraph"/>
    <w:basedOn w:val="Normal"/>
    <w:uiPriority w:val="34"/>
    <w:qFormat/>
    <w:rsid w:val="00337B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1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6F3B8-1896-4546-A51F-56CC0A88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 Bhargava</dc:creator>
  <cp:lastModifiedBy>Blanca Andres Valiente</cp:lastModifiedBy>
  <cp:revision>4</cp:revision>
  <dcterms:created xsi:type="dcterms:W3CDTF">2021-02-11T12:42:00Z</dcterms:created>
  <dcterms:modified xsi:type="dcterms:W3CDTF">2021-02-11T12:47:00Z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63706e59-578e-3550-9395-5c246f5420d2</vt:lpwstr>
  </property>
  <property fmtid="{D5CDD505-2E9C-101B-9397-08002B2CF9AE}" pid="4" name="Mendeley Citation Style_1">
    <vt:lpwstr>http://www.zotero.org/styles/fire-safety-journal</vt:lpwstr>
  </property>
  <property fmtid="{D5CDD505-2E9C-101B-9397-08002B2CF9AE}" pid="5" name="Mendeley Recent Style Id 0_1">
    <vt:lpwstr>http://www.zotero.org/styles/acta-societatis-botanicorum-poloniae</vt:lpwstr>
  </property>
  <property fmtid="{D5CDD505-2E9C-101B-9397-08002B2CF9AE}" pid="6" name="Mendeley Recent Style Name 0_1">
    <vt:lpwstr>Acta Societatis Botanicorum Poloniae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http://www.zotero.org/styles/fire-safety-journal</vt:lpwstr>
  </property>
  <property fmtid="{D5CDD505-2E9C-101B-9397-08002B2CF9AE}" pid="16" name="Mendeley Recent Style Name 5_1">
    <vt:lpwstr>Fire Safety Journal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