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231EEF" w14:textId="05A1CC77" w:rsidR="005C7856" w:rsidRPr="00DB19C7" w:rsidRDefault="005C7856" w:rsidP="008B3CFB">
      <w:pPr>
        <w:ind w:left="708" w:hanging="708"/>
        <w:rPr>
          <w:color w:val="auto"/>
        </w:rPr>
      </w:pPr>
      <w:r w:rsidRPr="00DB19C7">
        <w:rPr>
          <w:color w:val="auto"/>
        </w:rPr>
        <w:t>Table S1: Particle size parameters and proximate analysis</w:t>
      </w:r>
      <w:r w:rsidR="002D147A" w:rsidRPr="00DB19C7">
        <w:rPr>
          <w:color w:val="auto"/>
        </w:rPr>
        <w:t xml:space="preserve"> </w:t>
      </w:r>
      <w:r w:rsidR="0054619F" w:rsidRPr="00DB19C7">
        <w:rPr>
          <w:color w:val="auto"/>
          <w:vertAlign w:val="superscript"/>
        </w:rPr>
        <w:t>a</w:t>
      </w:r>
    </w:p>
    <w:tbl>
      <w:tblPr>
        <w:tblW w:w="15045" w:type="dxa"/>
        <w:tblLook w:val="04A0" w:firstRow="1" w:lastRow="0" w:firstColumn="1" w:lastColumn="0" w:noHBand="0" w:noVBand="1"/>
      </w:tblPr>
      <w:tblGrid>
        <w:gridCol w:w="517"/>
        <w:gridCol w:w="1746"/>
        <w:gridCol w:w="767"/>
        <w:gridCol w:w="767"/>
        <w:gridCol w:w="1018"/>
        <w:gridCol w:w="1096"/>
        <w:gridCol w:w="767"/>
        <w:gridCol w:w="765"/>
        <w:gridCol w:w="1199"/>
        <w:gridCol w:w="1137"/>
        <w:gridCol w:w="567"/>
        <w:gridCol w:w="1134"/>
        <w:gridCol w:w="737"/>
        <w:gridCol w:w="737"/>
        <w:gridCol w:w="737"/>
        <w:gridCol w:w="737"/>
        <w:gridCol w:w="617"/>
      </w:tblGrid>
      <w:tr w:rsidR="00DB19C7" w:rsidRPr="00DB19C7" w14:paraId="0C2E86FA" w14:textId="4BE5C527" w:rsidTr="00B365E2">
        <w:trPr>
          <w:trHeight w:val="276"/>
        </w:trPr>
        <w:tc>
          <w:tcPr>
            <w:tcW w:w="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DD4B84" w14:textId="77777777" w:rsidR="002B4066" w:rsidRPr="00DB19C7" w:rsidRDefault="002B4066" w:rsidP="002B4066">
            <w:pPr>
              <w:adjustRightInd/>
              <w:snapToGrid/>
              <w:spacing w:line="240" w:lineRule="auto"/>
              <w:jc w:val="center"/>
              <w:rPr>
                <w:b/>
                <w:bCs/>
                <w:color w:val="auto"/>
                <w:sz w:val="18"/>
                <w:szCs w:val="18"/>
                <w:lang w:eastAsia="en-GB" w:bidi="ar-SA"/>
              </w:rPr>
            </w:pPr>
            <w:r w:rsidRPr="00DB19C7">
              <w:rPr>
                <w:b/>
                <w:bCs/>
                <w:color w:val="auto"/>
                <w:sz w:val="18"/>
                <w:szCs w:val="18"/>
                <w:lang w:eastAsia="en-GB" w:bidi="ar-SA"/>
              </w:rPr>
              <w:t>Nº</w:t>
            </w:r>
          </w:p>
        </w:tc>
        <w:tc>
          <w:tcPr>
            <w:tcW w:w="1746" w:type="dxa"/>
            <w:tcBorders>
              <w:top w:val="single" w:sz="4" w:space="0" w:color="auto"/>
              <w:left w:val="nil"/>
              <w:bottom w:val="single" w:sz="4" w:space="0" w:color="auto"/>
              <w:right w:val="single" w:sz="4" w:space="0" w:color="auto"/>
            </w:tcBorders>
            <w:shd w:val="clear" w:color="auto" w:fill="auto"/>
            <w:noWrap/>
            <w:vAlign w:val="center"/>
            <w:hideMark/>
          </w:tcPr>
          <w:p w14:paraId="5AA6C0A6" w14:textId="77777777" w:rsidR="002B4066" w:rsidRPr="00DB19C7" w:rsidRDefault="002B4066" w:rsidP="002B4066">
            <w:pPr>
              <w:adjustRightInd/>
              <w:snapToGrid/>
              <w:spacing w:line="240" w:lineRule="auto"/>
              <w:jc w:val="center"/>
              <w:rPr>
                <w:b/>
                <w:bCs/>
                <w:color w:val="auto"/>
                <w:sz w:val="18"/>
                <w:szCs w:val="18"/>
                <w:lang w:eastAsia="en-GB" w:bidi="ar-SA"/>
              </w:rPr>
            </w:pPr>
            <w:r w:rsidRPr="00DB19C7">
              <w:rPr>
                <w:b/>
                <w:bCs/>
                <w:color w:val="auto"/>
                <w:sz w:val="18"/>
                <w:szCs w:val="18"/>
                <w:lang w:eastAsia="en-GB" w:bidi="ar-SA"/>
              </w:rPr>
              <w:t>Sample</w:t>
            </w:r>
          </w:p>
        </w:tc>
        <w:tc>
          <w:tcPr>
            <w:tcW w:w="767" w:type="dxa"/>
            <w:tcBorders>
              <w:top w:val="single" w:sz="4" w:space="0" w:color="auto"/>
              <w:left w:val="nil"/>
              <w:bottom w:val="single" w:sz="4" w:space="0" w:color="auto"/>
              <w:right w:val="single" w:sz="4" w:space="0" w:color="auto"/>
            </w:tcBorders>
            <w:shd w:val="clear" w:color="auto" w:fill="auto"/>
            <w:noWrap/>
            <w:vAlign w:val="center"/>
            <w:hideMark/>
          </w:tcPr>
          <w:p w14:paraId="4A3974E6" w14:textId="77777777" w:rsidR="002B4066" w:rsidRPr="00DB19C7" w:rsidRDefault="002B4066" w:rsidP="002B4066">
            <w:pPr>
              <w:adjustRightInd/>
              <w:snapToGrid/>
              <w:spacing w:line="240" w:lineRule="auto"/>
              <w:jc w:val="center"/>
              <w:rPr>
                <w:b/>
                <w:bCs/>
                <w:i/>
                <w:color w:val="auto"/>
                <w:sz w:val="18"/>
                <w:szCs w:val="18"/>
                <w:lang w:eastAsia="en-GB" w:bidi="ar-SA"/>
              </w:rPr>
            </w:pPr>
            <w:r w:rsidRPr="00DB19C7">
              <w:rPr>
                <w:b/>
                <w:bCs/>
                <w:i/>
                <w:color w:val="auto"/>
                <w:sz w:val="18"/>
                <w:szCs w:val="18"/>
                <w:lang w:eastAsia="en-GB" w:bidi="ar-SA"/>
              </w:rPr>
              <w:t>d</w:t>
            </w:r>
            <w:r w:rsidRPr="00DB19C7">
              <w:rPr>
                <w:b/>
                <w:bCs/>
                <w:i/>
                <w:color w:val="auto"/>
                <w:sz w:val="18"/>
                <w:szCs w:val="18"/>
                <w:vertAlign w:val="subscript"/>
                <w:lang w:eastAsia="en-GB" w:bidi="ar-SA"/>
              </w:rPr>
              <w:t>10</w:t>
            </w:r>
          </w:p>
        </w:tc>
        <w:tc>
          <w:tcPr>
            <w:tcW w:w="767" w:type="dxa"/>
            <w:tcBorders>
              <w:top w:val="single" w:sz="4" w:space="0" w:color="auto"/>
              <w:left w:val="nil"/>
              <w:bottom w:val="single" w:sz="4" w:space="0" w:color="auto"/>
              <w:right w:val="single" w:sz="4" w:space="0" w:color="auto"/>
            </w:tcBorders>
            <w:shd w:val="clear" w:color="auto" w:fill="auto"/>
            <w:noWrap/>
            <w:vAlign w:val="center"/>
            <w:hideMark/>
          </w:tcPr>
          <w:p w14:paraId="1946782B" w14:textId="77777777" w:rsidR="002B4066" w:rsidRPr="00DB19C7" w:rsidRDefault="002B4066" w:rsidP="002B4066">
            <w:pPr>
              <w:adjustRightInd/>
              <w:snapToGrid/>
              <w:spacing w:line="240" w:lineRule="auto"/>
              <w:jc w:val="center"/>
              <w:rPr>
                <w:b/>
                <w:bCs/>
                <w:i/>
                <w:color w:val="auto"/>
                <w:sz w:val="18"/>
                <w:szCs w:val="18"/>
                <w:lang w:eastAsia="en-GB" w:bidi="ar-SA"/>
              </w:rPr>
            </w:pPr>
            <w:r w:rsidRPr="00DB19C7">
              <w:rPr>
                <w:b/>
                <w:bCs/>
                <w:i/>
                <w:color w:val="auto"/>
                <w:sz w:val="18"/>
                <w:szCs w:val="18"/>
                <w:lang w:eastAsia="en-GB" w:bidi="ar-SA"/>
              </w:rPr>
              <w:t>d</w:t>
            </w:r>
            <w:r w:rsidRPr="00DB19C7">
              <w:rPr>
                <w:b/>
                <w:bCs/>
                <w:i/>
                <w:color w:val="auto"/>
                <w:sz w:val="18"/>
                <w:szCs w:val="18"/>
                <w:vertAlign w:val="subscript"/>
                <w:lang w:eastAsia="en-GB" w:bidi="ar-SA"/>
              </w:rPr>
              <w:t>50</w:t>
            </w:r>
          </w:p>
        </w:tc>
        <w:tc>
          <w:tcPr>
            <w:tcW w:w="1018" w:type="dxa"/>
            <w:tcBorders>
              <w:top w:val="single" w:sz="4" w:space="0" w:color="auto"/>
              <w:left w:val="nil"/>
              <w:bottom w:val="single" w:sz="4" w:space="0" w:color="auto"/>
              <w:right w:val="single" w:sz="4" w:space="0" w:color="auto"/>
            </w:tcBorders>
            <w:shd w:val="clear" w:color="auto" w:fill="auto"/>
            <w:noWrap/>
            <w:vAlign w:val="center"/>
            <w:hideMark/>
          </w:tcPr>
          <w:p w14:paraId="3F7CD094" w14:textId="77777777" w:rsidR="002B4066" w:rsidRPr="00DB19C7" w:rsidRDefault="002B4066" w:rsidP="002B4066">
            <w:pPr>
              <w:adjustRightInd/>
              <w:snapToGrid/>
              <w:spacing w:line="240" w:lineRule="auto"/>
              <w:jc w:val="center"/>
              <w:rPr>
                <w:b/>
                <w:bCs/>
                <w:i/>
                <w:color w:val="auto"/>
                <w:sz w:val="18"/>
                <w:szCs w:val="18"/>
                <w:lang w:eastAsia="en-GB" w:bidi="ar-SA"/>
              </w:rPr>
            </w:pPr>
            <w:r w:rsidRPr="00DB19C7">
              <w:rPr>
                <w:b/>
                <w:bCs/>
                <w:i/>
                <w:color w:val="auto"/>
                <w:sz w:val="18"/>
                <w:szCs w:val="18"/>
                <w:lang w:eastAsia="en-GB" w:bidi="ar-SA"/>
              </w:rPr>
              <w:t>d</w:t>
            </w:r>
            <w:r w:rsidRPr="00DB19C7">
              <w:rPr>
                <w:b/>
                <w:bCs/>
                <w:i/>
                <w:color w:val="auto"/>
                <w:sz w:val="18"/>
                <w:szCs w:val="18"/>
                <w:vertAlign w:val="subscript"/>
                <w:lang w:eastAsia="en-GB" w:bidi="ar-SA"/>
              </w:rPr>
              <w:t>90</w:t>
            </w:r>
          </w:p>
        </w:tc>
        <w:tc>
          <w:tcPr>
            <w:tcW w:w="1096" w:type="dxa"/>
            <w:tcBorders>
              <w:top w:val="single" w:sz="4" w:space="0" w:color="auto"/>
              <w:left w:val="nil"/>
              <w:bottom w:val="single" w:sz="4" w:space="0" w:color="auto"/>
              <w:right w:val="single" w:sz="4" w:space="0" w:color="auto"/>
            </w:tcBorders>
            <w:shd w:val="clear" w:color="auto" w:fill="auto"/>
            <w:noWrap/>
            <w:vAlign w:val="center"/>
            <w:hideMark/>
          </w:tcPr>
          <w:p w14:paraId="325A9821" w14:textId="77777777" w:rsidR="002B4066" w:rsidRPr="00DB19C7" w:rsidRDefault="002B4066" w:rsidP="002B4066">
            <w:pPr>
              <w:adjustRightInd/>
              <w:snapToGrid/>
              <w:spacing w:line="240" w:lineRule="auto"/>
              <w:jc w:val="center"/>
              <w:rPr>
                <w:b/>
                <w:bCs/>
                <w:color w:val="auto"/>
                <w:sz w:val="18"/>
                <w:szCs w:val="18"/>
                <w:lang w:eastAsia="en-GB" w:bidi="ar-SA"/>
              </w:rPr>
            </w:pPr>
            <w:r w:rsidRPr="00DB19C7">
              <w:rPr>
                <w:b/>
                <w:bCs/>
                <w:color w:val="auto"/>
                <w:sz w:val="18"/>
                <w:szCs w:val="18"/>
                <w:lang w:eastAsia="en-GB" w:bidi="ar-SA"/>
              </w:rPr>
              <w:t>PSD curve</w:t>
            </w:r>
          </w:p>
        </w:tc>
        <w:tc>
          <w:tcPr>
            <w:tcW w:w="767" w:type="dxa"/>
            <w:tcBorders>
              <w:top w:val="single" w:sz="4" w:space="0" w:color="auto"/>
              <w:left w:val="nil"/>
              <w:bottom w:val="single" w:sz="4" w:space="0" w:color="auto"/>
              <w:right w:val="single" w:sz="4" w:space="0" w:color="auto"/>
            </w:tcBorders>
            <w:shd w:val="clear" w:color="auto" w:fill="auto"/>
            <w:noWrap/>
            <w:vAlign w:val="center"/>
            <w:hideMark/>
          </w:tcPr>
          <w:p w14:paraId="588B0613" w14:textId="1C8C676A" w:rsidR="002B4066" w:rsidRPr="00DB19C7" w:rsidRDefault="002B4066" w:rsidP="002B4066">
            <w:pPr>
              <w:adjustRightInd/>
              <w:snapToGrid/>
              <w:spacing w:line="240" w:lineRule="auto"/>
              <w:jc w:val="center"/>
              <w:rPr>
                <w:b/>
                <w:bCs/>
                <w:i/>
                <w:color w:val="auto"/>
                <w:sz w:val="18"/>
                <w:szCs w:val="18"/>
                <w:lang w:eastAsia="en-GB" w:bidi="ar-SA"/>
              </w:rPr>
            </w:pPr>
            <w:r w:rsidRPr="00DB19C7">
              <w:rPr>
                <w:b/>
                <w:bCs/>
                <w:i/>
                <w:color w:val="auto"/>
                <w:sz w:val="18"/>
                <w:szCs w:val="18"/>
                <w:lang w:eastAsia="en-GB" w:bidi="ar-SA"/>
              </w:rPr>
              <w:t>d</w:t>
            </w:r>
            <w:r w:rsidRPr="00DB19C7">
              <w:rPr>
                <w:b/>
                <w:bCs/>
                <w:i/>
                <w:color w:val="auto"/>
                <w:sz w:val="18"/>
                <w:szCs w:val="18"/>
                <w:vertAlign w:val="subscript"/>
                <w:lang w:eastAsia="en-GB" w:bidi="ar-SA"/>
              </w:rPr>
              <w:t>4</w:t>
            </w:r>
            <w:r w:rsidR="00B365E2" w:rsidRPr="00DB19C7">
              <w:rPr>
                <w:b/>
                <w:bCs/>
                <w:i/>
                <w:color w:val="auto"/>
                <w:sz w:val="18"/>
                <w:szCs w:val="18"/>
                <w:vertAlign w:val="subscript"/>
                <w:lang w:eastAsia="en-GB" w:bidi="ar-SA"/>
              </w:rPr>
              <w:t>,3</w:t>
            </w:r>
          </w:p>
        </w:tc>
        <w:tc>
          <w:tcPr>
            <w:tcW w:w="765" w:type="dxa"/>
            <w:tcBorders>
              <w:top w:val="single" w:sz="4" w:space="0" w:color="auto"/>
              <w:left w:val="nil"/>
              <w:bottom w:val="single" w:sz="4" w:space="0" w:color="auto"/>
              <w:right w:val="single" w:sz="4" w:space="0" w:color="auto"/>
            </w:tcBorders>
            <w:shd w:val="clear" w:color="auto" w:fill="auto"/>
            <w:noWrap/>
            <w:vAlign w:val="center"/>
            <w:hideMark/>
          </w:tcPr>
          <w:p w14:paraId="6874E9CE" w14:textId="0C0477F7" w:rsidR="002B4066" w:rsidRPr="00DB19C7" w:rsidRDefault="00B365E2" w:rsidP="002B4066">
            <w:pPr>
              <w:adjustRightInd/>
              <w:snapToGrid/>
              <w:spacing w:line="240" w:lineRule="auto"/>
              <w:jc w:val="center"/>
              <w:rPr>
                <w:b/>
                <w:bCs/>
                <w:i/>
                <w:color w:val="auto"/>
                <w:sz w:val="18"/>
                <w:szCs w:val="18"/>
                <w:lang w:eastAsia="en-GB" w:bidi="ar-SA"/>
              </w:rPr>
            </w:pPr>
            <w:r w:rsidRPr="00DB19C7">
              <w:rPr>
                <w:b/>
                <w:bCs/>
                <w:i/>
                <w:color w:val="auto"/>
                <w:sz w:val="18"/>
                <w:szCs w:val="18"/>
                <w:lang w:eastAsia="en-GB" w:bidi="ar-SA"/>
              </w:rPr>
              <w:t>d</w:t>
            </w:r>
            <w:r w:rsidRPr="00DB19C7">
              <w:rPr>
                <w:b/>
                <w:bCs/>
                <w:i/>
                <w:color w:val="auto"/>
                <w:sz w:val="18"/>
                <w:szCs w:val="18"/>
                <w:vertAlign w:val="subscript"/>
                <w:lang w:eastAsia="en-GB" w:bidi="ar-SA"/>
              </w:rPr>
              <w:t>3,2</w:t>
            </w:r>
          </w:p>
        </w:tc>
        <w:tc>
          <w:tcPr>
            <w:tcW w:w="1199" w:type="dxa"/>
            <w:tcBorders>
              <w:top w:val="single" w:sz="4" w:space="0" w:color="auto"/>
              <w:left w:val="nil"/>
              <w:bottom w:val="single" w:sz="4" w:space="0" w:color="auto"/>
              <w:right w:val="single" w:sz="4" w:space="0" w:color="auto"/>
            </w:tcBorders>
            <w:shd w:val="clear" w:color="auto" w:fill="auto"/>
            <w:noWrap/>
            <w:vAlign w:val="center"/>
            <w:hideMark/>
          </w:tcPr>
          <w:p w14:paraId="683A7B0B" w14:textId="74EFACA5" w:rsidR="002B4066" w:rsidRPr="00DB19C7" w:rsidRDefault="002B4066" w:rsidP="002B4066">
            <w:pPr>
              <w:adjustRightInd/>
              <w:snapToGrid/>
              <w:spacing w:line="240" w:lineRule="auto"/>
              <w:jc w:val="center"/>
              <w:rPr>
                <w:b/>
                <w:bCs/>
                <w:color w:val="auto"/>
                <w:sz w:val="18"/>
                <w:szCs w:val="18"/>
                <w:lang w:eastAsia="en-GB" w:bidi="ar-SA"/>
              </w:rPr>
            </w:pPr>
            <w:r w:rsidRPr="00DB19C7">
              <w:rPr>
                <w:b/>
                <w:bCs/>
                <w:color w:val="auto"/>
                <w:sz w:val="18"/>
                <w:szCs w:val="18"/>
                <w:lang w:eastAsia="en-GB" w:bidi="ar-SA"/>
              </w:rPr>
              <w:t>SSA</w:t>
            </w:r>
          </w:p>
        </w:tc>
        <w:tc>
          <w:tcPr>
            <w:tcW w:w="1137" w:type="dxa"/>
            <w:tcBorders>
              <w:top w:val="single" w:sz="4" w:space="0" w:color="auto"/>
              <w:left w:val="nil"/>
              <w:bottom w:val="single" w:sz="4" w:space="0" w:color="auto"/>
              <w:right w:val="single" w:sz="4" w:space="0" w:color="auto"/>
            </w:tcBorders>
            <w:shd w:val="clear" w:color="auto" w:fill="auto"/>
            <w:noWrap/>
            <w:vAlign w:val="center"/>
            <w:hideMark/>
          </w:tcPr>
          <w:p w14:paraId="268F54D3" w14:textId="77777777" w:rsidR="002B4066" w:rsidRPr="00DB19C7" w:rsidRDefault="002B4066" w:rsidP="002B4066">
            <w:pPr>
              <w:adjustRightInd/>
              <w:snapToGrid/>
              <w:spacing w:line="240" w:lineRule="auto"/>
              <w:jc w:val="center"/>
              <w:rPr>
                <w:b/>
                <w:bCs/>
                <w:color w:val="auto"/>
                <w:sz w:val="18"/>
                <w:szCs w:val="18"/>
                <w:lang w:eastAsia="en-GB" w:bidi="ar-SA"/>
              </w:rPr>
            </w:pPr>
            <w:r w:rsidRPr="00DB19C7">
              <w:rPr>
                <w:b/>
                <w:bCs/>
                <w:color w:val="auto"/>
                <w:sz w:val="18"/>
                <w:szCs w:val="18"/>
                <w:lang w:eastAsia="en-GB" w:bidi="ar-SA"/>
              </w:rPr>
              <w:t>Shape</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14:paraId="63B5F7D8" w14:textId="1B8C8764" w:rsidR="002B4066" w:rsidRPr="00DB19C7" w:rsidRDefault="002B4066" w:rsidP="002B4066">
            <w:pPr>
              <w:adjustRightInd/>
              <w:snapToGrid/>
              <w:spacing w:line="240" w:lineRule="auto"/>
              <w:jc w:val="center"/>
              <w:rPr>
                <w:b/>
                <w:bCs/>
                <w:color w:val="auto"/>
                <w:sz w:val="18"/>
                <w:szCs w:val="18"/>
                <w:lang w:eastAsia="en-GB" w:bidi="ar-SA"/>
              </w:rPr>
            </w:pPr>
            <w:r w:rsidRPr="00DB19C7">
              <w:rPr>
                <w:b/>
                <w:bCs/>
                <w:color w:val="auto"/>
                <w:sz w:val="18"/>
                <w:szCs w:val="18"/>
                <w:lang w:eastAsia="en-GB" w:bidi="ar-SA"/>
              </w:rPr>
              <w:t>PD</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56F20776" w14:textId="77777777" w:rsidR="002B4066" w:rsidRPr="00DB19C7" w:rsidRDefault="002B4066" w:rsidP="002B4066">
            <w:pPr>
              <w:adjustRightInd/>
              <w:snapToGrid/>
              <w:spacing w:line="240" w:lineRule="auto"/>
              <w:jc w:val="center"/>
              <w:rPr>
                <w:b/>
                <w:bCs/>
                <w:color w:val="auto"/>
                <w:sz w:val="18"/>
                <w:szCs w:val="18"/>
                <w:lang w:eastAsia="en-GB" w:bidi="ar-SA"/>
              </w:rPr>
            </w:pPr>
            <w:r w:rsidRPr="00DB19C7">
              <w:rPr>
                <w:b/>
                <w:bCs/>
                <w:color w:val="auto"/>
                <w:sz w:val="18"/>
                <w:szCs w:val="18"/>
                <w:lang w:eastAsia="en-GB" w:bidi="ar-SA"/>
              </w:rPr>
              <w:t>Method</w:t>
            </w:r>
          </w:p>
        </w:tc>
        <w:tc>
          <w:tcPr>
            <w:tcW w:w="737" w:type="dxa"/>
            <w:tcBorders>
              <w:top w:val="single" w:sz="4" w:space="0" w:color="auto"/>
              <w:left w:val="nil"/>
              <w:bottom w:val="single" w:sz="4" w:space="0" w:color="auto"/>
              <w:right w:val="single" w:sz="4" w:space="0" w:color="auto"/>
            </w:tcBorders>
            <w:shd w:val="clear" w:color="auto" w:fill="auto"/>
            <w:noWrap/>
            <w:vAlign w:val="center"/>
            <w:hideMark/>
          </w:tcPr>
          <w:p w14:paraId="1E152C96" w14:textId="77777777" w:rsidR="002B4066" w:rsidRPr="00DB19C7" w:rsidRDefault="002B4066" w:rsidP="002B4066">
            <w:pPr>
              <w:adjustRightInd/>
              <w:snapToGrid/>
              <w:spacing w:line="240" w:lineRule="auto"/>
              <w:jc w:val="center"/>
              <w:rPr>
                <w:b/>
                <w:bCs/>
                <w:color w:val="auto"/>
                <w:sz w:val="18"/>
                <w:szCs w:val="18"/>
                <w:lang w:eastAsia="en-GB" w:bidi="ar-SA"/>
              </w:rPr>
            </w:pPr>
            <w:r w:rsidRPr="00DB19C7">
              <w:rPr>
                <w:b/>
                <w:bCs/>
                <w:color w:val="auto"/>
                <w:sz w:val="18"/>
                <w:szCs w:val="18"/>
                <w:lang w:eastAsia="en-GB" w:bidi="ar-SA"/>
              </w:rPr>
              <w:t>M</w:t>
            </w:r>
          </w:p>
        </w:tc>
        <w:tc>
          <w:tcPr>
            <w:tcW w:w="737" w:type="dxa"/>
            <w:tcBorders>
              <w:top w:val="single" w:sz="4" w:space="0" w:color="auto"/>
              <w:left w:val="nil"/>
              <w:bottom w:val="single" w:sz="4" w:space="0" w:color="auto"/>
              <w:right w:val="single" w:sz="4" w:space="0" w:color="auto"/>
            </w:tcBorders>
            <w:shd w:val="clear" w:color="auto" w:fill="auto"/>
            <w:noWrap/>
            <w:vAlign w:val="center"/>
            <w:hideMark/>
          </w:tcPr>
          <w:p w14:paraId="2D5C2D7E" w14:textId="77777777" w:rsidR="002B4066" w:rsidRPr="00DB19C7" w:rsidRDefault="002B4066" w:rsidP="002B4066">
            <w:pPr>
              <w:adjustRightInd/>
              <w:snapToGrid/>
              <w:spacing w:line="240" w:lineRule="auto"/>
              <w:jc w:val="center"/>
              <w:rPr>
                <w:b/>
                <w:bCs/>
                <w:color w:val="auto"/>
                <w:sz w:val="18"/>
                <w:szCs w:val="18"/>
                <w:lang w:eastAsia="en-GB" w:bidi="ar-SA"/>
              </w:rPr>
            </w:pPr>
            <w:r w:rsidRPr="00DB19C7">
              <w:rPr>
                <w:b/>
                <w:bCs/>
                <w:color w:val="auto"/>
                <w:sz w:val="18"/>
                <w:szCs w:val="18"/>
                <w:lang w:eastAsia="en-GB" w:bidi="ar-SA"/>
              </w:rPr>
              <w:t>V</w:t>
            </w:r>
          </w:p>
        </w:tc>
        <w:tc>
          <w:tcPr>
            <w:tcW w:w="737" w:type="dxa"/>
            <w:tcBorders>
              <w:top w:val="single" w:sz="4" w:space="0" w:color="auto"/>
              <w:left w:val="nil"/>
              <w:bottom w:val="single" w:sz="4" w:space="0" w:color="auto"/>
              <w:right w:val="single" w:sz="4" w:space="0" w:color="auto"/>
            </w:tcBorders>
            <w:shd w:val="clear" w:color="auto" w:fill="auto"/>
            <w:noWrap/>
            <w:vAlign w:val="center"/>
            <w:hideMark/>
          </w:tcPr>
          <w:p w14:paraId="4449FAB0" w14:textId="77777777" w:rsidR="002B4066" w:rsidRPr="00DB19C7" w:rsidRDefault="002B4066" w:rsidP="002B4066">
            <w:pPr>
              <w:adjustRightInd/>
              <w:snapToGrid/>
              <w:spacing w:line="240" w:lineRule="auto"/>
              <w:jc w:val="center"/>
              <w:rPr>
                <w:b/>
                <w:bCs/>
                <w:color w:val="auto"/>
                <w:sz w:val="18"/>
                <w:szCs w:val="18"/>
                <w:lang w:eastAsia="en-GB" w:bidi="ar-SA"/>
              </w:rPr>
            </w:pPr>
            <w:r w:rsidRPr="00DB19C7">
              <w:rPr>
                <w:b/>
                <w:bCs/>
                <w:color w:val="auto"/>
                <w:sz w:val="18"/>
                <w:szCs w:val="18"/>
                <w:lang w:eastAsia="en-GB" w:bidi="ar-SA"/>
              </w:rPr>
              <w:t>A</w:t>
            </w:r>
          </w:p>
        </w:tc>
        <w:tc>
          <w:tcPr>
            <w:tcW w:w="737" w:type="dxa"/>
            <w:tcBorders>
              <w:top w:val="single" w:sz="4" w:space="0" w:color="auto"/>
              <w:left w:val="nil"/>
              <w:bottom w:val="single" w:sz="4" w:space="0" w:color="auto"/>
              <w:right w:val="single" w:sz="4" w:space="0" w:color="auto"/>
            </w:tcBorders>
            <w:shd w:val="clear" w:color="auto" w:fill="auto"/>
            <w:noWrap/>
            <w:vAlign w:val="center"/>
            <w:hideMark/>
          </w:tcPr>
          <w:p w14:paraId="65230974" w14:textId="77777777" w:rsidR="002B4066" w:rsidRPr="00DB19C7" w:rsidRDefault="002B4066" w:rsidP="002B4066">
            <w:pPr>
              <w:adjustRightInd/>
              <w:snapToGrid/>
              <w:spacing w:line="240" w:lineRule="auto"/>
              <w:jc w:val="center"/>
              <w:rPr>
                <w:b/>
                <w:bCs/>
                <w:color w:val="auto"/>
                <w:sz w:val="18"/>
                <w:szCs w:val="18"/>
                <w:lang w:eastAsia="en-GB" w:bidi="ar-SA"/>
              </w:rPr>
            </w:pPr>
            <w:r w:rsidRPr="00DB19C7">
              <w:rPr>
                <w:b/>
                <w:bCs/>
                <w:color w:val="auto"/>
                <w:sz w:val="18"/>
                <w:szCs w:val="18"/>
                <w:lang w:eastAsia="en-GB" w:bidi="ar-SA"/>
              </w:rPr>
              <w:t>FC</w:t>
            </w:r>
          </w:p>
        </w:tc>
        <w:tc>
          <w:tcPr>
            <w:tcW w:w="617" w:type="dxa"/>
            <w:tcBorders>
              <w:top w:val="single" w:sz="4" w:space="0" w:color="auto"/>
              <w:left w:val="nil"/>
              <w:bottom w:val="single" w:sz="4" w:space="0" w:color="auto"/>
              <w:right w:val="single" w:sz="4" w:space="0" w:color="auto"/>
            </w:tcBorders>
            <w:vAlign w:val="center"/>
          </w:tcPr>
          <w:p w14:paraId="06D205D2" w14:textId="7EA9F9D5" w:rsidR="002B4066" w:rsidRPr="00DB19C7" w:rsidRDefault="002B4066" w:rsidP="000305FD">
            <w:pPr>
              <w:adjustRightInd/>
              <w:snapToGrid/>
              <w:spacing w:line="240" w:lineRule="auto"/>
              <w:jc w:val="center"/>
              <w:rPr>
                <w:b/>
                <w:bCs/>
                <w:color w:val="auto"/>
                <w:sz w:val="18"/>
                <w:szCs w:val="18"/>
                <w:lang w:eastAsia="en-GB" w:bidi="ar-SA"/>
              </w:rPr>
            </w:pPr>
            <w:r w:rsidRPr="00DB19C7">
              <w:rPr>
                <w:b/>
                <w:bCs/>
                <w:color w:val="auto"/>
                <w:sz w:val="18"/>
                <w:szCs w:val="18"/>
                <w:lang w:eastAsia="en-GB" w:bidi="ar-SA"/>
              </w:rPr>
              <w:t>Ref.</w:t>
            </w:r>
          </w:p>
        </w:tc>
      </w:tr>
      <w:tr w:rsidR="00DB19C7" w:rsidRPr="00DB19C7" w14:paraId="417AA581" w14:textId="6B339FDF"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6FFCE48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w:t>
            </w:r>
          </w:p>
        </w:tc>
        <w:tc>
          <w:tcPr>
            <w:tcW w:w="1746" w:type="dxa"/>
            <w:tcBorders>
              <w:top w:val="nil"/>
              <w:left w:val="nil"/>
              <w:bottom w:val="single" w:sz="4" w:space="0" w:color="auto"/>
              <w:right w:val="single" w:sz="4" w:space="0" w:color="auto"/>
            </w:tcBorders>
            <w:shd w:val="clear" w:color="auto" w:fill="auto"/>
            <w:noWrap/>
            <w:vAlign w:val="center"/>
            <w:hideMark/>
          </w:tcPr>
          <w:p w14:paraId="53D73833"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Almond shell</w:t>
            </w:r>
          </w:p>
        </w:tc>
        <w:tc>
          <w:tcPr>
            <w:tcW w:w="767" w:type="dxa"/>
            <w:tcBorders>
              <w:top w:val="nil"/>
              <w:left w:val="nil"/>
              <w:bottom w:val="single" w:sz="4" w:space="0" w:color="auto"/>
              <w:right w:val="single" w:sz="4" w:space="0" w:color="auto"/>
            </w:tcBorders>
            <w:shd w:val="clear" w:color="auto" w:fill="auto"/>
            <w:noWrap/>
            <w:vAlign w:val="center"/>
            <w:hideMark/>
          </w:tcPr>
          <w:p w14:paraId="0293E8CE" w14:textId="3F9BD165" w:rsidR="002B4066" w:rsidRPr="00DB19C7" w:rsidRDefault="002B4066" w:rsidP="002B4066">
            <w:pPr>
              <w:adjustRightInd/>
              <w:snapToGrid/>
              <w:spacing w:line="240" w:lineRule="auto"/>
              <w:jc w:val="center"/>
              <w:rPr>
                <w:color w:val="auto"/>
                <w:sz w:val="18"/>
                <w:szCs w:val="18"/>
                <w:lang w:eastAsia="en-GB" w:bidi="ar-SA"/>
              </w:rPr>
            </w:pPr>
          </w:p>
        </w:tc>
        <w:tc>
          <w:tcPr>
            <w:tcW w:w="767" w:type="dxa"/>
            <w:tcBorders>
              <w:top w:val="nil"/>
              <w:left w:val="nil"/>
              <w:bottom w:val="single" w:sz="4" w:space="0" w:color="auto"/>
              <w:right w:val="single" w:sz="4" w:space="0" w:color="auto"/>
            </w:tcBorders>
            <w:shd w:val="clear" w:color="auto" w:fill="auto"/>
            <w:noWrap/>
            <w:vAlign w:val="center"/>
            <w:hideMark/>
          </w:tcPr>
          <w:p w14:paraId="7F56C601"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44.3</w:t>
            </w:r>
          </w:p>
        </w:tc>
        <w:tc>
          <w:tcPr>
            <w:tcW w:w="1018" w:type="dxa"/>
            <w:tcBorders>
              <w:top w:val="nil"/>
              <w:left w:val="nil"/>
              <w:bottom w:val="single" w:sz="4" w:space="0" w:color="auto"/>
              <w:right w:val="single" w:sz="4" w:space="0" w:color="auto"/>
            </w:tcBorders>
            <w:shd w:val="clear" w:color="auto" w:fill="auto"/>
            <w:noWrap/>
            <w:vAlign w:val="center"/>
            <w:hideMark/>
          </w:tcPr>
          <w:p w14:paraId="3EF703C9" w14:textId="57BCE69B" w:rsidR="002B4066" w:rsidRPr="00DB19C7" w:rsidRDefault="002B4066" w:rsidP="002B4066">
            <w:pPr>
              <w:adjustRightInd/>
              <w:snapToGrid/>
              <w:spacing w:line="240" w:lineRule="auto"/>
              <w:jc w:val="center"/>
              <w:rPr>
                <w:color w:val="auto"/>
                <w:sz w:val="18"/>
                <w:szCs w:val="18"/>
                <w:lang w:eastAsia="en-GB" w:bidi="ar-SA"/>
              </w:rPr>
            </w:pPr>
          </w:p>
        </w:tc>
        <w:tc>
          <w:tcPr>
            <w:tcW w:w="1096" w:type="dxa"/>
            <w:tcBorders>
              <w:top w:val="nil"/>
              <w:left w:val="nil"/>
              <w:bottom w:val="single" w:sz="4" w:space="0" w:color="auto"/>
              <w:right w:val="single" w:sz="4" w:space="0" w:color="auto"/>
            </w:tcBorders>
            <w:shd w:val="clear" w:color="auto" w:fill="auto"/>
            <w:noWrap/>
            <w:vAlign w:val="center"/>
            <w:hideMark/>
          </w:tcPr>
          <w:p w14:paraId="25590452" w14:textId="0B818365"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6307908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75.3</w:t>
            </w:r>
          </w:p>
        </w:tc>
        <w:tc>
          <w:tcPr>
            <w:tcW w:w="765" w:type="dxa"/>
            <w:tcBorders>
              <w:top w:val="nil"/>
              <w:left w:val="nil"/>
              <w:bottom w:val="single" w:sz="4" w:space="0" w:color="auto"/>
              <w:right w:val="single" w:sz="4" w:space="0" w:color="auto"/>
            </w:tcBorders>
            <w:shd w:val="clear" w:color="auto" w:fill="auto"/>
            <w:noWrap/>
            <w:vAlign w:val="center"/>
            <w:hideMark/>
          </w:tcPr>
          <w:p w14:paraId="343FB97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26.5</w:t>
            </w:r>
          </w:p>
        </w:tc>
        <w:tc>
          <w:tcPr>
            <w:tcW w:w="1199" w:type="dxa"/>
            <w:tcBorders>
              <w:top w:val="nil"/>
              <w:left w:val="nil"/>
              <w:bottom w:val="single" w:sz="4" w:space="0" w:color="auto"/>
              <w:right w:val="single" w:sz="4" w:space="0" w:color="auto"/>
            </w:tcBorders>
            <w:shd w:val="clear" w:color="auto" w:fill="auto"/>
            <w:noWrap/>
            <w:vAlign w:val="center"/>
            <w:hideMark/>
          </w:tcPr>
          <w:p w14:paraId="0BBA2BAD" w14:textId="2816F4FB"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0.227</w:t>
            </w:r>
          </w:p>
        </w:tc>
        <w:tc>
          <w:tcPr>
            <w:tcW w:w="1137" w:type="dxa"/>
            <w:tcBorders>
              <w:top w:val="nil"/>
              <w:left w:val="nil"/>
              <w:bottom w:val="single" w:sz="4" w:space="0" w:color="auto"/>
              <w:right w:val="single" w:sz="4" w:space="0" w:color="auto"/>
            </w:tcBorders>
            <w:shd w:val="clear" w:color="auto" w:fill="auto"/>
            <w:noWrap/>
            <w:vAlign w:val="center"/>
            <w:hideMark/>
          </w:tcPr>
          <w:p w14:paraId="002A367C"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567" w:type="dxa"/>
            <w:tcBorders>
              <w:top w:val="nil"/>
              <w:left w:val="nil"/>
              <w:bottom w:val="single" w:sz="4" w:space="0" w:color="auto"/>
              <w:right w:val="single" w:sz="4" w:space="0" w:color="auto"/>
            </w:tcBorders>
            <w:shd w:val="clear" w:color="auto" w:fill="auto"/>
            <w:noWrap/>
            <w:vAlign w:val="center"/>
            <w:hideMark/>
          </w:tcPr>
          <w:p w14:paraId="6E78F415" w14:textId="04E7BD20"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3138BCF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68B566C1" w14:textId="494F2EEB"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1233E7F6" w14:textId="7DC7D358"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6C5686C8" w14:textId="7603DF56"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4E7D8C42" w14:textId="0D9BD690"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6F17CC4B" w14:textId="59E25AA9"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{"citationItems":[{"id":"ITEM-1","itemData":{"DOI":"10.1007/s10694-018-0782-3","ISSN":"1572-8099","abstract":"Dust layers are present in every industrial facility where solid materials are generated or processed. The emergence of new fuels with still unknown flammability properties generates an increase on the risks related with these facilities that needs to be further studied. Most of these biomasses are susceptible to exothermically react, acting as an ignition source and causing fires and explosions. One of the most common causes of explosions is the ignition of dust layers deposited on the equipment, which could be avoided by a better understanding of the materials. However, the ignitability of these layers depend on several parameters as the particle size and the density of the deposited materials. This paper reports experimental work on hot surface ignition temperatures of layers of different fuels, both biofuels, such as wood or sewage sludge, and fossil fuels, coal and coke. It shows that the common practices that are well-known for fossil fuels cannot be directly extrapolated to new fuels. Unlike fossil fuels, wood-based materials present the same ignition risk in dust and bulk size, so an increase on the particle size does not ensure a safer work space. Furthermore, compacting these materials can increase the ignition risk of these type of layers, contrary to the common practices for fossil fuels storages. These differences point out the need of a complete characterisation of each material to ensure a safe working facility.","author":[{"dropping-particle":"","family":"Fernandez-Anez","given":"Nieves","non-dropping-particle":"","parse-names":false,"suffix":""},{"dropping-particle":"","family":"Garcia-Torrent","given":"Javier","non-dropping-particle":"","parse-names":false,"suffix":""}],"container-title":"Fire Technology","id":"ITEM-1","issue":"1","issued":{"date-parts":[["2019"]]},"page":"175-191","title":"Influence of Particle Size and Density on the Hot Surface Ignition of Solid Fuel Layers","type":"article-journal","volume":"55"},"uris":["http://www.mendeley.com/documents/?uuid=f107a61e-81cb-4767-8f95-3d5cff660de0"]}],"mendeley":{"formattedCitation":"[28]","plainTextFormattedCitation":"[28]","previouslyFormattedCitation":"[28]"},"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[28]</w:t>
            </w:r>
            <w:r w:rsidRPr="00DB19C7">
              <w:rPr>
                <w:color w:val="auto"/>
                <w:sz w:val="18"/>
                <w:szCs w:val="18"/>
                <w:lang w:eastAsia="en-GB" w:bidi="ar-SA"/>
              </w:rPr>
              <w:fldChar w:fldCharType="end"/>
            </w:r>
          </w:p>
        </w:tc>
      </w:tr>
      <w:tr w:rsidR="00DB19C7" w:rsidRPr="00DB19C7" w14:paraId="09DAD764" w14:textId="45F5BA37"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192C246D"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w:t>
            </w:r>
          </w:p>
        </w:tc>
        <w:tc>
          <w:tcPr>
            <w:tcW w:w="1746" w:type="dxa"/>
            <w:tcBorders>
              <w:top w:val="nil"/>
              <w:left w:val="nil"/>
              <w:bottom w:val="single" w:sz="4" w:space="0" w:color="auto"/>
              <w:right w:val="single" w:sz="4" w:space="0" w:color="auto"/>
            </w:tcBorders>
            <w:shd w:val="clear" w:color="auto" w:fill="auto"/>
            <w:noWrap/>
            <w:vAlign w:val="center"/>
            <w:hideMark/>
          </w:tcPr>
          <w:p w14:paraId="4D7E25EA"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Almond shell</w:t>
            </w:r>
          </w:p>
        </w:tc>
        <w:tc>
          <w:tcPr>
            <w:tcW w:w="767" w:type="dxa"/>
            <w:tcBorders>
              <w:top w:val="nil"/>
              <w:left w:val="nil"/>
              <w:bottom w:val="single" w:sz="4" w:space="0" w:color="auto"/>
              <w:right w:val="single" w:sz="4" w:space="0" w:color="auto"/>
            </w:tcBorders>
            <w:shd w:val="clear" w:color="auto" w:fill="auto"/>
            <w:noWrap/>
            <w:vAlign w:val="center"/>
            <w:hideMark/>
          </w:tcPr>
          <w:p w14:paraId="7B81644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13.2</w:t>
            </w:r>
          </w:p>
        </w:tc>
        <w:tc>
          <w:tcPr>
            <w:tcW w:w="767" w:type="dxa"/>
            <w:tcBorders>
              <w:top w:val="nil"/>
              <w:left w:val="nil"/>
              <w:bottom w:val="single" w:sz="4" w:space="0" w:color="auto"/>
              <w:right w:val="single" w:sz="4" w:space="0" w:color="auto"/>
            </w:tcBorders>
            <w:shd w:val="clear" w:color="auto" w:fill="auto"/>
            <w:noWrap/>
            <w:vAlign w:val="center"/>
            <w:hideMark/>
          </w:tcPr>
          <w:p w14:paraId="2DF236E4"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44.2</w:t>
            </w:r>
          </w:p>
        </w:tc>
        <w:tc>
          <w:tcPr>
            <w:tcW w:w="1018" w:type="dxa"/>
            <w:tcBorders>
              <w:top w:val="nil"/>
              <w:left w:val="nil"/>
              <w:bottom w:val="single" w:sz="4" w:space="0" w:color="auto"/>
              <w:right w:val="single" w:sz="4" w:space="0" w:color="auto"/>
            </w:tcBorders>
            <w:shd w:val="clear" w:color="auto" w:fill="auto"/>
            <w:noWrap/>
            <w:vAlign w:val="center"/>
            <w:hideMark/>
          </w:tcPr>
          <w:p w14:paraId="40309CF9"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133.2</w:t>
            </w:r>
          </w:p>
        </w:tc>
        <w:tc>
          <w:tcPr>
            <w:tcW w:w="1096" w:type="dxa"/>
            <w:tcBorders>
              <w:top w:val="nil"/>
              <w:left w:val="nil"/>
              <w:bottom w:val="single" w:sz="4" w:space="0" w:color="auto"/>
              <w:right w:val="single" w:sz="4" w:space="0" w:color="auto"/>
            </w:tcBorders>
            <w:shd w:val="clear" w:color="auto" w:fill="auto"/>
            <w:noWrap/>
            <w:vAlign w:val="center"/>
            <w:hideMark/>
          </w:tcPr>
          <w:p w14:paraId="2402D5A0" w14:textId="774CD3F5"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1BCA1473" w14:textId="2E831094"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327F3188" w14:textId="751FD56E"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549BF942" w14:textId="614BCABB"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7EB6446C"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567" w:type="dxa"/>
            <w:tcBorders>
              <w:top w:val="nil"/>
              <w:left w:val="nil"/>
              <w:bottom w:val="single" w:sz="4" w:space="0" w:color="auto"/>
              <w:right w:val="single" w:sz="4" w:space="0" w:color="auto"/>
            </w:tcBorders>
            <w:shd w:val="clear" w:color="auto" w:fill="auto"/>
            <w:noWrap/>
            <w:vAlign w:val="center"/>
            <w:hideMark/>
          </w:tcPr>
          <w:p w14:paraId="316BCF35"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2.71</w:t>
            </w:r>
          </w:p>
        </w:tc>
        <w:tc>
          <w:tcPr>
            <w:tcW w:w="1134" w:type="dxa"/>
            <w:tcBorders>
              <w:top w:val="nil"/>
              <w:left w:val="nil"/>
              <w:bottom w:val="single" w:sz="4" w:space="0" w:color="auto"/>
              <w:right w:val="single" w:sz="4" w:space="0" w:color="auto"/>
            </w:tcBorders>
            <w:shd w:val="clear" w:color="auto" w:fill="auto"/>
            <w:noWrap/>
            <w:vAlign w:val="center"/>
            <w:hideMark/>
          </w:tcPr>
          <w:p w14:paraId="0FF8F45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5CC30134"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8.3</w:t>
            </w:r>
          </w:p>
        </w:tc>
        <w:tc>
          <w:tcPr>
            <w:tcW w:w="737" w:type="dxa"/>
            <w:tcBorders>
              <w:top w:val="nil"/>
              <w:left w:val="nil"/>
              <w:bottom w:val="single" w:sz="4" w:space="0" w:color="auto"/>
              <w:right w:val="single" w:sz="4" w:space="0" w:color="auto"/>
            </w:tcBorders>
            <w:shd w:val="clear" w:color="auto" w:fill="auto"/>
            <w:noWrap/>
            <w:vAlign w:val="center"/>
            <w:hideMark/>
          </w:tcPr>
          <w:p w14:paraId="4011FFE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64.97</w:t>
            </w:r>
          </w:p>
        </w:tc>
        <w:tc>
          <w:tcPr>
            <w:tcW w:w="737" w:type="dxa"/>
            <w:tcBorders>
              <w:top w:val="nil"/>
              <w:left w:val="nil"/>
              <w:bottom w:val="single" w:sz="4" w:space="0" w:color="auto"/>
              <w:right w:val="single" w:sz="4" w:space="0" w:color="auto"/>
            </w:tcBorders>
            <w:shd w:val="clear" w:color="auto" w:fill="auto"/>
            <w:noWrap/>
            <w:vAlign w:val="center"/>
            <w:hideMark/>
          </w:tcPr>
          <w:p w14:paraId="0D9437B6"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21.72</w:t>
            </w:r>
          </w:p>
        </w:tc>
        <w:tc>
          <w:tcPr>
            <w:tcW w:w="737" w:type="dxa"/>
            <w:tcBorders>
              <w:top w:val="nil"/>
              <w:left w:val="nil"/>
              <w:bottom w:val="single" w:sz="4" w:space="0" w:color="auto"/>
              <w:right w:val="single" w:sz="4" w:space="0" w:color="auto"/>
            </w:tcBorders>
            <w:shd w:val="clear" w:color="auto" w:fill="auto"/>
            <w:noWrap/>
            <w:vAlign w:val="center"/>
            <w:hideMark/>
          </w:tcPr>
          <w:p w14:paraId="0A2A0A53"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5.01</w:t>
            </w:r>
          </w:p>
        </w:tc>
        <w:tc>
          <w:tcPr>
            <w:tcW w:w="617" w:type="dxa"/>
            <w:tcBorders>
              <w:top w:val="single" w:sz="4" w:space="0" w:color="auto"/>
              <w:left w:val="nil"/>
              <w:bottom w:val="single" w:sz="4" w:space="0" w:color="auto"/>
              <w:right w:val="single" w:sz="4" w:space="0" w:color="auto"/>
            </w:tcBorders>
            <w:vAlign w:val="center"/>
          </w:tcPr>
          <w:p w14:paraId="61230FD2" w14:textId="5BBCF004"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{"citationItems":[{"id":"ITEM-1","itemData":{"DOI":"10.1016/j.fuel.2016.07.045","ISSN":"00162361","abstract":"Biomasses are materials highly demanded nowadays for energy production. One of the main features of these materials is that they present a great variability in terms of chemical composition and physical behavior (O/C and H/C ratios, granulometric structure, ash content…). Nowadays, there is a lack of information concerning its characterization to determine its flammability and explosibility behavior. The objective of this study is to provide flammability and explosibility data as well as some parameters to assess the spontaneous combustion tendency of these products and to relate this thermal susceptibility with the composition. Initial results showed that risk assessments based on the activation energy were not effective for biomass as it is for coals, and that a greater tendency to self-ignition was observed in those biomasses having higher H/C ratios, on the contrary than in coals. This behavior can be explained because the most important stage for coals is the beginning of the self-heating reaction, which present a different resistance (activation energy) depending on its ranking, while biomasses present an initial stage easily achievable even at moderate temperatures, so the differentiation for biomasses should be found in the ability to spread this incipient reaction.","author":[{"dropping-particle":"","family":"García Torrent","given":"Javier","non-dropping-particle":"","parse-names":false,"suffix":""},{"dropping-particle":"","family":"Ramírez-Gómez","given":"Álvaro","non-dropping-particle":"","parse-names":false,"suffix":""},{"dropping-particle":"","family":"Fernandez-Anez","given":"Nieves","non-dropping-particle":"","parse-names":false,"suffix":""},{"dropping-particle":"","family":"Medic Pejic","given":"Ljiljana","non-dropping-particle":"","parse-names":false,"suffix":""},{"dropping-particle":"","family":"Tascón","given":"Alberto","non-dropping-particle":"","parse-names":false,"suffix":""}],"container-title":"Fuel","id":"ITEM-1","issued":{"date-parts":[["2016"]]},"page":"503-511","title":"Influence of the composition of solid biomass in the flammability and susceptibility to spontaneous combustion","type":"article-journal","volume":"184"},"uris":["http://www.mendeley.com/documents/?uuid=9fcb7e1d-bebe-4dfb-9ee6-81a5efa6af83"]}],"mendeley":{"formattedCitation":"[142]","plainTextFormattedCitation":"[142]","previouslyFormattedCitation":"[142]"},"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[142]</w:t>
            </w:r>
            <w:r w:rsidRPr="00DB19C7">
              <w:rPr>
                <w:color w:val="auto"/>
                <w:sz w:val="18"/>
                <w:szCs w:val="18"/>
                <w:lang w:eastAsia="en-GB" w:bidi="ar-SA"/>
              </w:rPr>
              <w:fldChar w:fldCharType="end"/>
            </w:r>
          </w:p>
        </w:tc>
      </w:tr>
      <w:tr w:rsidR="00DB19C7" w:rsidRPr="00DB19C7" w14:paraId="47CBFFD7" w14:textId="31E54A70"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2B85C483"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3</w:t>
            </w:r>
          </w:p>
        </w:tc>
        <w:tc>
          <w:tcPr>
            <w:tcW w:w="1746" w:type="dxa"/>
            <w:tcBorders>
              <w:top w:val="nil"/>
              <w:left w:val="nil"/>
              <w:bottom w:val="single" w:sz="4" w:space="0" w:color="auto"/>
              <w:right w:val="single" w:sz="4" w:space="0" w:color="auto"/>
            </w:tcBorders>
            <w:shd w:val="clear" w:color="auto" w:fill="auto"/>
            <w:noWrap/>
            <w:vAlign w:val="center"/>
            <w:hideMark/>
          </w:tcPr>
          <w:p w14:paraId="45D09D5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Bark (of pine)</w:t>
            </w:r>
          </w:p>
        </w:tc>
        <w:tc>
          <w:tcPr>
            <w:tcW w:w="767" w:type="dxa"/>
            <w:tcBorders>
              <w:top w:val="nil"/>
              <w:left w:val="nil"/>
              <w:bottom w:val="single" w:sz="4" w:space="0" w:color="auto"/>
              <w:right w:val="single" w:sz="4" w:space="0" w:color="auto"/>
            </w:tcBorders>
            <w:shd w:val="clear" w:color="auto" w:fill="auto"/>
            <w:noWrap/>
            <w:vAlign w:val="center"/>
            <w:hideMark/>
          </w:tcPr>
          <w:p w14:paraId="6F321FCC" w14:textId="33AD45D2" w:rsidR="002B4066" w:rsidRPr="00DB19C7" w:rsidRDefault="002B4066" w:rsidP="002B4066">
            <w:pPr>
              <w:adjustRightInd/>
              <w:snapToGrid/>
              <w:spacing w:line="240" w:lineRule="auto"/>
              <w:jc w:val="center"/>
              <w:rPr>
                <w:color w:val="auto"/>
                <w:sz w:val="18"/>
                <w:szCs w:val="18"/>
                <w:lang w:eastAsia="en-GB" w:bidi="ar-SA"/>
              </w:rPr>
            </w:pPr>
          </w:p>
        </w:tc>
        <w:tc>
          <w:tcPr>
            <w:tcW w:w="767" w:type="dxa"/>
            <w:tcBorders>
              <w:top w:val="nil"/>
              <w:left w:val="nil"/>
              <w:bottom w:val="single" w:sz="4" w:space="0" w:color="auto"/>
              <w:right w:val="single" w:sz="4" w:space="0" w:color="auto"/>
            </w:tcBorders>
            <w:shd w:val="clear" w:color="auto" w:fill="auto"/>
            <w:noWrap/>
            <w:vAlign w:val="center"/>
            <w:hideMark/>
          </w:tcPr>
          <w:p w14:paraId="70FAD097"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80</w:t>
            </w:r>
          </w:p>
        </w:tc>
        <w:tc>
          <w:tcPr>
            <w:tcW w:w="1018" w:type="dxa"/>
            <w:tcBorders>
              <w:top w:val="nil"/>
              <w:left w:val="nil"/>
              <w:bottom w:val="single" w:sz="4" w:space="0" w:color="auto"/>
              <w:right w:val="single" w:sz="4" w:space="0" w:color="auto"/>
            </w:tcBorders>
            <w:shd w:val="clear" w:color="auto" w:fill="auto"/>
            <w:noWrap/>
            <w:vAlign w:val="center"/>
            <w:hideMark/>
          </w:tcPr>
          <w:p w14:paraId="612117E1" w14:textId="195C539F" w:rsidR="002B4066" w:rsidRPr="00DB19C7" w:rsidRDefault="002B4066" w:rsidP="002B4066">
            <w:pPr>
              <w:adjustRightInd/>
              <w:snapToGrid/>
              <w:spacing w:line="240" w:lineRule="auto"/>
              <w:jc w:val="center"/>
              <w:rPr>
                <w:color w:val="auto"/>
                <w:sz w:val="18"/>
                <w:szCs w:val="18"/>
                <w:lang w:eastAsia="en-GB" w:bidi="ar-SA"/>
              </w:rPr>
            </w:pPr>
          </w:p>
        </w:tc>
        <w:tc>
          <w:tcPr>
            <w:tcW w:w="1096" w:type="dxa"/>
            <w:tcBorders>
              <w:top w:val="nil"/>
              <w:left w:val="nil"/>
              <w:bottom w:val="single" w:sz="4" w:space="0" w:color="auto"/>
              <w:right w:val="single" w:sz="4" w:space="0" w:color="auto"/>
            </w:tcBorders>
            <w:shd w:val="clear" w:color="auto" w:fill="auto"/>
            <w:noWrap/>
            <w:hideMark/>
          </w:tcPr>
          <w:p w14:paraId="4D9E09A6" w14:textId="46B60A39"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w:t>
            </w:r>
          </w:p>
        </w:tc>
        <w:tc>
          <w:tcPr>
            <w:tcW w:w="767" w:type="dxa"/>
            <w:tcBorders>
              <w:top w:val="nil"/>
              <w:left w:val="nil"/>
              <w:bottom w:val="single" w:sz="4" w:space="0" w:color="auto"/>
              <w:right w:val="single" w:sz="4" w:space="0" w:color="auto"/>
            </w:tcBorders>
            <w:shd w:val="clear" w:color="auto" w:fill="auto"/>
            <w:noWrap/>
            <w:vAlign w:val="center"/>
            <w:hideMark/>
          </w:tcPr>
          <w:p w14:paraId="42E50942" w14:textId="0600B56F"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67A10EA7" w14:textId="643D1F6A"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28BC092A" w14:textId="17EB1946"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50B86AB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 - SEM</w:t>
            </w:r>
          </w:p>
        </w:tc>
        <w:tc>
          <w:tcPr>
            <w:tcW w:w="567" w:type="dxa"/>
            <w:tcBorders>
              <w:top w:val="nil"/>
              <w:left w:val="nil"/>
              <w:bottom w:val="single" w:sz="4" w:space="0" w:color="auto"/>
              <w:right w:val="single" w:sz="4" w:space="0" w:color="auto"/>
            </w:tcBorders>
            <w:shd w:val="clear" w:color="auto" w:fill="auto"/>
            <w:noWrap/>
            <w:vAlign w:val="center"/>
            <w:hideMark/>
          </w:tcPr>
          <w:p w14:paraId="4DE211B8" w14:textId="31355E42"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74CE9EA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35A857B6"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5.75</w:t>
            </w:r>
          </w:p>
        </w:tc>
        <w:tc>
          <w:tcPr>
            <w:tcW w:w="737" w:type="dxa"/>
            <w:tcBorders>
              <w:top w:val="nil"/>
              <w:left w:val="nil"/>
              <w:bottom w:val="single" w:sz="4" w:space="0" w:color="auto"/>
              <w:right w:val="single" w:sz="4" w:space="0" w:color="auto"/>
            </w:tcBorders>
            <w:shd w:val="clear" w:color="auto" w:fill="auto"/>
            <w:noWrap/>
            <w:vAlign w:val="center"/>
            <w:hideMark/>
          </w:tcPr>
          <w:p w14:paraId="1639B71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68.55</w:t>
            </w:r>
          </w:p>
        </w:tc>
        <w:tc>
          <w:tcPr>
            <w:tcW w:w="737" w:type="dxa"/>
            <w:tcBorders>
              <w:top w:val="nil"/>
              <w:left w:val="nil"/>
              <w:bottom w:val="single" w:sz="4" w:space="0" w:color="auto"/>
              <w:right w:val="single" w:sz="4" w:space="0" w:color="auto"/>
            </w:tcBorders>
            <w:shd w:val="clear" w:color="auto" w:fill="auto"/>
            <w:noWrap/>
            <w:vAlign w:val="center"/>
            <w:hideMark/>
          </w:tcPr>
          <w:p w14:paraId="3F30A167"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1.7</w:t>
            </w:r>
          </w:p>
        </w:tc>
        <w:tc>
          <w:tcPr>
            <w:tcW w:w="737" w:type="dxa"/>
            <w:tcBorders>
              <w:top w:val="nil"/>
              <w:left w:val="nil"/>
              <w:bottom w:val="single" w:sz="4" w:space="0" w:color="auto"/>
              <w:right w:val="single" w:sz="4" w:space="0" w:color="auto"/>
            </w:tcBorders>
            <w:shd w:val="clear" w:color="auto" w:fill="auto"/>
            <w:noWrap/>
            <w:vAlign w:val="center"/>
            <w:hideMark/>
          </w:tcPr>
          <w:p w14:paraId="47ACB5EC" w14:textId="676DDCEC"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4082B80C" w14:textId="7A50B57F"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{"citationItems":[{"id":"ITEM-1","itemData":{"ISSN":"12350621","abstract":"The overall objective of this research project was to create new data on the safety-technical characteristics of renewable fuels, low-rank coals and mixtures of these. Knowledge of basic handling and safety-technical chracteristics is of crucial significance for the design of handling equipment and safety systems, and for the assessment of explosion and fire hazards. Ten biomass and lignite fuel samples and two fuel mixtures were included in the work programme. Extensive physical and chemical characterisation was performed for all samples. The reactivity of the combustible dusts was characterised by thermal analysis (DTA-TGA). Based on the thermal runaway temperatures of the dusts the samples are listed by order of reactivity. Self-ignition properties of the fuels were studied at normal and elevated pressure (1-25 bar). The results of the self-ignition tests for the fuel samples are mainly in line with the reactivity tests carried out on DTA-TGA. The elevated pressure had a significant effect on the self-ignition temperature of all fuel samples. Partial inerting increased the self-ignition temperature, but to a rather low degree. Dust explosion tests were performed in 1 m3 vessels and 20 litre spheres. Dust explosion parameters were determined both in normal conditions and at elevated temperature and pressure. A linear correlation was found between the maximum explosion pressure Pmax and the initial pressure. The values measured for the rate of pressure rise, the KSt-value, were considerably more scattered. Most differences can probably be associated with diverse turbulence conditions inside the explosion vessel. In most cases, the lower oxygen concentration LOC slightly increased with increasing initial pressure. LOC decreases with increasing initial temperature, around 1-3 vol% per 100 °C temperature rise. Suppression systems are frequently used in industry as a measure of explosion protection. The suppression tests were conducted in a heatable the 1 m3 vessel. Increasing the temperature makes the suppression of the dust explosion more demanding. Use of partly inert atmosphere led to an increased efficiency of the explosion suppression system.","author":[{"dropping-particle":"","family":"Wilén","given":"Carl","non-dropping-particle":"","parse-names":false,"suffix":""},{"dropping-particle":"","family":"Moilanen","given":"Antero","non-dropping-particle":"","parse-names":false,"suffix":""},{"dropping-particle":"","family":"Rautalin","given":"Aimo","non-dropping-particle":"","parse-names":false,"suffix":""},{"dropping-particle":"","family":"Torrent","given":"Javier","non-dropping-particle":"","parse-names":false,"suffix":""},{"dropping-particle":"","family":"Conde","given":"Eduardo","non-dropping-particle":"","parse-names":false,"suffix":""},{"dropping-particle":"","family":"Lödel","given":"Roland","non-dropping-particle":"","parse-names":false,"suffix":""},{"dropping-particle":"","family":"Carson","given":"Douglas","non-dropping-particle":"","parse-names":false,"suffix":""},{"dropping-particle":"","family":"Timmers","given":"Piet","non-dropping-particle":"","parse-names":false,"suffix":""},{"dropping-particle":"","family":"Brehm","given":"Konrad","non-dropping-particle":"","parse-names":false,"suffix":""}],"container-title":"VTT Publications","id":"ITEM-1","issue":"394","issued":{"date-parts":[["1999"]]},"title":"Safe handling of renewable fuels and fuel mixtures","type":"article-journal"},"uris":["http://www.mendeley.com/documents/?uuid=cc30f0b2-ca37-46f2-b198-10337f3ca782"]}],"mendeley":{"formattedCitation":"[17]","plainTextFormattedCitation":"[17]","previouslyFormattedCitation":"[17]"},"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[17]</w:t>
            </w:r>
            <w:r w:rsidRPr="00DB19C7">
              <w:rPr>
                <w:color w:val="auto"/>
                <w:sz w:val="18"/>
                <w:szCs w:val="18"/>
                <w:lang w:eastAsia="en-GB" w:bidi="ar-SA"/>
              </w:rPr>
              <w:fldChar w:fldCharType="end"/>
            </w:r>
          </w:p>
        </w:tc>
      </w:tr>
      <w:tr w:rsidR="00DB19C7" w:rsidRPr="00DB19C7" w14:paraId="50C666FD" w14:textId="012D73AC"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7822C487"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4</w:t>
            </w:r>
          </w:p>
        </w:tc>
        <w:tc>
          <w:tcPr>
            <w:tcW w:w="1746" w:type="dxa"/>
            <w:tcBorders>
              <w:top w:val="nil"/>
              <w:left w:val="nil"/>
              <w:bottom w:val="single" w:sz="4" w:space="0" w:color="auto"/>
              <w:right w:val="single" w:sz="4" w:space="0" w:color="auto"/>
            </w:tcBorders>
            <w:shd w:val="clear" w:color="auto" w:fill="auto"/>
            <w:noWrap/>
            <w:vAlign w:val="center"/>
            <w:hideMark/>
          </w:tcPr>
          <w:p w14:paraId="68DA5EA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Barley straw</w:t>
            </w:r>
          </w:p>
        </w:tc>
        <w:tc>
          <w:tcPr>
            <w:tcW w:w="767" w:type="dxa"/>
            <w:tcBorders>
              <w:top w:val="nil"/>
              <w:left w:val="nil"/>
              <w:bottom w:val="single" w:sz="4" w:space="0" w:color="auto"/>
              <w:right w:val="single" w:sz="4" w:space="0" w:color="auto"/>
            </w:tcBorders>
            <w:shd w:val="clear" w:color="auto" w:fill="auto"/>
            <w:noWrap/>
            <w:vAlign w:val="center"/>
            <w:hideMark/>
          </w:tcPr>
          <w:p w14:paraId="1C6F524B" w14:textId="7CC1267E" w:rsidR="002B4066" w:rsidRPr="00DB19C7" w:rsidRDefault="002B4066" w:rsidP="002B4066">
            <w:pPr>
              <w:adjustRightInd/>
              <w:snapToGrid/>
              <w:spacing w:line="240" w:lineRule="auto"/>
              <w:jc w:val="center"/>
              <w:rPr>
                <w:color w:val="auto"/>
                <w:sz w:val="18"/>
                <w:szCs w:val="18"/>
                <w:lang w:eastAsia="en-GB" w:bidi="ar-SA"/>
              </w:rPr>
            </w:pPr>
          </w:p>
        </w:tc>
        <w:tc>
          <w:tcPr>
            <w:tcW w:w="767" w:type="dxa"/>
            <w:tcBorders>
              <w:top w:val="nil"/>
              <w:left w:val="nil"/>
              <w:bottom w:val="single" w:sz="4" w:space="0" w:color="auto"/>
              <w:right w:val="single" w:sz="4" w:space="0" w:color="auto"/>
            </w:tcBorders>
            <w:shd w:val="clear" w:color="auto" w:fill="auto"/>
            <w:noWrap/>
            <w:vAlign w:val="center"/>
            <w:hideMark/>
          </w:tcPr>
          <w:p w14:paraId="75B4BE3E"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120</w:t>
            </w:r>
          </w:p>
        </w:tc>
        <w:tc>
          <w:tcPr>
            <w:tcW w:w="1018" w:type="dxa"/>
            <w:tcBorders>
              <w:top w:val="nil"/>
              <w:left w:val="nil"/>
              <w:bottom w:val="single" w:sz="4" w:space="0" w:color="auto"/>
              <w:right w:val="single" w:sz="4" w:space="0" w:color="auto"/>
            </w:tcBorders>
            <w:shd w:val="clear" w:color="auto" w:fill="auto"/>
            <w:noWrap/>
            <w:vAlign w:val="center"/>
            <w:hideMark/>
          </w:tcPr>
          <w:p w14:paraId="31F336CD" w14:textId="18EEAB08" w:rsidR="002B4066" w:rsidRPr="00DB19C7" w:rsidRDefault="002B4066" w:rsidP="002B4066">
            <w:pPr>
              <w:adjustRightInd/>
              <w:snapToGrid/>
              <w:spacing w:line="240" w:lineRule="auto"/>
              <w:jc w:val="center"/>
              <w:rPr>
                <w:color w:val="auto"/>
                <w:sz w:val="18"/>
                <w:szCs w:val="18"/>
                <w:lang w:eastAsia="en-GB" w:bidi="ar-SA"/>
              </w:rPr>
            </w:pPr>
          </w:p>
        </w:tc>
        <w:tc>
          <w:tcPr>
            <w:tcW w:w="1096" w:type="dxa"/>
            <w:tcBorders>
              <w:top w:val="nil"/>
              <w:left w:val="nil"/>
              <w:bottom w:val="single" w:sz="4" w:space="0" w:color="auto"/>
              <w:right w:val="single" w:sz="4" w:space="0" w:color="auto"/>
            </w:tcBorders>
            <w:shd w:val="clear" w:color="auto" w:fill="auto"/>
            <w:noWrap/>
            <w:hideMark/>
          </w:tcPr>
          <w:p w14:paraId="5A8A2E10" w14:textId="7F42B833"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w:t>
            </w:r>
          </w:p>
        </w:tc>
        <w:tc>
          <w:tcPr>
            <w:tcW w:w="767" w:type="dxa"/>
            <w:tcBorders>
              <w:top w:val="nil"/>
              <w:left w:val="nil"/>
              <w:bottom w:val="single" w:sz="4" w:space="0" w:color="auto"/>
              <w:right w:val="single" w:sz="4" w:space="0" w:color="auto"/>
            </w:tcBorders>
            <w:shd w:val="clear" w:color="auto" w:fill="auto"/>
            <w:noWrap/>
            <w:vAlign w:val="center"/>
            <w:hideMark/>
          </w:tcPr>
          <w:p w14:paraId="0216029E" w14:textId="1724241B"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216F22F8" w14:textId="6089DD40"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3F9D4715" w14:textId="23F9B7FE"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0FBCC9F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 - SEM</w:t>
            </w:r>
          </w:p>
        </w:tc>
        <w:tc>
          <w:tcPr>
            <w:tcW w:w="567" w:type="dxa"/>
            <w:tcBorders>
              <w:top w:val="nil"/>
              <w:left w:val="nil"/>
              <w:bottom w:val="single" w:sz="4" w:space="0" w:color="auto"/>
              <w:right w:val="single" w:sz="4" w:space="0" w:color="auto"/>
            </w:tcBorders>
            <w:shd w:val="clear" w:color="auto" w:fill="auto"/>
            <w:noWrap/>
            <w:vAlign w:val="center"/>
            <w:hideMark/>
          </w:tcPr>
          <w:p w14:paraId="589C102B" w14:textId="3E1459A6"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762537D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0CDCBE87"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15.35</w:t>
            </w:r>
          </w:p>
        </w:tc>
        <w:tc>
          <w:tcPr>
            <w:tcW w:w="737" w:type="dxa"/>
            <w:tcBorders>
              <w:top w:val="nil"/>
              <w:left w:val="nil"/>
              <w:bottom w:val="single" w:sz="4" w:space="0" w:color="auto"/>
              <w:right w:val="single" w:sz="4" w:space="0" w:color="auto"/>
            </w:tcBorders>
            <w:shd w:val="clear" w:color="auto" w:fill="auto"/>
            <w:noWrap/>
            <w:vAlign w:val="center"/>
            <w:hideMark/>
          </w:tcPr>
          <w:p w14:paraId="0B85FF29"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63.3</w:t>
            </w:r>
          </w:p>
        </w:tc>
        <w:tc>
          <w:tcPr>
            <w:tcW w:w="737" w:type="dxa"/>
            <w:tcBorders>
              <w:top w:val="nil"/>
              <w:left w:val="nil"/>
              <w:bottom w:val="single" w:sz="4" w:space="0" w:color="auto"/>
              <w:right w:val="single" w:sz="4" w:space="0" w:color="auto"/>
            </w:tcBorders>
            <w:shd w:val="clear" w:color="auto" w:fill="auto"/>
            <w:noWrap/>
            <w:vAlign w:val="center"/>
            <w:hideMark/>
          </w:tcPr>
          <w:p w14:paraId="2E9A91A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4.2</w:t>
            </w:r>
          </w:p>
        </w:tc>
        <w:tc>
          <w:tcPr>
            <w:tcW w:w="737" w:type="dxa"/>
            <w:tcBorders>
              <w:top w:val="nil"/>
              <w:left w:val="nil"/>
              <w:bottom w:val="single" w:sz="4" w:space="0" w:color="auto"/>
              <w:right w:val="single" w:sz="4" w:space="0" w:color="auto"/>
            </w:tcBorders>
            <w:shd w:val="clear" w:color="auto" w:fill="auto"/>
            <w:noWrap/>
            <w:vAlign w:val="center"/>
            <w:hideMark/>
          </w:tcPr>
          <w:p w14:paraId="7AD176C5" w14:textId="2DC00EFF"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05E16BD1" w14:textId="054FC67F"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{"citationItems":[{"id":"ITEM-1","itemData":{"ISSN":"12350621","abstract":"The overall objective of this research project was to create new data on the safety-technical characteristics of renewable fuels, low-rank coals and mixtures of these. Knowledge of basic handling and safety-technical chracteristics is of crucial significance for the design of handling equipment and safety systems, and for the assessment of explosion and fire hazards. Ten biomass and lignite fuel samples and two fuel mixtures were included in the work programme. Extensive physical and chemical characterisation was performed for all samples. The reactivity of the combustible dusts was characterised by thermal analysis (DTA-TGA). Based on the thermal runaway temperatures of the dusts the samples are listed by order of reactivity. Self-ignition properties of the fuels were studied at normal and elevated pressure (1-25 bar). The results of the self-ignition tests for the fuel samples are mainly in line with the reactivity tests carried out on DTA-TGA. The elevated pressure had a significant effect on the self-ignition temperature of all fuel samples. Partial inerting increased the self-ignition temperature, but to a rather low degree. Dust explosion tests were performed in 1 m3 vessels and 20 litre spheres. Dust explosion parameters were determined both in normal conditions and at elevated temperature and pressure. A linear correlation was found between the maximum explosion pressure Pmax and the initial pressure. The values measured for the rate of pressure rise, the KSt-value, were considerably more scattered. Most differences can probably be associated with diverse turbulence conditions inside the explosion vessel. In most cases, the lower oxygen concentration LOC slightly increased with increasing initial pressure. LOC decreases with increasing initial temperature, around 1-3 vol% per 100 °C temperature rise. Suppression systems are frequently used in industry as a measure of explosion protection. The suppression tests were conducted in a heatable the 1 m3 vessel. Increasing the temperature makes the suppression of the dust explosion more demanding. Use of partly inert atmosphere led to an increased efficiency of the explosion suppression system.","author":[{"dropping-particle":"","family":"Wilén","given":"Carl","non-dropping-particle":"","parse-names":false,"suffix":""},{"dropping-particle":"","family":"Moilanen","given":"Antero","non-dropping-particle":"","parse-names":false,"suffix":""},{"dropping-particle":"","family":"Rautalin","given":"Aimo","non-dropping-particle":"","parse-names":false,"suffix":""},{"dropping-particle":"","family":"Torrent","given":"Javier","non-dropping-particle":"","parse-names":false,"suffix":""},{"dropping-particle":"","family":"Conde","given":"Eduardo","non-dropping-particle":"","parse-names":false,"suffix":""},{"dropping-particle":"","family":"Lödel","given":"Roland","non-dropping-particle":"","parse-names":false,"suffix":""},{"dropping-particle":"","family":"Carson","given":"Douglas","non-dropping-particle":"","parse-names":false,"suffix":""},{"dropping-particle":"","family":"Timmers","given":"Piet","non-dropping-particle":"","parse-names":false,"suffix":""},{"dropping-particle":"","family":"Brehm","given":"Konrad","non-dropping-particle":"","parse-names":false,"suffix":""}],"container-title":"VTT Publications","id":"ITEM-1","issue":"394","issued":{"date-parts":[["1999"]]},"title":"Safe handling of renewable fuels and fuel mixtures","type":"article-journal"},"uris":["http://www.mendeley.com/documents/?uuid=cc30f0b2-ca37-46f2-b198-10337f3ca782"]}],"mendeley":{"formattedCitation":"[17]","plainTextFormattedCitation":"[17]","previouslyFormattedCitation":"[17]"},"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[17]</w:t>
            </w:r>
            <w:r w:rsidRPr="00DB19C7">
              <w:rPr>
                <w:color w:val="auto"/>
                <w:sz w:val="18"/>
                <w:szCs w:val="18"/>
                <w:lang w:eastAsia="en-GB" w:bidi="ar-SA"/>
              </w:rPr>
              <w:fldChar w:fldCharType="end"/>
            </w:r>
          </w:p>
        </w:tc>
      </w:tr>
      <w:tr w:rsidR="00DB19C7" w:rsidRPr="00DB19C7" w14:paraId="271598D2" w14:textId="7783DA58"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6669E8D3"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5</w:t>
            </w:r>
          </w:p>
        </w:tc>
        <w:tc>
          <w:tcPr>
            <w:tcW w:w="1746" w:type="dxa"/>
            <w:tcBorders>
              <w:top w:val="nil"/>
              <w:left w:val="nil"/>
              <w:bottom w:val="single" w:sz="4" w:space="0" w:color="auto"/>
              <w:right w:val="single" w:sz="4" w:space="0" w:color="auto"/>
            </w:tcBorders>
            <w:shd w:val="clear" w:color="auto" w:fill="auto"/>
            <w:noWrap/>
            <w:vAlign w:val="center"/>
            <w:hideMark/>
          </w:tcPr>
          <w:p w14:paraId="0815DC98"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Cacao</w:t>
            </w:r>
          </w:p>
        </w:tc>
        <w:tc>
          <w:tcPr>
            <w:tcW w:w="767" w:type="dxa"/>
            <w:tcBorders>
              <w:top w:val="nil"/>
              <w:left w:val="nil"/>
              <w:bottom w:val="single" w:sz="4" w:space="0" w:color="auto"/>
              <w:right w:val="single" w:sz="4" w:space="0" w:color="auto"/>
            </w:tcBorders>
            <w:shd w:val="clear" w:color="auto" w:fill="auto"/>
            <w:noWrap/>
            <w:vAlign w:val="center"/>
            <w:hideMark/>
          </w:tcPr>
          <w:p w14:paraId="49BC62F3" w14:textId="3C0C105F" w:rsidR="002B4066" w:rsidRPr="00DB19C7" w:rsidRDefault="002B4066" w:rsidP="002B4066">
            <w:pPr>
              <w:adjustRightInd/>
              <w:snapToGrid/>
              <w:spacing w:line="240" w:lineRule="auto"/>
              <w:jc w:val="center"/>
              <w:rPr>
                <w:color w:val="auto"/>
                <w:sz w:val="18"/>
                <w:szCs w:val="18"/>
                <w:lang w:eastAsia="en-GB" w:bidi="ar-SA"/>
              </w:rPr>
            </w:pPr>
          </w:p>
        </w:tc>
        <w:tc>
          <w:tcPr>
            <w:tcW w:w="767" w:type="dxa"/>
            <w:tcBorders>
              <w:top w:val="nil"/>
              <w:left w:val="nil"/>
              <w:bottom w:val="single" w:sz="4" w:space="0" w:color="auto"/>
              <w:right w:val="single" w:sz="4" w:space="0" w:color="auto"/>
            </w:tcBorders>
            <w:shd w:val="clear" w:color="auto" w:fill="auto"/>
            <w:noWrap/>
            <w:vAlign w:val="center"/>
            <w:hideMark/>
          </w:tcPr>
          <w:p w14:paraId="5B2CD2CD"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92</w:t>
            </w:r>
          </w:p>
        </w:tc>
        <w:tc>
          <w:tcPr>
            <w:tcW w:w="1018" w:type="dxa"/>
            <w:tcBorders>
              <w:top w:val="nil"/>
              <w:left w:val="nil"/>
              <w:bottom w:val="single" w:sz="4" w:space="0" w:color="auto"/>
              <w:right w:val="single" w:sz="4" w:space="0" w:color="auto"/>
            </w:tcBorders>
            <w:shd w:val="clear" w:color="auto" w:fill="auto"/>
            <w:noWrap/>
            <w:vAlign w:val="center"/>
            <w:hideMark/>
          </w:tcPr>
          <w:p w14:paraId="619FEA19" w14:textId="35DCEE25" w:rsidR="002B4066" w:rsidRPr="00DB19C7" w:rsidRDefault="002B4066" w:rsidP="002B4066">
            <w:pPr>
              <w:adjustRightInd/>
              <w:snapToGrid/>
              <w:spacing w:line="240" w:lineRule="auto"/>
              <w:jc w:val="center"/>
              <w:rPr>
                <w:color w:val="auto"/>
                <w:sz w:val="18"/>
                <w:szCs w:val="18"/>
                <w:lang w:eastAsia="en-GB" w:bidi="ar-SA"/>
              </w:rPr>
            </w:pPr>
          </w:p>
        </w:tc>
        <w:tc>
          <w:tcPr>
            <w:tcW w:w="1096" w:type="dxa"/>
            <w:tcBorders>
              <w:top w:val="nil"/>
              <w:left w:val="nil"/>
              <w:bottom w:val="single" w:sz="4" w:space="0" w:color="auto"/>
              <w:right w:val="single" w:sz="4" w:space="0" w:color="auto"/>
            </w:tcBorders>
            <w:shd w:val="clear" w:color="auto" w:fill="auto"/>
            <w:noWrap/>
            <w:vAlign w:val="center"/>
            <w:hideMark/>
          </w:tcPr>
          <w:p w14:paraId="4EE4A2F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w:t>
            </w:r>
          </w:p>
        </w:tc>
        <w:tc>
          <w:tcPr>
            <w:tcW w:w="767" w:type="dxa"/>
            <w:tcBorders>
              <w:top w:val="nil"/>
              <w:left w:val="nil"/>
              <w:bottom w:val="single" w:sz="4" w:space="0" w:color="auto"/>
              <w:right w:val="single" w:sz="4" w:space="0" w:color="auto"/>
            </w:tcBorders>
            <w:shd w:val="clear" w:color="auto" w:fill="auto"/>
            <w:noWrap/>
            <w:vAlign w:val="center"/>
            <w:hideMark/>
          </w:tcPr>
          <w:p w14:paraId="344BB392" w14:textId="77A8CEEA"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5734AE78" w14:textId="2216E02B"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1B1627E8" w14:textId="62A2A085"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3C05C1DA"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567" w:type="dxa"/>
            <w:tcBorders>
              <w:top w:val="nil"/>
              <w:left w:val="nil"/>
              <w:bottom w:val="single" w:sz="4" w:space="0" w:color="auto"/>
              <w:right w:val="single" w:sz="4" w:space="0" w:color="auto"/>
            </w:tcBorders>
            <w:shd w:val="clear" w:color="auto" w:fill="auto"/>
            <w:noWrap/>
            <w:vAlign w:val="center"/>
            <w:hideMark/>
          </w:tcPr>
          <w:p w14:paraId="43EAA87A" w14:textId="13F4F26C"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1C4E39D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000CFD8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7.8</w:t>
            </w:r>
          </w:p>
        </w:tc>
        <w:tc>
          <w:tcPr>
            <w:tcW w:w="737" w:type="dxa"/>
            <w:tcBorders>
              <w:top w:val="nil"/>
              <w:left w:val="nil"/>
              <w:bottom w:val="single" w:sz="4" w:space="0" w:color="auto"/>
              <w:right w:val="single" w:sz="4" w:space="0" w:color="auto"/>
            </w:tcBorders>
            <w:shd w:val="clear" w:color="auto" w:fill="auto"/>
            <w:noWrap/>
            <w:vAlign w:val="center"/>
            <w:hideMark/>
          </w:tcPr>
          <w:p w14:paraId="0D675F38" w14:textId="3704E67C"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51BC90C8" w14:textId="520B074D"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4A0B1AF2" w14:textId="0C23F02A"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73C15220" w14:textId="607EA544"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{"citationItems":[{"id":"ITEM-1","itemData":{"DOI":"10.1016/j.psep.2018.10.004","ISSN":"0957-5820","abstract":"This study refers to the minimum ignition energy (MIE) of dusts as determined by means of the Hartmann tube. To do so, six different dust with different particle size and properties are employed. A theoretical model is developed to predict the MIE based upon the physical and chemical properties of the dust. The model clearly shows the relationship between the minimum ignition energy and the minimum ignition temperature of a dust cloud. The model results in a method to calculate the MIE of dusts. Also, the time necessary for ignition can be calculated with the model. The results show that despite some limitations, the model predicts the MIE for dusts rather well. It is proposed that 40–60% energy loss would be considered when applying the model.","author":[{"dropping-particle":"","family":"Hosseinzadeh","given":"Sepideh","non-dropping-particle":"","parse-names":false,"suffix":""},{"dropping-particle":"","family":"Berghmans","given":"Jan","non-dropping-particle":"","parse-names":false,"suffix":""},{"dropping-particle":"","family":"Degreve","given":"Jan","non-dropping-particle":"","parse-names":false,"suffix":""},{"dropping-particle":"","family":"Verplaetsen","given":"Filip","non-dropping-particle":"","parse-names":false,"suffix":""}],"container-title":"Process Safety and Environmental Protection","id":"ITEM-1","issued":{"date-parts":[["2019"]]},"page":"43-49","title":"A model for the minimum ignition energy of dust clouds","type":"article-journal","volume":"121"},"uris":["http://www.mendeley.com/documents/?uuid=4faafa79-2294-4a2b-9d8b-56da644ac719"]}],"mendeley":{"formattedCitation":"[143]","plainTextFormattedCitation":"[143]","previouslyFormattedCitation":"[143]"},"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[143]</w:t>
            </w:r>
            <w:r w:rsidRPr="00DB19C7">
              <w:rPr>
                <w:color w:val="auto"/>
                <w:sz w:val="18"/>
                <w:szCs w:val="18"/>
                <w:lang w:eastAsia="en-GB" w:bidi="ar-SA"/>
              </w:rPr>
              <w:fldChar w:fldCharType="end"/>
            </w:r>
          </w:p>
        </w:tc>
      </w:tr>
      <w:tr w:rsidR="00DB19C7" w:rsidRPr="00DB19C7" w14:paraId="3422A9CA" w14:textId="2BC19D36"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02948124"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6</w:t>
            </w:r>
          </w:p>
        </w:tc>
        <w:tc>
          <w:tcPr>
            <w:tcW w:w="1746" w:type="dxa"/>
            <w:tcBorders>
              <w:top w:val="nil"/>
              <w:left w:val="nil"/>
              <w:bottom w:val="single" w:sz="4" w:space="0" w:color="auto"/>
              <w:right w:val="single" w:sz="4" w:space="0" w:color="auto"/>
            </w:tcBorders>
            <w:shd w:val="clear" w:color="auto" w:fill="auto"/>
            <w:noWrap/>
            <w:vAlign w:val="center"/>
            <w:hideMark/>
          </w:tcPr>
          <w:p w14:paraId="162AF52F" w14:textId="77777777" w:rsidR="002B4066" w:rsidRPr="00DB19C7" w:rsidRDefault="002B4066" w:rsidP="002B4066">
            <w:pPr>
              <w:adjustRightInd/>
              <w:snapToGrid/>
              <w:spacing w:line="240" w:lineRule="auto"/>
              <w:jc w:val="center"/>
              <w:rPr>
                <w:color w:val="auto"/>
                <w:sz w:val="18"/>
                <w:szCs w:val="18"/>
                <w:lang w:eastAsia="en-GB" w:bidi="ar-SA"/>
              </w:rPr>
            </w:pPr>
            <w:proofErr w:type="spellStart"/>
            <w:r w:rsidRPr="00DB19C7">
              <w:rPr>
                <w:color w:val="auto"/>
                <w:sz w:val="18"/>
                <w:szCs w:val="18"/>
                <w:lang w:eastAsia="en-GB" w:bidi="ar-SA"/>
              </w:rPr>
              <w:t>Cinnamonum</w:t>
            </w:r>
            <w:proofErr w:type="spellEnd"/>
            <w:r w:rsidRPr="00DB19C7">
              <w:rPr>
                <w:color w:val="auto"/>
                <w:sz w:val="18"/>
                <w:szCs w:val="18"/>
                <w:lang w:eastAsia="en-GB" w:bidi="ar-SA"/>
              </w:rPr>
              <w:t xml:space="preserve"> </w:t>
            </w:r>
            <w:proofErr w:type="spellStart"/>
            <w:r w:rsidRPr="00DB19C7">
              <w:rPr>
                <w:color w:val="auto"/>
                <w:sz w:val="18"/>
                <w:szCs w:val="18"/>
                <w:lang w:eastAsia="en-GB" w:bidi="ar-SA"/>
              </w:rPr>
              <w:t>campora</w:t>
            </w:r>
            <w:proofErr w:type="spellEnd"/>
            <w:r w:rsidRPr="00DB19C7">
              <w:rPr>
                <w:color w:val="auto"/>
                <w:sz w:val="18"/>
                <w:szCs w:val="18"/>
                <w:lang w:eastAsia="en-GB" w:bidi="ar-SA"/>
              </w:rPr>
              <w:t xml:space="preserve">, fraction 0-63 </w:t>
            </w:r>
            <w:proofErr w:type="spellStart"/>
            <w:r w:rsidRPr="00DB19C7">
              <w:rPr>
                <w:color w:val="auto"/>
                <w:sz w:val="18"/>
                <w:szCs w:val="18"/>
                <w:lang w:eastAsia="en-GB" w:bidi="ar-SA"/>
              </w:rPr>
              <w:t>μm</w:t>
            </w:r>
            <w:proofErr w:type="spellEnd"/>
          </w:p>
        </w:tc>
        <w:tc>
          <w:tcPr>
            <w:tcW w:w="767" w:type="dxa"/>
            <w:tcBorders>
              <w:top w:val="nil"/>
              <w:left w:val="nil"/>
              <w:bottom w:val="single" w:sz="4" w:space="0" w:color="auto"/>
              <w:right w:val="single" w:sz="4" w:space="0" w:color="auto"/>
            </w:tcBorders>
            <w:shd w:val="clear" w:color="auto" w:fill="auto"/>
            <w:noWrap/>
            <w:vAlign w:val="center"/>
            <w:hideMark/>
          </w:tcPr>
          <w:p w14:paraId="090CBAE9"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10.29</w:t>
            </w:r>
          </w:p>
        </w:tc>
        <w:tc>
          <w:tcPr>
            <w:tcW w:w="767" w:type="dxa"/>
            <w:tcBorders>
              <w:top w:val="nil"/>
              <w:left w:val="nil"/>
              <w:bottom w:val="single" w:sz="4" w:space="0" w:color="auto"/>
              <w:right w:val="single" w:sz="4" w:space="0" w:color="auto"/>
            </w:tcBorders>
            <w:shd w:val="clear" w:color="auto" w:fill="auto"/>
            <w:noWrap/>
            <w:vAlign w:val="center"/>
            <w:hideMark/>
          </w:tcPr>
          <w:p w14:paraId="486B34EA"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29.76</w:t>
            </w:r>
          </w:p>
        </w:tc>
        <w:tc>
          <w:tcPr>
            <w:tcW w:w="1018" w:type="dxa"/>
            <w:tcBorders>
              <w:top w:val="nil"/>
              <w:left w:val="nil"/>
              <w:bottom w:val="single" w:sz="4" w:space="0" w:color="auto"/>
              <w:right w:val="single" w:sz="4" w:space="0" w:color="auto"/>
            </w:tcBorders>
            <w:shd w:val="clear" w:color="auto" w:fill="auto"/>
            <w:noWrap/>
            <w:vAlign w:val="center"/>
            <w:hideMark/>
          </w:tcPr>
          <w:p w14:paraId="53D9DEA8"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66.78</w:t>
            </w:r>
          </w:p>
        </w:tc>
        <w:tc>
          <w:tcPr>
            <w:tcW w:w="1096" w:type="dxa"/>
            <w:tcBorders>
              <w:top w:val="nil"/>
              <w:left w:val="nil"/>
              <w:bottom w:val="single" w:sz="4" w:space="0" w:color="auto"/>
              <w:right w:val="single" w:sz="4" w:space="0" w:color="auto"/>
            </w:tcBorders>
            <w:shd w:val="clear" w:color="auto" w:fill="auto"/>
            <w:noWrap/>
            <w:vAlign w:val="center"/>
            <w:hideMark/>
          </w:tcPr>
          <w:p w14:paraId="683FB137"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 xml:space="preserve">Yes - fraction 0-500 </w:t>
            </w:r>
            <w:proofErr w:type="spellStart"/>
            <w:r w:rsidRPr="00DB19C7">
              <w:rPr>
                <w:color w:val="auto"/>
                <w:sz w:val="18"/>
                <w:szCs w:val="18"/>
                <w:lang w:eastAsia="en-GB" w:bidi="ar-SA"/>
              </w:rPr>
              <w:t>μm</w:t>
            </w:r>
            <w:proofErr w:type="spellEnd"/>
          </w:p>
        </w:tc>
        <w:tc>
          <w:tcPr>
            <w:tcW w:w="767" w:type="dxa"/>
            <w:tcBorders>
              <w:top w:val="nil"/>
              <w:left w:val="nil"/>
              <w:bottom w:val="single" w:sz="4" w:space="0" w:color="auto"/>
              <w:right w:val="single" w:sz="4" w:space="0" w:color="auto"/>
            </w:tcBorders>
            <w:shd w:val="clear" w:color="auto" w:fill="auto"/>
            <w:noWrap/>
            <w:vAlign w:val="center"/>
            <w:hideMark/>
          </w:tcPr>
          <w:p w14:paraId="6E7E712E" w14:textId="59C130E8"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03C8E8A0" w14:textId="637E1037"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4D90FFCA" w14:textId="3A38ADEF"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0.35</w:t>
            </w:r>
          </w:p>
        </w:tc>
        <w:tc>
          <w:tcPr>
            <w:tcW w:w="1137" w:type="dxa"/>
            <w:tcBorders>
              <w:top w:val="nil"/>
              <w:left w:val="nil"/>
              <w:bottom w:val="single" w:sz="4" w:space="0" w:color="auto"/>
              <w:right w:val="single" w:sz="4" w:space="0" w:color="auto"/>
            </w:tcBorders>
            <w:shd w:val="clear" w:color="auto" w:fill="auto"/>
            <w:noWrap/>
            <w:vAlign w:val="center"/>
            <w:hideMark/>
          </w:tcPr>
          <w:p w14:paraId="4EB1D507"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 - Polarized light microscopy</w:t>
            </w:r>
          </w:p>
        </w:tc>
        <w:tc>
          <w:tcPr>
            <w:tcW w:w="567" w:type="dxa"/>
            <w:tcBorders>
              <w:top w:val="nil"/>
              <w:left w:val="nil"/>
              <w:bottom w:val="single" w:sz="4" w:space="0" w:color="auto"/>
              <w:right w:val="single" w:sz="4" w:space="0" w:color="auto"/>
            </w:tcBorders>
            <w:shd w:val="clear" w:color="auto" w:fill="auto"/>
            <w:noWrap/>
            <w:vAlign w:val="center"/>
            <w:hideMark/>
          </w:tcPr>
          <w:p w14:paraId="174655EC" w14:textId="7641094F"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005AF33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vAlign w:val="center"/>
            <w:hideMark/>
          </w:tcPr>
          <w:p w14:paraId="3C30319C"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 5%</w:t>
            </w:r>
          </w:p>
        </w:tc>
        <w:tc>
          <w:tcPr>
            <w:tcW w:w="737" w:type="dxa"/>
            <w:tcBorders>
              <w:top w:val="nil"/>
              <w:left w:val="nil"/>
              <w:bottom w:val="single" w:sz="4" w:space="0" w:color="auto"/>
              <w:right w:val="single" w:sz="4" w:space="0" w:color="auto"/>
            </w:tcBorders>
            <w:shd w:val="clear" w:color="auto" w:fill="auto"/>
            <w:noWrap/>
            <w:vAlign w:val="center"/>
            <w:hideMark/>
          </w:tcPr>
          <w:p w14:paraId="1FEBF7DB" w14:textId="380F1B27"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3A9047AD" w14:textId="36917FF5"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4C1A9DC0" w14:textId="06E6BD36"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339C7B84" w14:textId="75970534"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{"citationItems":[{"id":"ITEM-1","itemData":{"DOI":"10.15376/biores.14.2.3182-3199","ISSN":"19302126","abstract":"Wood dust samples with different particle sizes were used to investigate the explosion characteristics of wood dust. The dust samples came from Populus alba L., Pinus massoniana Lamb., and Cinnamonum camphora (L.) Pres., species that are commonly utilized in medium density fiberboard production in China. The thermogravimetric characteristics, element composition, and morphology of dust samples were analyzed to help explain the explosion phenomena in a 20 L sphere. The analysis showed that both the maximum explosion pressure and explosion index of wood dust presented a decreasing trend with increasing particle size, and the maximum explosion pressure values were in the range of 7 to 9 bar, regardless of species. For both explosion pressure and explosion index values, the wood dust with similar particle sizes were different, which are ranked as Populus alba &gt; Cinnamonum camphora &gt; Pinus massoniana. In addition, for the explosion pressure of wood dust with similar particle size, the dust concentration had threshold values. Additionally, the particle size and dust concentration had a synergistic effect on the explosion pressure and explosion index. Wood dust with a smaller particle size is more likely to explode at the threshold of concentration.","author":[{"dropping-particle":"","family":"Guo","given":"Lu","non-dropping-particle":"","parse-names":false,"suffix":""},{"dropping-particle":"","family":"Xiao","given":"Qiuping","non-dropping-particle":"","parse-names":false,"suffix":""},{"dropping-particle":"","family":"Zhu","given":"Nanfeng","non-dropping-particle":"","parse-names":false,"suffix":""},{"dropping-particle":"","family":"Wang","given":"Yao","non-dropping-particle":"","parse-names":false,"suffix":""},{"dropping-particle":"","family":"Chen","given":"Xiulan","non-dropping-particle":"","parse-names":false,"suffix":""},{"dropping-particle":"","family":"Xu","given":"Changyan","non-dropping-particle":"","parse-names":false,"suffix":""}],"container-title":"BioResources","id":"ITEM-1","issue":"2","issued":{"date-parts":[["2019"]]},"page":"3182-3199","title":"Comparative studies on the explosion severity of different wood dusts from fiberboard production","type":"article-journal","volume":"14"},"uris":["http://www.mendeley.com/documents/?uuid=dacd87bd-f5eb-4ed5-94b8-717bbe143770"]}],"mendeley":{"formattedCitation":"[112]","plainTextFormattedCitation":"[112]","previouslyFormattedCitation":"[112]"},"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[112]</w:t>
            </w:r>
            <w:r w:rsidRPr="00DB19C7">
              <w:rPr>
                <w:color w:val="auto"/>
                <w:sz w:val="18"/>
                <w:szCs w:val="18"/>
                <w:lang w:eastAsia="en-GB" w:bidi="ar-SA"/>
              </w:rPr>
              <w:fldChar w:fldCharType="end"/>
            </w:r>
          </w:p>
        </w:tc>
      </w:tr>
      <w:tr w:rsidR="00DB19C7" w:rsidRPr="00DB19C7" w14:paraId="380E4980" w14:textId="7BB25494"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30D87876"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7</w:t>
            </w:r>
          </w:p>
        </w:tc>
        <w:tc>
          <w:tcPr>
            <w:tcW w:w="1746" w:type="dxa"/>
            <w:tcBorders>
              <w:top w:val="nil"/>
              <w:left w:val="nil"/>
              <w:bottom w:val="single" w:sz="4" w:space="0" w:color="auto"/>
              <w:right w:val="single" w:sz="4" w:space="0" w:color="auto"/>
            </w:tcBorders>
            <w:shd w:val="clear" w:color="auto" w:fill="auto"/>
            <w:noWrap/>
            <w:vAlign w:val="center"/>
            <w:hideMark/>
          </w:tcPr>
          <w:p w14:paraId="7B9204AE" w14:textId="77777777" w:rsidR="002B4066" w:rsidRPr="00DB19C7" w:rsidRDefault="002B4066" w:rsidP="002B4066">
            <w:pPr>
              <w:adjustRightInd/>
              <w:snapToGrid/>
              <w:spacing w:line="240" w:lineRule="auto"/>
              <w:jc w:val="center"/>
              <w:rPr>
                <w:color w:val="auto"/>
                <w:sz w:val="18"/>
                <w:szCs w:val="18"/>
                <w:lang w:eastAsia="en-GB" w:bidi="ar-SA"/>
              </w:rPr>
            </w:pPr>
            <w:proofErr w:type="spellStart"/>
            <w:r w:rsidRPr="00DB19C7">
              <w:rPr>
                <w:color w:val="auto"/>
                <w:sz w:val="18"/>
                <w:szCs w:val="18"/>
                <w:lang w:eastAsia="en-GB" w:bidi="ar-SA"/>
              </w:rPr>
              <w:t>Cinnamonum</w:t>
            </w:r>
            <w:proofErr w:type="spellEnd"/>
            <w:r w:rsidRPr="00DB19C7">
              <w:rPr>
                <w:color w:val="auto"/>
                <w:sz w:val="18"/>
                <w:szCs w:val="18"/>
                <w:lang w:eastAsia="en-GB" w:bidi="ar-SA"/>
              </w:rPr>
              <w:t xml:space="preserve"> </w:t>
            </w:r>
            <w:proofErr w:type="spellStart"/>
            <w:r w:rsidRPr="00DB19C7">
              <w:rPr>
                <w:color w:val="auto"/>
                <w:sz w:val="18"/>
                <w:szCs w:val="18"/>
                <w:lang w:eastAsia="en-GB" w:bidi="ar-SA"/>
              </w:rPr>
              <w:t>campora</w:t>
            </w:r>
            <w:proofErr w:type="spellEnd"/>
            <w:r w:rsidRPr="00DB19C7">
              <w:rPr>
                <w:color w:val="auto"/>
                <w:sz w:val="18"/>
                <w:szCs w:val="18"/>
                <w:lang w:eastAsia="en-GB" w:bidi="ar-SA"/>
              </w:rPr>
              <w:t xml:space="preserve">, fraction 125-250 </w:t>
            </w:r>
            <w:proofErr w:type="spellStart"/>
            <w:r w:rsidRPr="00DB19C7">
              <w:rPr>
                <w:color w:val="auto"/>
                <w:sz w:val="18"/>
                <w:szCs w:val="18"/>
                <w:lang w:eastAsia="en-GB" w:bidi="ar-SA"/>
              </w:rPr>
              <w:t>μm</w:t>
            </w:r>
            <w:proofErr w:type="spellEnd"/>
          </w:p>
        </w:tc>
        <w:tc>
          <w:tcPr>
            <w:tcW w:w="767" w:type="dxa"/>
            <w:tcBorders>
              <w:top w:val="nil"/>
              <w:left w:val="nil"/>
              <w:bottom w:val="single" w:sz="4" w:space="0" w:color="auto"/>
              <w:right w:val="single" w:sz="4" w:space="0" w:color="auto"/>
            </w:tcBorders>
            <w:shd w:val="clear" w:color="auto" w:fill="auto"/>
            <w:noWrap/>
            <w:vAlign w:val="center"/>
            <w:hideMark/>
          </w:tcPr>
          <w:p w14:paraId="2BCA81CC"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52.25</w:t>
            </w:r>
          </w:p>
        </w:tc>
        <w:tc>
          <w:tcPr>
            <w:tcW w:w="767" w:type="dxa"/>
            <w:tcBorders>
              <w:top w:val="nil"/>
              <w:left w:val="nil"/>
              <w:bottom w:val="single" w:sz="4" w:space="0" w:color="auto"/>
              <w:right w:val="single" w:sz="4" w:space="0" w:color="auto"/>
            </w:tcBorders>
            <w:shd w:val="clear" w:color="auto" w:fill="auto"/>
            <w:noWrap/>
            <w:vAlign w:val="center"/>
            <w:hideMark/>
          </w:tcPr>
          <w:p w14:paraId="12E228E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161.86</w:t>
            </w:r>
          </w:p>
        </w:tc>
        <w:tc>
          <w:tcPr>
            <w:tcW w:w="1018" w:type="dxa"/>
            <w:tcBorders>
              <w:top w:val="nil"/>
              <w:left w:val="nil"/>
              <w:bottom w:val="single" w:sz="4" w:space="0" w:color="auto"/>
              <w:right w:val="single" w:sz="4" w:space="0" w:color="auto"/>
            </w:tcBorders>
            <w:shd w:val="clear" w:color="auto" w:fill="auto"/>
            <w:noWrap/>
            <w:vAlign w:val="center"/>
            <w:hideMark/>
          </w:tcPr>
          <w:p w14:paraId="09471B4E"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313.18</w:t>
            </w:r>
          </w:p>
        </w:tc>
        <w:tc>
          <w:tcPr>
            <w:tcW w:w="1096" w:type="dxa"/>
            <w:tcBorders>
              <w:top w:val="nil"/>
              <w:left w:val="nil"/>
              <w:bottom w:val="single" w:sz="4" w:space="0" w:color="auto"/>
              <w:right w:val="single" w:sz="4" w:space="0" w:color="auto"/>
            </w:tcBorders>
            <w:shd w:val="clear" w:color="auto" w:fill="auto"/>
            <w:noWrap/>
            <w:vAlign w:val="center"/>
            <w:hideMark/>
          </w:tcPr>
          <w:p w14:paraId="07EF3177"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 xml:space="preserve">Yes - fraction 0-500 </w:t>
            </w:r>
            <w:proofErr w:type="spellStart"/>
            <w:r w:rsidRPr="00DB19C7">
              <w:rPr>
                <w:color w:val="auto"/>
                <w:sz w:val="18"/>
                <w:szCs w:val="18"/>
                <w:lang w:eastAsia="en-GB" w:bidi="ar-SA"/>
              </w:rPr>
              <w:t>μm</w:t>
            </w:r>
            <w:proofErr w:type="spellEnd"/>
          </w:p>
        </w:tc>
        <w:tc>
          <w:tcPr>
            <w:tcW w:w="767" w:type="dxa"/>
            <w:tcBorders>
              <w:top w:val="nil"/>
              <w:left w:val="nil"/>
              <w:bottom w:val="single" w:sz="4" w:space="0" w:color="auto"/>
              <w:right w:val="single" w:sz="4" w:space="0" w:color="auto"/>
            </w:tcBorders>
            <w:shd w:val="clear" w:color="auto" w:fill="auto"/>
            <w:noWrap/>
            <w:vAlign w:val="center"/>
            <w:hideMark/>
          </w:tcPr>
          <w:p w14:paraId="7E49698F" w14:textId="5CF586F9"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61639027" w14:textId="5247EDCD"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439E1616" w14:textId="55EFC670"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0.07</w:t>
            </w:r>
          </w:p>
        </w:tc>
        <w:tc>
          <w:tcPr>
            <w:tcW w:w="1137" w:type="dxa"/>
            <w:tcBorders>
              <w:top w:val="nil"/>
              <w:left w:val="nil"/>
              <w:bottom w:val="single" w:sz="4" w:space="0" w:color="auto"/>
              <w:right w:val="single" w:sz="4" w:space="0" w:color="auto"/>
            </w:tcBorders>
            <w:shd w:val="clear" w:color="auto" w:fill="auto"/>
            <w:noWrap/>
            <w:vAlign w:val="center"/>
            <w:hideMark/>
          </w:tcPr>
          <w:p w14:paraId="22C235BE"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 - Polarized light microscopy</w:t>
            </w:r>
          </w:p>
        </w:tc>
        <w:tc>
          <w:tcPr>
            <w:tcW w:w="567" w:type="dxa"/>
            <w:tcBorders>
              <w:top w:val="nil"/>
              <w:left w:val="nil"/>
              <w:bottom w:val="single" w:sz="4" w:space="0" w:color="auto"/>
              <w:right w:val="single" w:sz="4" w:space="0" w:color="auto"/>
            </w:tcBorders>
            <w:shd w:val="clear" w:color="auto" w:fill="auto"/>
            <w:noWrap/>
            <w:vAlign w:val="center"/>
            <w:hideMark/>
          </w:tcPr>
          <w:p w14:paraId="0F947525" w14:textId="2C7AA82B"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4D5ECBF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vAlign w:val="center"/>
            <w:hideMark/>
          </w:tcPr>
          <w:p w14:paraId="48C43739"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 5%</w:t>
            </w:r>
          </w:p>
        </w:tc>
        <w:tc>
          <w:tcPr>
            <w:tcW w:w="737" w:type="dxa"/>
            <w:tcBorders>
              <w:top w:val="nil"/>
              <w:left w:val="nil"/>
              <w:bottom w:val="single" w:sz="4" w:space="0" w:color="auto"/>
              <w:right w:val="single" w:sz="4" w:space="0" w:color="auto"/>
            </w:tcBorders>
            <w:shd w:val="clear" w:color="auto" w:fill="auto"/>
            <w:noWrap/>
            <w:vAlign w:val="center"/>
            <w:hideMark/>
          </w:tcPr>
          <w:p w14:paraId="2A8753C9" w14:textId="7892332A"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24A603D6" w14:textId="1BC1BF48"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0FEDFCF7" w14:textId="72D3EBB8"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682AA2B7" w14:textId="3DAFA47C"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{"citationItems":[{"id":"ITEM-1","itemData":{"DOI":"10.15376/biores.14.2.3182-3199","ISSN":"19302126","abstract":"Wood dust samples with different particle sizes were used to investigate the explosion characteristics of wood dust. The dust samples came from Populus alba L., Pinus massoniana Lamb., and Cinnamonum camphora (L.) Pres., species that are commonly utilized in medium density fiberboard production in China. The thermogravimetric characteristics, element composition, and morphology of dust samples were analyzed to help explain the explosion phenomena in a 20 L sphere. The analysis showed that both the maximum explosion pressure and explosion index of wood dust presented a decreasing trend with increasing particle size, and the maximum explosion pressure values were in the range of 7 to 9 bar, regardless of species. For both explosion pressure and explosion index values, the wood dust with similar particle sizes were different, which are ranked as Populus alba &gt; Cinnamonum camphora &gt; Pinus massoniana. In addition, for the explosion pressure of wood dust with similar particle size, the dust concentration had threshold values. Additionally, the particle size and dust concentration had a synergistic effect on the explosion pressure and explosion index. Wood dust with a smaller particle size is more likely to explode at the threshold of concentration.","author":[{"dropping-particle":"","family":"Guo","given":"Lu","non-dropping-particle":"","parse-names":false,"suffix":""},{"dropping-particle":"","family":"Xiao","given":"Qiuping","non-dropping-particle":"","parse-names":false,"suffix":""},{"dropping-particle":"","family":"Zhu","given":"Nanfeng","non-dropping-particle":"","parse-names":false,"suffix":""},{"dropping-particle":"","family":"Wang","given":"Yao","non-dropping-particle":"","parse-names":false,"suffix":""},{"dropping-particle":"","family":"Chen","given":"Xiulan","non-dropping-particle":"","parse-names":false,"suffix":""},{"dropping-particle":"","family":"Xu","given":"Changyan","non-dropping-particle":"","parse-names":false,"suffix":""}],"container-title":"BioResources","id":"ITEM-1","issue":"2","issued":{"date-parts":[["2019"]]},"page":"3182-3199","title":"Comparative studies on the explosion severity of different wood dusts from fiberboard production","type":"article-journal","volume":"14"},"uris":["http://www.mendeley.com/documents/?uuid=dacd87bd-f5eb-4ed5-94b8-717bbe143770"]}],"mendeley":{"formattedCitation":"[112]","plainTextFormattedCitation":"[112]","previouslyFormattedCitation":"[112]"},"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[112]</w:t>
            </w:r>
            <w:r w:rsidRPr="00DB19C7">
              <w:rPr>
                <w:color w:val="auto"/>
                <w:sz w:val="18"/>
                <w:szCs w:val="18"/>
                <w:lang w:eastAsia="en-GB" w:bidi="ar-SA"/>
              </w:rPr>
              <w:fldChar w:fldCharType="end"/>
            </w:r>
          </w:p>
        </w:tc>
      </w:tr>
      <w:tr w:rsidR="00DB19C7" w:rsidRPr="00DB19C7" w14:paraId="1CC17952" w14:textId="22842AB5"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17268F11"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8</w:t>
            </w:r>
          </w:p>
        </w:tc>
        <w:tc>
          <w:tcPr>
            <w:tcW w:w="1746" w:type="dxa"/>
            <w:tcBorders>
              <w:top w:val="nil"/>
              <w:left w:val="nil"/>
              <w:bottom w:val="single" w:sz="4" w:space="0" w:color="auto"/>
              <w:right w:val="single" w:sz="4" w:space="0" w:color="auto"/>
            </w:tcBorders>
            <w:shd w:val="clear" w:color="auto" w:fill="auto"/>
            <w:noWrap/>
            <w:vAlign w:val="center"/>
            <w:hideMark/>
          </w:tcPr>
          <w:p w14:paraId="3D4B314E" w14:textId="77777777" w:rsidR="002B4066" w:rsidRPr="00DB19C7" w:rsidRDefault="002B4066" w:rsidP="002B4066">
            <w:pPr>
              <w:adjustRightInd/>
              <w:snapToGrid/>
              <w:spacing w:line="240" w:lineRule="auto"/>
              <w:jc w:val="center"/>
              <w:rPr>
                <w:color w:val="auto"/>
                <w:sz w:val="18"/>
                <w:szCs w:val="18"/>
                <w:lang w:eastAsia="en-GB" w:bidi="ar-SA"/>
              </w:rPr>
            </w:pPr>
            <w:proofErr w:type="spellStart"/>
            <w:r w:rsidRPr="00DB19C7">
              <w:rPr>
                <w:color w:val="auto"/>
                <w:sz w:val="18"/>
                <w:szCs w:val="18"/>
                <w:lang w:eastAsia="en-GB" w:bidi="ar-SA"/>
              </w:rPr>
              <w:t>Cinnamonum</w:t>
            </w:r>
            <w:proofErr w:type="spellEnd"/>
            <w:r w:rsidRPr="00DB19C7">
              <w:rPr>
                <w:color w:val="auto"/>
                <w:sz w:val="18"/>
                <w:szCs w:val="18"/>
                <w:lang w:eastAsia="en-GB" w:bidi="ar-SA"/>
              </w:rPr>
              <w:t xml:space="preserve"> </w:t>
            </w:r>
            <w:proofErr w:type="spellStart"/>
            <w:r w:rsidRPr="00DB19C7">
              <w:rPr>
                <w:color w:val="auto"/>
                <w:sz w:val="18"/>
                <w:szCs w:val="18"/>
                <w:lang w:eastAsia="en-GB" w:bidi="ar-SA"/>
              </w:rPr>
              <w:t>campora</w:t>
            </w:r>
            <w:proofErr w:type="spellEnd"/>
            <w:r w:rsidRPr="00DB19C7">
              <w:rPr>
                <w:color w:val="auto"/>
                <w:sz w:val="18"/>
                <w:szCs w:val="18"/>
                <w:lang w:eastAsia="en-GB" w:bidi="ar-SA"/>
              </w:rPr>
              <w:t xml:space="preserve">, fraction 250-500 </w:t>
            </w:r>
            <w:proofErr w:type="spellStart"/>
            <w:r w:rsidRPr="00DB19C7">
              <w:rPr>
                <w:color w:val="auto"/>
                <w:sz w:val="18"/>
                <w:szCs w:val="18"/>
                <w:lang w:eastAsia="en-GB" w:bidi="ar-SA"/>
              </w:rPr>
              <w:t>μm</w:t>
            </w:r>
            <w:proofErr w:type="spellEnd"/>
          </w:p>
        </w:tc>
        <w:tc>
          <w:tcPr>
            <w:tcW w:w="767" w:type="dxa"/>
            <w:tcBorders>
              <w:top w:val="nil"/>
              <w:left w:val="nil"/>
              <w:bottom w:val="single" w:sz="4" w:space="0" w:color="auto"/>
              <w:right w:val="single" w:sz="4" w:space="0" w:color="auto"/>
            </w:tcBorders>
            <w:shd w:val="clear" w:color="auto" w:fill="auto"/>
            <w:noWrap/>
            <w:vAlign w:val="center"/>
            <w:hideMark/>
          </w:tcPr>
          <w:p w14:paraId="08AF44AC"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138.3</w:t>
            </w:r>
          </w:p>
        </w:tc>
        <w:tc>
          <w:tcPr>
            <w:tcW w:w="767" w:type="dxa"/>
            <w:tcBorders>
              <w:top w:val="nil"/>
              <w:left w:val="nil"/>
              <w:bottom w:val="single" w:sz="4" w:space="0" w:color="auto"/>
              <w:right w:val="single" w:sz="4" w:space="0" w:color="auto"/>
            </w:tcBorders>
            <w:shd w:val="clear" w:color="auto" w:fill="auto"/>
            <w:noWrap/>
            <w:vAlign w:val="center"/>
            <w:hideMark/>
          </w:tcPr>
          <w:p w14:paraId="46EA2AF6"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303.23</w:t>
            </w:r>
          </w:p>
        </w:tc>
        <w:tc>
          <w:tcPr>
            <w:tcW w:w="1018" w:type="dxa"/>
            <w:tcBorders>
              <w:top w:val="nil"/>
              <w:left w:val="nil"/>
              <w:bottom w:val="single" w:sz="4" w:space="0" w:color="auto"/>
              <w:right w:val="single" w:sz="4" w:space="0" w:color="auto"/>
            </w:tcBorders>
            <w:shd w:val="clear" w:color="auto" w:fill="auto"/>
            <w:noWrap/>
            <w:vAlign w:val="center"/>
            <w:hideMark/>
          </w:tcPr>
          <w:p w14:paraId="207F0D37"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568.19</w:t>
            </w:r>
          </w:p>
        </w:tc>
        <w:tc>
          <w:tcPr>
            <w:tcW w:w="1096" w:type="dxa"/>
            <w:tcBorders>
              <w:top w:val="nil"/>
              <w:left w:val="nil"/>
              <w:bottom w:val="single" w:sz="4" w:space="0" w:color="auto"/>
              <w:right w:val="single" w:sz="4" w:space="0" w:color="auto"/>
            </w:tcBorders>
            <w:shd w:val="clear" w:color="auto" w:fill="auto"/>
            <w:noWrap/>
            <w:vAlign w:val="center"/>
            <w:hideMark/>
          </w:tcPr>
          <w:p w14:paraId="452AB565"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 xml:space="preserve">Yes - fraction 0-500 </w:t>
            </w:r>
            <w:proofErr w:type="spellStart"/>
            <w:r w:rsidRPr="00DB19C7">
              <w:rPr>
                <w:color w:val="auto"/>
                <w:sz w:val="18"/>
                <w:szCs w:val="18"/>
                <w:lang w:eastAsia="en-GB" w:bidi="ar-SA"/>
              </w:rPr>
              <w:t>μm</w:t>
            </w:r>
            <w:proofErr w:type="spellEnd"/>
          </w:p>
        </w:tc>
        <w:tc>
          <w:tcPr>
            <w:tcW w:w="767" w:type="dxa"/>
            <w:tcBorders>
              <w:top w:val="nil"/>
              <w:left w:val="nil"/>
              <w:bottom w:val="single" w:sz="4" w:space="0" w:color="auto"/>
              <w:right w:val="single" w:sz="4" w:space="0" w:color="auto"/>
            </w:tcBorders>
            <w:shd w:val="clear" w:color="auto" w:fill="auto"/>
            <w:noWrap/>
            <w:vAlign w:val="center"/>
            <w:hideMark/>
          </w:tcPr>
          <w:p w14:paraId="127DC94C" w14:textId="4706E562"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7EA027C5" w14:textId="6E9ABE09"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6122B57D" w14:textId="1535E7A3"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0.04</w:t>
            </w:r>
          </w:p>
        </w:tc>
        <w:tc>
          <w:tcPr>
            <w:tcW w:w="1137" w:type="dxa"/>
            <w:tcBorders>
              <w:top w:val="nil"/>
              <w:left w:val="nil"/>
              <w:bottom w:val="single" w:sz="4" w:space="0" w:color="auto"/>
              <w:right w:val="single" w:sz="4" w:space="0" w:color="auto"/>
            </w:tcBorders>
            <w:shd w:val="clear" w:color="auto" w:fill="auto"/>
            <w:noWrap/>
            <w:vAlign w:val="center"/>
            <w:hideMark/>
          </w:tcPr>
          <w:p w14:paraId="0B995F3E"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 - Polarized light microscopy</w:t>
            </w:r>
          </w:p>
        </w:tc>
        <w:tc>
          <w:tcPr>
            <w:tcW w:w="567" w:type="dxa"/>
            <w:tcBorders>
              <w:top w:val="nil"/>
              <w:left w:val="nil"/>
              <w:bottom w:val="single" w:sz="4" w:space="0" w:color="auto"/>
              <w:right w:val="single" w:sz="4" w:space="0" w:color="auto"/>
            </w:tcBorders>
            <w:shd w:val="clear" w:color="auto" w:fill="auto"/>
            <w:noWrap/>
            <w:vAlign w:val="center"/>
            <w:hideMark/>
          </w:tcPr>
          <w:p w14:paraId="15E79768" w14:textId="41794C84"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70A8280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vAlign w:val="center"/>
            <w:hideMark/>
          </w:tcPr>
          <w:p w14:paraId="7E13832E"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 5%</w:t>
            </w:r>
          </w:p>
        </w:tc>
        <w:tc>
          <w:tcPr>
            <w:tcW w:w="737" w:type="dxa"/>
            <w:tcBorders>
              <w:top w:val="nil"/>
              <w:left w:val="nil"/>
              <w:bottom w:val="single" w:sz="4" w:space="0" w:color="auto"/>
              <w:right w:val="single" w:sz="4" w:space="0" w:color="auto"/>
            </w:tcBorders>
            <w:shd w:val="clear" w:color="auto" w:fill="auto"/>
            <w:noWrap/>
            <w:vAlign w:val="center"/>
            <w:hideMark/>
          </w:tcPr>
          <w:p w14:paraId="4D9C6D3A" w14:textId="6579377F"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05172B1B" w14:textId="7652F147"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64DD66E6" w14:textId="66FF3171"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6E9A99D4" w14:textId="164607FC"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{"citationItems":[{"id":"ITEM-1","itemData":{"DOI":"10.15376/biores.14.2.3182-3199","ISSN":"19302126","abstract":"Wood dust samples with different particle sizes were used to investigate the explosion characteristics of wood dust. The dust samples came from Populus alba L., Pinus massoniana Lamb., and Cinnamonum camphora (L.) Pres., species that are commonly utilized in medium density fiberboard production in China. The thermogravimetric characteristics, element composition, and morphology of dust samples were analyzed to help explain the explosion phenomena in a 20 L sphere. The analysis showed that both the maximum explosion pressure and explosion index of wood dust presented a decreasing trend with increasing particle size, and the maximum explosion pressure values were in the range of 7 to 9 bar, regardless of species. For both explosion pressure and explosion index values, the wood dust with similar particle sizes were different, which are ranked as Populus alba &gt; Cinnamonum camphora &gt; Pinus massoniana. In addition, for the explosion pressure of wood dust with similar particle size, the dust concentration had threshold values. Additionally, the particle size and dust concentration had a synergistic effect on the explosion pressure and explosion index. Wood dust with a smaller particle size is more likely to explode at the threshold of concentration.","author":[{"dropping-particle":"","family":"Guo","given":"Lu","non-dropping-particle":"","parse-names":false,"suffix":""},{"dropping-particle":"","family":"Xiao","given":"Qiuping","non-dropping-particle":"","parse-names":false,"suffix":""},{"dropping-particle":"","family":"Zhu","given":"Nanfeng","non-dropping-particle":"","parse-names":false,"suffix":""},{"dropping-particle":"","family":"Wang","given":"Yao","non-dropping-particle":"","parse-names":false,"suffix":""},{"dropping-particle":"","family":"Chen","given":"Xiulan","non-dropping-particle":"","parse-names":false,"suffix":""},{"dropping-particle":"","family":"Xu","given":"Changyan","non-dropping-particle":"","parse-names":false,"suffix":""}],"container-title":"BioResources","id":"ITEM-1","issue":"2","issued":{"date-parts":[["2019"]]},"page":"3182-3199","title":"Comparative studies on the explosion severity of different wood dusts from fiberboard production","type":"article-journal","volume":"14"},"uris":["http://www.mendeley.com/documents/?uuid=dacd87bd-f5eb-4ed5-94b8-717bbe143770"]}],"mendeley":{"formattedCitation":"[112]","plainTextFormattedCitation":"[112]","previouslyFormattedCitation":"[112]"},"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[112]</w:t>
            </w:r>
            <w:r w:rsidRPr="00DB19C7">
              <w:rPr>
                <w:color w:val="auto"/>
                <w:sz w:val="18"/>
                <w:szCs w:val="18"/>
                <w:lang w:eastAsia="en-GB" w:bidi="ar-SA"/>
              </w:rPr>
              <w:fldChar w:fldCharType="end"/>
            </w:r>
          </w:p>
        </w:tc>
      </w:tr>
      <w:tr w:rsidR="00DB19C7" w:rsidRPr="00DB19C7" w14:paraId="7D2F206F" w14:textId="6818C266"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45580A9E"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9</w:t>
            </w:r>
          </w:p>
        </w:tc>
        <w:tc>
          <w:tcPr>
            <w:tcW w:w="1746" w:type="dxa"/>
            <w:tcBorders>
              <w:top w:val="nil"/>
              <w:left w:val="nil"/>
              <w:bottom w:val="single" w:sz="4" w:space="0" w:color="auto"/>
              <w:right w:val="single" w:sz="4" w:space="0" w:color="auto"/>
            </w:tcBorders>
            <w:shd w:val="clear" w:color="auto" w:fill="auto"/>
            <w:noWrap/>
            <w:vAlign w:val="center"/>
            <w:hideMark/>
          </w:tcPr>
          <w:p w14:paraId="5D9C2258" w14:textId="77777777" w:rsidR="002B4066" w:rsidRPr="00DB19C7" w:rsidRDefault="002B4066" w:rsidP="002B4066">
            <w:pPr>
              <w:adjustRightInd/>
              <w:snapToGrid/>
              <w:spacing w:line="240" w:lineRule="auto"/>
              <w:jc w:val="center"/>
              <w:rPr>
                <w:color w:val="auto"/>
                <w:sz w:val="18"/>
                <w:szCs w:val="18"/>
                <w:lang w:eastAsia="en-GB" w:bidi="ar-SA"/>
              </w:rPr>
            </w:pPr>
            <w:proofErr w:type="spellStart"/>
            <w:r w:rsidRPr="00DB19C7">
              <w:rPr>
                <w:color w:val="auto"/>
                <w:sz w:val="18"/>
                <w:szCs w:val="18"/>
                <w:lang w:eastAsia="en-GB" w:bidi="ar-SA"/>
              </w:rPr>
              <w:t>Cinnamonum</w:t>
            </w:r>
            <w:proofErr w:type="spellEnd"/>
            <w:r w:rsidRPr="00DB19C7">
              <w:rPr>
                <w:color w:val="auto"/>
                <w:sz w:val="18"/>
                <w:szCs w:val="18"/>
                <w:lang w:eastAsia="en-GB" w:bidi="ar-SA"/>
              </w:rPr>
              <w:t xml:space="preserve"> </w:t>
            </w:r>
            <w:proofErr w:type="spellStart"/>
            <w:r w:rsidRPr="00DB19C7">
              <w:rPr>
                <w:color w:val="auto"/>
                <w:sz w:val="18"/>
                <w:szCs w:val="18"/>
                <w:lang w:eastAsia="en-GB" w:bidi="ar-SA"/>
              </w:rPr>
              <w:t>campora</w:t>
            </w:r>
            <w:proofErr w:type="spellEnd"/>
            <w:r w:rsidRPr="00DB19C7">
              <w:rPr>
                <w:color w:val="auto"/>
                <w:sz w:val="18"/>
                <w:szCs w:val="18"/>
                <w:lang w:eastAsia="en-GB" w:bidi="ar-SA"/>
              </w:rPr>
              <w:t xml:space="preserve">, fraction 63-125 </w:t>
            </w:r>
            <w:proofErr w:type="spellStart"/>
            <w:r w:rsidRPr="00DB19C7">
              <w:rPr>
                <w:color w:val="auto"/>
                <w:sz w:val="18"/>
                <w:szCs w:val="18"/>
                <w:lang w:eastAsia="en-GB" w:bidi="ar-SA"/>
              </w:rPr>
              <w:t>μm</w:t>
            </w:r>
            <w:proofErr w:type="spellEnd"/>
          </w:p>
        </w:tc>
        <w:tc>
          <w:tcPr>
            <w:tcW w:w="767" w:type="dxa"/>
            <w:tcBorders>
              <w:top w:val="nil"/>
              <w:left w:val="nil"/>
              <w:bottom w:val="single" w:sz="4" w:space="0" w:color="auto"/>
              <w:right w:val="single" w:sz="4" w:space="0" w:color="auto"/>
            </w:tcBorders>
            <w:shd w:val="clear" w:color="auto" w:fill="auto"/>
            <w:noWrap/>
            <w:vAlign w:val="center"/>
            <w:hideMark/>
          </w:tcPr>
          <w:p w14:paraId="49DE66B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17.76</w:t>
            </w:r>
          </w:p>
        </w:tc>
        <w:tc>
          <w:tcPr>
            <w:tcW w:w="767" w:type="dxa"/>
            <w:tcBorders>
              <w:top w:val="nil"/>
              <w:left w:val="nil"/>
              <w:bottom w:val="single" w:sz="4" w:space="0" w:color="auto"/>
              <w:right w:val="single" w:sz="4" w:space="0" w:color="auto"/>
            </w:tcBorders>
            <w:shd w:val="clear" w:color="auto" w:fill="auto"/>
            <w:noWrap/>
            <w:vAlign w:val="center"/>
            <w:hideMark/>
          </w:tcPr>
          <w:p w14:paraId="7417E8D3"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66.5</w:t>
            </w:r>
          </w:p>
        </w:tc>
        <w:tc>
          <w:tcPr>
            <w:tcW w:w="1018" w:type="dxa"/>
            <w:tcBorders>
              <w:top w:val="nil"/>
              <w:left w:val="nil"/>
              <w:bottom w:val="single" w:sz="4" w:space="0" w:color="auto"/>
              <w:right w:val="single" w:sz="4" w:space="0" w:color="auto"/>
            </w:tcBorders>
            <w:shd w:val="clear" w:color="auto" w:fill="auto"/>
            <w:noWrap/>
            <w:vAlign w:val="center"/>
            <w:hideMark/>
          </w:tcPr>
          <w:p w14:paraId="544BDF23"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157.51</w:t>
            </w:r>
          </w:p>
        </w:tc>
        <w:tc>
          <w:tcPr>
            <w:tcW w:w="1096" w:type="dxa"/>
            <w:tcBorders>
              <w:top w:val="nil"/>
              <w:left w:val="nil"/>
              <w:bottom w:val="single" w:sz="4" w:space="0" w:color="auto"/>
              <w:right w:val="single" w:sz="4" w:space="0" w:color="auto"/>
            </w:tcBorders>
            <w:shd w:val="clear" w:color="auto" w:fill="auto"/>
            <w:noWrap/>
            <w:vAlign w:val="center"/>
            <w:hideMark/>
          </w:tcPr>
          <w:p w14:paraId="7DBC1E8C"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 xml:space="preserve">Yes - fraction 0-500 </w:t>
            </w:r>
            <w:proofErr w:type="spellStart"/>
            <w:r w:rsidRPr="00DB19C7">
              <w:rPr>
                <w:color w:val="auto"/>
                <w:sz w:val="18"/>
                <w:szCs w:val="18"/>
                <w:lang w:eastAsia="en-GB" w:bidi="ar-SA"/>
              </w:rPr>
              <w:t>μm</w:t>
            </w:r>
            <w:proofErr w:type="spellEnd"/>
          </w:p>
        </w:tc>
        <w:tc>
          <w:tcPr>
            <w:tcW w:w="767" w:type="dxa"/>
            <w:tcBorders>
              <w:top w:val="nil"/>
              <w:left w:val="nil"/>
              <w:bottom w:val="single" w:sz="4" w:space="0" w:color="auto"/>
              <w:right w:val="single" w:sz="4" w:space="0" w:color="auto"/>
            </w:tcBorders>
            <w:shd w:val="clear" w:color="auto" w:fill="auto"/>
            <w:noWrap/>
            <w:vAlign w:val="center"/>
            <w:hideMark/>
          </w:tcPr>
          <w:p w14:paraId="34ECE316" w14:textId="6718B79B"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7ED09124" w14:textId="3A48A34E"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225CFD3A" w14:textId="4901974A"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0.19</w:t>
            </w:r>
          </w:p>
        </w:tc>
        <w:tc>
          <w:tcPr>
            <w:tcW w:w="1137" w:type="dxa"/>
            <w:tcBorders>
              <w:top w:val="nil"/>
              <w:left w:val="nil"/>
              <w:bottom w:val="single" w:sz="4" w:space="0" w:color="auto"/>
              <w:right w:val="single" w:sz="4" w:space="0" w:color="auto"/>
            </w:tcBorders>
            <w:shd w:val="clear" w:color="auto" w:fill="auto"/>
            <w:noWrap/>
            <w:vAlign w:val="center"/>
            <w:hideMark/>
          </w:tcPr>
          <w:p w14:paraId="646B6A51"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 - Polarized light microscopy</w:t>
            </w:r>
          </w:p>
        </w:tc>
        <w:tc>
          <w:tcPr>
            <w:tcW w:w="567" w:type="dxa"/>
            <w:tcBorders>
              <w:top w:val="nil"/>
              <w:left w:val="nil"/>
              <w:bottom w:val="single" w:sz="4" w:space="0" w:color="auto"/>
              <w:right w:val="single" w:sz="4" w:space="0" w:color="auto"/>
            </w:tcBorders>
            <w:shd w:val="clear" w:color="auto" w:fill="auto"/>
            <w:noWrap/>
            <w:vAlign w:val="center"/>
            <w:hideMark/>
          </w:tcPr>
          <w:p w14:paraId="07DA93E0" w14:textId="0FADB3B1"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6767A1C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vAlign w:val="center"/>
            <w:hideMark/>
          </w:tcPr>
          <w:p w14:paraId="0DB76D33"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 5%</w:t>
            </w:r>
          </w:p>
        </w:tc>
        <w:tc>
          <w:tcPr>
            <w:tcW w:w="737" w:type="dxa"/>
            <w:tcBorders>
              <w:top w:val="nil"/>
              <w:left w:val="nil"/>
              <w:bottom w:val="single" w:sz="4" w:space="0" w:color="auto"/>
              <w:right w:val="single" w:sz="4" w:space="0" w:color="auto"/>
            </w:tcBorders>
            <w:shd w:val="clear" w:color="auto" w:fill="auto"/>
            <w:noWrap/>
            <w:vAlign w:val="center"/>
            <w:hideMark/>
          </w:tcPr>
          <w:p w14:paraId="50E4FFB0" w14:textId="15D3444D"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7C31EBAF" w14:textId="64EFFDE2"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222B963B" w14:textId="65EBC4FB"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224CEDEC" w14:textId="17AD0758"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{"citationItems":[{"id":"ITEM-1","itemData":{"DOI":"10.15376/biores.14.2.3182-3199","ISSN":"19302126","abstract":"Wood dust samples with different particle sizes were used to investigate the explosion characteristics of wood dust. The dust samples came from Populus alba L., Pinus massoniana Lamb., and Cinnamonum camphora (L.) Pres., species that are commonly utilized in medium density fiberboard production in China. The thermogravimetric characteristics, element composition, and morphology of dust samples were analyzed to help explain the explosion phenomena in a 20 L sphere. The analysis showed that both the maximum explosion pressure and explosion index of wood dust presented a decreasing trend with increasing particle size, and the maximum explosion pressure values were in the range of 7 to 9 bar, regardless of species. For both explosion pressure and explosion index values, the wood dust with similar particle sizes were different, which are ranked as Populus alba &gt; Cinnamonum camphora &gt; Pinus massoniana. In addition, for the explosion pressure of wood dust with similar particle size, the dust concentration had threshold values. Additionally, the particle size and dust concentration had a synergistic effect on the explosion pressure and explosion index. Wood dust with a smaller particle size is more likely to explode at the threshold of concentration.","author":[{"dropping-particle":"","family":"Guo","given":"Lu","non-dropping-particle":"","parse-names":false,"suffix":""},{"dropping-particle":"","family":"Xiao","given":"Qiuping","non-dropping-particle":"","parse-names":false,"suffix":""},{"dropping-particle":"","family":"Zhu","given":"Nanfeng","non-dropping-particle":"","parse-names":false,"suffix":""},{"dropping-particle":"","family":"Wang","given":"Yao","non-dropping-particle":"","parse-names":false,"suffix":""},{"dropping-particle":"","family":"Chen","given":"Xiulan","non-dropping-particle":"","parse-names":false,"suffix":""},{"dropping-particle":"","family":"Xu","given":"Changyan","non-dropping-particle":"","parse-names":false,"suffix":""}],"container-title":"BioResources","id":"ITEM-1","issue":"2","issued":{"date-parts":[["2019"]]},"page":"3182-3199","title":"Comparative studies on the explosion severity of different wood dusts from fiberboard production","type":"article-journal","volume":"14"},"uris":["http://www.mendeley.com/documents/?uuid=dacd87bd-f5eb-4ed5-94b8-717bbe143770"]}],"mendeley":{"formattedCitation":"[112]","plainTextFormattedCitation":"[112]","previouslyFormattedCitation":"[112]"},"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[112]</w:t>
            </w:r>
            <w:r w:rsidRPr="00DB19C7">
              <w:rPr>
                <w:color w:val="auto"/>
                <w:sz w:val="18"/>
                <w:szCs w:val="18"/>
                <w:lang w:eastAsia="en-GB" w:bidi="ar-SA"/>
              </w:rPr>
              <w:fldChar w:fldCharType="end"/>
            </w:r>
          </w:p>
        </w:tc>
      </w:tr>
      <w:tr w:rsidR="00DB19C7" w:rsidRPr="00DB19C7" w14:paraId="5C2B84C0" w14:textId="67EBEC00"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13FC3BB6"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10</w:t>
            </w:r>
          </w:p>
        </w:tc>
        <w:tc>
          <w:tcPr>
            <w:tcW w:w="1746" w:type="dxa"/>
            <w:tcBorders>
              <w:top w:val="nil"/>
              <w:left w:val="nil"/>
              <w:bottom w:val="single" w:sz="4" w:space="0" w:color="auto"/>
              <w:right w:val="single" w:sz="4" w:space="0" w:color="auto"/>
            </w:tcBorders>
            <w:shd w:val="clear" w:color="auto" w:fill="auto"/>
            <w:noWrap/>
            <w:vAlign w:val="center"/>
            <w:hideMark/>
          </w:tcPr>
          <w:p w14:paraId="4E8B727C"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Coconut</w:t>
            </w:r>
          </w:p>
        </w:tc>
        <w:tc>
          <w:tcPr>
            <w:tcW w:w="767" w:type="dxa"/>
            <w:tcBorders>
              <w:top w:val="nil"/>
              <w:left w:val="nil"/>
              <w:bottom w:val="single" w:sz="4" w:space="0" w:color="auto"/>
              <w:right w:val="single" w:sz="4" w:space="0" w:color="auto"/>
            </w:tcBorders>
            <w:shd w:val="clear" w:color="auto" w:fill="auto"/>
            <w:noWrap/>
            <w:vAlign w:val="center"/>
            <w:hideMark/>
          </w:tcPr>
          <w:p w14:paraId="56B3CFD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22.8</w:t>
            </w:r>
          </w:p>
        </w:tc>
        <w:tc>
          <w:tcPr>
            <w:tcW w:w="767" w:type="dxa"/>
            <w:tcBorders>
              <w:top w:val="nil"/>
              <w:left w:val="nil"/>
              <w:bottom w:val="single" w:sz="4" w:space="0" w:color="auto"/>
              <w:right w:val="single" w:sz="4" w:space="0" w:color="auto"/>
            </w:tcBorders>
            <w:shd w:val="clear" w:color="auto" w:fill="auto"/>
            <w:noWrap/>
            <w:vAlign w:val="center"/>
            <w:hideMark/>
          </w:tcPr>
          <w:p w14:paraId="4B387DC9"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83.3</w:t>
            </w:r>
          </w:p>
        </w:tc>
        <w:tc>
          <w:tcPr>
            <w:tcW w:w="1018" w:type="dxa"/>
            <w:tcBorders>
              <w:top w:val="nil"/>
              <w:left w:val="nil"/>
              <w:bottom w:val="single" w:sz="4" w:space="0" w:color="auto"/>
              <w:right w:val="single" w:sz="4" w:space="0" w:color="auto"/>
            </w:tcBorders>
            <w:shd w:val="clear" w:color="auto" w:fill="auto"/>
            <w:noWrap/>
            <w:vAlign w:val="center"/>
            <w:hideMark/>
          </w:tcPr>
          <w:p w14:paraId="513E6155"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274.7</w:t>
            </w:r>
          </w:p>
        </w:tc>
        <w:tc>
          <w:tcPr>
            <w:tcW w:w="1096" w:type="dxa"/>
            <w:tcBorders>
              <w:top w:val="nil"/>
              <w:left w:val="nil"/>
              <w:bottom w:val="single" w:sz="4" w:space="0" w:color="auto"/>
              <w:right w:val="single" w:sz="4" w:space="0" w:color="auto"/>
            </w:tcBorders>
            <w:shd w:val="clear" w:color="auto" w:fill="auto"/>
            <w:noWrap/>
            <w:vAlign w:val="center"/>
            <w:hideMark/>
          </w:tcPr>
          <w:p w14:paraId="6128E77F" w14:textId="2B5EB76A"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7945E95F" w14:textId="20F0B105"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0A16D37B" w14:textId="4CC3CC81"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28BBD3CD" w14:textId="0E8959D7"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48B92934"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567" w:type="dxa"/>
            <w:tcBorders>
              <w:top w:val="nil"/>
              <w:left w:val="nil"/>
              <w:bottom w:val="single" w:sz="4" w:space="0" w:color="auto"/>
              <w:right w:val="single" w:sz="4" w:space="0" w:color="auto"/>
            </w:tcBorders>
            <w:shd w:val="clear" w:color="auto" w:fill="auto"/>
            <w:noWrap/>
            <w:vAlign w:val="center"/>
            <w:hideMark/>
          </w:tcPr>
          <w:p w14:paraId="026E7F8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3.02</w:t>
            </w:r>
          </w:p>
        </w:tc>
        <w:tc>
          <w:tcPr>
            <w:tcW w:w="1134" w:type="dxa"/>
            <w:tcBorders>
              <w:top w:val="nil"/>
              <w:left w:val="nil"/>
              <w:bottom w:val="single" w:sz="4" w:space="0" w:color="auto"/>
              <w:right w:val="single" w:sz="4" w:space="0" w:color="auto"/>
            </w:tcBorders>
            <w:shd w:val="clear" w:color="auto" w:fill="auto"/>
            <w:noWrap/>
            <w:vAlign w:val="center"/>
            <w:hideMark/>
          </w:tcPr>
          <w:p w14:paraId="641FAE31"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2E6A7E9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8.7</w:t>
            </w:r>
          </w:p>
        </w:tc>
        <w:tc>
          <w:tcPr>
            <w:tcW w:w="737" w:type="dxa"/>
            <w:tcBorders>
              <w:top w:val="nil"/>
              <w:left w:val="nil"/>
              <w:bottom w:val="single" w:sz="4" w:space="0" w:color="auto"/>
              <w:right w:val="single" w:sz="4" w:space="0" w:color="auto"/>
            </w:tcBorders>
            <w:shd w:val="clear" w:color="auto" w:fill="auto"/>
            <w:noWrap/>
            <w:vAlign w:val="center"/>
            <w:hideMark/>
          </w:tcPr>
          <w:p w14:paraId="46867FAE"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78.94</w:t>
            </w:r>
          </w:p>
        </w:tc>
        <w:tc>
          <w:tcPr>
            <w:tcW w:w="737" w:type="dxa"/>
            <w:tcBorders>
              <w:top w:val="nil"/>
              <w:left w:val="nil"/>
              <w:bottom w:val="single" w:sz="4" w:space="0" w:color="auto"/>
              <w:right w:val="single" w:sz="4" w:space="0" w:color="auto"/>
            </w:tcBorders>
            <w:shd w:val="clear" w:color="auto" w:fill="auto"/>
            <w:noWrap/>
            <w:vAlign w:val="center"/>
            <w:hideMark/>
          </w:tcPr>
          <w:p w14:paraId="30DD0B7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0.92</w:t>
            </w:r>
          </w:p>
        </w:tc>
        <w:tc>
          <w:tcPr>
            <w:tcW w:w="737" w:type="dxa"/>
            <w:tcBorders>
              <w:top w:val="nil"/>
              <w:left w:val="nil"/>
              <w:bottom w:val="single" w:sz="4" w:space="0" w:color="auto"/>
              <w:right w:val="single" w:sz="4" w:space="0" w:color="auto"/>
            </w:tcBorders>
            <w:shd w:val="clear" w:color="auto" w:fill="auto"/>
            <w:noWrap/>
            <w:vAlign w:val="center"/>
            <w:hideMark/>
          </w:tcPr>
          <w:p w14:paraId="2B0E3C49"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11.44</w:t>
            </w:r>
          </w:p>
        </w:tc>
        <w:tc>
          <w:tcPr>
            <w:tcW w:w="617" w:type="dxa"/>
            <w:tcBorders>
              <w:top w:val="single" w:sz="4" w:space="0" w:color="auto"/>
              <w:left w:val="nil"/>
              <w:bottom w:val="single" w:sz="4" w:space="0" w:color="auto"/>
              <w:right w:val="single" w:sz="4" w:space="0" w:color="auto"/>
            </w:tcBorders>
            <w:vAlign w:val="center"/>
          </w:tcPr>
          <w:p w14:paraId="5C6E8F3E" w14:textId="63FF88AB"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{"citationItems":[{"id":"ITEM-1","itemData":{"DOI":"10.1016/j.fuel.2016.07.045","ISSN":"00162361","abstract":"Biomasses are materials highly demanded nowadays for energy production. One of the main features of these materials is that they present a great variability in terms of chemical composition and physical behavior (O/C and H/C ratios, granulometric structure, ash content…). Nowadays, there is a lack of information concerning its characterization to determine its flammability and explosibility behavior. The objective of this study is to provide flammability and explosibility data as well as some parameters to assess the spontaneous combustion tendency of these products and to relate this thermal susceptibility with the composition. Initial results showed that risk assessments based on the activation energy were not effective for biomass as it is for coals, and that a greater tendency to self-ignition was observed in those biomasses having higher H/C ratios, on the contrary than in coals. This behavior can be explained because the most important stage for coals is the beginning of the self-heating reaction, which present a different resistance (activation energy) depending on its ranking, while biomasses present an initial stage easily achievable even at moderate temperatures, so the differentiation for biomasses should be found in the ability to spread this incipient reaction.","author":[{"dropping-particle":"","family":"García Torrent","given":"Javier","non-dropping-particle":"","parse-names":false,"suffix":""},{"dropping-particle":"","family":"Ramírez-Gómez","given":"Álvaro","non-dropping-particle":"","parse-names":false,"suffix":""},{"dropping-particle":"","family":"Fernandez-Anez","given":"Nieves","non-dropping-particle":"","parse-names":false,"suffix":""},{"dropping-particle":"","family":"Medic Pejic","given":"Ljiljana","non-dropping-particle":"","parse-names":false,"suffix":""},{"dropping-particle":"","family":"Tascón","given":"Alberto","non-dropping-particle":"","parse-names":false,"suffix":""}],"container-title":"Fuel","id":"ITEM-1","issued":{"date-parts":[["2016"]]},"page":"503-511","title":"Influence of the composition of solid biomass in the flammability and susceptibility to spontaneous combustion","type":"article-journal","volume":"184"},"uris":["http://www.mendeley.com/documents/?uuid=9fcb7e1d-bebe-4dfb-9ee6-81a5efa6af83"]}],"mendeley":{"formattedCitation":"[142]","plainTextFormattedCitation":"[142]","previouslyFormattedCitation":"[142]"},"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[142]</w:t>
            </w:r>
            <w:r w:rsidRPr="00DB19C7">
              <w:rPr>
                <w:color w:val="auto"/>
                <w:sz w:val="18"/>
                <w:szCs w:val="18"/>
                <w:lang w:eastAsia="en-GB" w:bidi="ar-SA"/>
              </w:rPr>
              <w:fldChar w:fldCharType="end"/>
            </w:r>
          </w:p>
        </w:tc>
      </w:tr>
      <w:tr w:rsidR="00DB19C7" w:rsidRPr="00DB19C7" w14:paraId="57FE7502" w14:textId="331E2CE7"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0C90977D"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11</w:t>
            </w:r>
          </w:p>
        </w:tc>
        <w:tc>
          <w:tcPr>
            <w:tcW w:w="1746" w:type="dxa"/>
            <w:tcBorders>
              <w:top w:val="nil"/>
              <w:left w:val="nil"/>
              <w:bottom w:val="single" w:sz="4" w:space="0" w:color="auto"/>
              <w:right w:val="single" w:sz="4" w:space="0" w:color="auto"/>
            </w:tcBorders>
            <w:shd w:val="clear" w:color="auto" w:fill="auto"/>
            <w:noWrap/>
            <w:vAlign w:val="center"/>
            <w:hideMark/>
          </w:tcPr>
          <w:p w14:paraId="221052CE"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Cooperage residues</w:t>
            </w:r>
          </w:p>
        </w:tc>
        <w:tc>
          <w:tcPr>
            <w:tcW w:w="767" w:type="dxa"/>
            <w:tcBorders>
              <w:top w:val="nil"/>
              <w:left w:val="nil"/>
              <w:bottom w:val="single" w:sz="4" w:space="0" w:color="auto"/>
              <w:right w:val="single" w:sz="4" w:space="0" w:color="auto"/>
            </w:tcBorders>
            <w:shd w:val="clear" w:color="auto" w:fill="auto"/>
            <w:noWrap/>
            <w:vAlign w:val="center"/>
            <w:hideMark/>
          </w:tcPr>
          <w:p w14:paraId="67456BB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137.2</w:t>
            </w:r>
          </w:p>
        </w:tc>
        <w:tc>
          <w:tcPr>
            <w:tcW w:w="767" w:type="dxa"/>
            <w:tcBorders>
              <w:top w:val="nil"/>
              <w:left w:val="nil"/>
              <w:bottom w:val="single" w:sz="4" w:space="0" w:color="auto"/>
              <w:right w:val="single" w:sz="4" w:space="0" w:color="auto"/>
            </w:tcBorders>
            <w:shd w:val="clear" w:color="auto" w:fill="auto"/>
            <w:noWrap/>
            <w:vAlign w:val="center"/>
            <w:hideMark/>
          </w:tcPr>
          <w:p w14:paraId="6D436017"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396.2</w:t>
            </w:r>
          </w:p>
        </w:tc>
        <w:tc>
          <w:tcPr>
            <w:tcW w:w="1018" w:type="dxa"/>
            <w:tcBorders>
              <w:top w:val="nil"/>
              <w:left w:val="nil"/>
              <w:bottom w:val="single" w:sz="4" w:space="0" w:color="auto"/>
              <w:right w:val="single" w:sz="4" w:space="0" w:color="auto"/>
            </w:tcBorders>
            <w:shd w:val="clear" w:color="auto" w:fill="auto"/>
            <w:noWrap/>
            <w:vAlign w:val="center"/>
            <w:hideMark/>
          </w:tcPr>
          <w:p w14:paraId="4CCA4D2A"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804</w:t>
            </w:r>
          </w:p>
        </w:tc>
        <w:tc>
          <w:tcPr>
            <w:tcW w:w="1096" w:type="dxa"/>
            <w:tcBorders>
              <w:top w:val="nil"/>
              <w:left w:val="nil"/>
              <w:bottom w:val="single" w:sz="4" w:space="0" w:color="auto"/>
              <w:right w:val="single" w:sz="4" w:space="0" w:color="auto"/>
            </w:tcBorders>
            <w:shd w:val="clear" w:color="auto" w:fill="auto"/>
            <w:noWrap/>
            <w:vAlign w:val="center"/>
            <w:hideMark/>
          </w:tcPr>
          <w:p w14:paraId="07FF1303" w14:textId="38562C42"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5F8909E4" w14:textId="464852F0"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274D6BB0" w14:textId="5FA2A61D"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6028FC14" w14:textId="7DCB9A12"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1F5B6D8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567" w:type="dxa"/>
            <w:tcBorders>
              <w:top w:val="nil"/>
              <w:left w:val="nil"/>
              <w:bottom w:val="single" w:sz="4" w:space="0" w:color="auto"/>
              <w:right w:val="single" w:sz="4" w:space="0" w:color="auto"/>
            </w:tcBorders>
            <w:shd w:val="clear" w:color="auto" w:fill="auto"/>
            <w:noWrap/>
            <w:vAlign w:val="center"/>
            <w:hideMark/>
          </w:tcPr>
          <w:p w14:paraId="1184800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1.68</w:t>
            </w:r>
          </w:p>
        </w:tc>
        <w:tc>
          <w:tcPr>
            <w:tcW w:w="1134" w:type="dxa"/>
            <w:tcBorders>
              <w:top w:val="nil"/>
              <w:left w:val="nil"/>
              <w:bottom w:val="single" w:sz="4" w:space="0" w:color="auto"/>
              <w:right w:val="single" w:sz="4" w:space="0" w:color="auto"/>
            </w:tcBorders>
            <w:shd w:val="clear" w:color="auto" w:fill="auto"/>
            <w:noWrap/>
            <w:vAlign w:val="center"/>
            <w:hideMark/>
          </w:tcPr>
          <w:p w14:paraId="232F31D4"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649763D6"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11.6</w:t>
            </w:r>
          </w:p>
        </w:tc>
        <w:tc>
          <w:tcPr>
            <w:tcW w:w="737" w:type="dxa"/>
            <w:tcBorders>
              <w:top w:val="nil"/>
              <w:left w:val="nil"/>
              <w:bottom w:val="single" w:sz="4" w:space="0" w:color="auto"/>
              <w:right w:val="single" w:sz="4" w:space="0" w:color="auto"/>
            </w:tcBorders>
            <w:shd w:val="clear" w:color="auto" w:fill="auto"/>
            <w:noWrap/>
            <w:vAlign w:val="center"/>
            <w:hideMark/>
          </w:tcPr>
          <w:p w14:paraId="1EDDF01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82.75</w:t>
            </w:r>
          </w:p>
        </w:tc>
        <w:tc>
          <w:tcPr>
            <w:tcW w:w="737" w:type="dxa"/>
            <w:tcBorders>
              <w:top w:val="nil"/>
              <w:left w:val="nil"/>
              <w:bottom w:val="single" w:sz="4" w:space="0" w:color="auto"/>
              <w:right w:val="single" w:sz="4" w:space="0" w:color="auto"/>
            </w:tcBorders>
            <w:shd w:val="clear" w:color="auto" w:fill="auto"/>
            <w:noWrap/>
            <w:vAlign w:val="center"/>
            <w:hideMark/>
          </w:tcPr>
          <w:p w14:paraId="434FA886"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1.23</w:t>
            </w:r>
          </w:p>
        </w:tc>
        <w:tc>
          <w:tcPr>
            <w:tcW w:w="737" w:type="dxa"/>
            <w:tcBorders>
              <w:top w:val="nil"/>
              <w:left w:val="nil"/>
              <w:bottom w:val="single" w:sz="4" w:space="0" w:color="auto"/>
              <w:right w:val="single" w:sz="4" w:space="0" w:color="auto"/>
            </w:tcBorders>
            <w:shd w:val="clear" w:color="auto" w:fill="auto"/>
            <w:noWrap/>
            <w:vAlign w:val="center"/>
            <w:hideMark/>
          </w:tcPr>
          <w:p w14:paraId="6200E92E"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4.42</w:t>
            </w:r>
          </w:p>
        </w:tc>
        <w:tc>
          <w:tcPr>
            <w:tcW w:w="617" w:type="dxa"/>
            <w:tcBorders>
              <w:top w:val="single" w:sz="4" w:space="0" w:color="auto"/>
              <w:left w:val="nil"/>
              <w:bottom w:val="single" w:sz="4" w:space="0" w:color="auto"/>
              <w:right w:val="single" w:sz="4" w:space="0" w:color="auto"/>
            </w:tcBorders>
            <w:vAlign w:val="center"/>
          </w:tcPr>
          <w:p w14:paraId="2F25C510" w14:textId="5D2AEFD2"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{"citationItems":[{"id":"ITEM-1","itemData":{"DOI":"10.1016/j.fuel.2016.07.045","ISSN":"00162361","abstract":"Biomasses are materials highly demanded nowadays for energy production. One of the main features of these materials is that they present a great variability in terms of chemical composition and physical behavior (O/C and H/C ratios, granulometric structure, ash content…). Nowadays, there is a lack of information concerning its characterization to determine its flammability and explosibility behavior. The objective of this study is to provide flammability and explosibility data as well as some parameters to assess the spontaneous combustion tendency of these products and to relate this thermal susceptibility with the composition. Initial results showed that risk assessments based on the activation energy were not effective for biomass as it is for coals, and that a greater tendency to self-ignition was observed in those biomasses having higher H/C ratios, on the contrary than in coals. This behavior can be explained because the most important stage for coals is the beginning of the self-heating reaction, which present a different resistance (activation energy) depending on its ranking, while biomasses present an initial stage easily achievable even at moderate temperatures, so the differentiation for biomasses should be found in the ability to spread this incipient reaction.","author":[{"dropping-particle":"","family":"García Torrent","given":"Javier","non-dropping-particle":"","parse-names":false,"suffix":""},{"dropping-particle":"","family":"Ramírez-Gómez","given":"Álvaro","non-dropping-particle":"","parse-names":false,"suffix":""},{"dropping-particle":"","family":"Fernandez-Anez","given":"Nieves","non-dropping-particle":"","parse-names":false,"suffix":""},{"dropping-particle":"","family":"Medic Pejic","given":"Ljiljana","non-dropping-particle":"","parse-names":false,"suffix":""},{"dropping-particle":"","family":"Tascón","given":"Alberto","non-dropping-particle":"","parse-names":false,"suffix":""}],"container-title":"Fuel","id":"ITEM-1","issued":{"date-parts":[["2016"]]},"page":"503-511","title":"Influence of the composition of solid biomass in the flammability and susceptibility to spontaneous combustion","type":"article-journal","volume":"184"},"uris":["http://www.mendeley.com/documents/?uuid=9fcb7e1d-bebe-4dfb-9ee6-81a5efa6af83"]}],"mendeley":{"formattedCitation":"[142]","plainTextFormattedCitation":"[142]","previouslyFormattedCitation":"[142]"},"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[142]</w:t>
            </w:r>
            <w:r w:rsidRPr="00DB19C7">
              <w:rPr>
                <w:color w:val="auto"/>
                <w:sz w:val="18"/>
                <w:szCs w:val="18"/>
                <w:lang w:eastAsia="en-GB" w:bidi="ar-SA"/>
              </w:rPr>
              <w:fldChar w:fldCharType="end"/>
            </w:r>
          </w:p>
        </w:tc>
      </w:tr>
      <w:tr w:rsidR="00DB19C7" w:rsidRPr="00DB19C7" w14:paraId="69F572FB" w14:textId="453E7FA3"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57DBABC3"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12</w:t>
            </w:r>
          </w:p>
        </w:tc>
        <w:tc>
          <w:tcPr>
            <w:tcW w:w="1746" w:type="dxa"/>
            <w:tcBorders>
              <w:top w:val="nil"/>
              <w:left w:val="nil"/>
              <w:bottom w:val="single" w:sz="4" w:space="0" w:color="auto"/>
              <w:right w:val="single" w:sz="4" w:space="0" w:color="auto"/>
            </w:tcBorders>
            <w:shd w:val="clear" w:color="auto" w:fill="auto"/>
            <w:noWrap/>
            <w:vAlign w:val="center"/>
            <w:hideMark/>
          </w:tcPr>
          <w:p w14:paraId="2159301C"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 xml:space="preserve">Cork (bark of </w:t>
            </w:r>
            <w:proofErr w:type="spellStart"/>
            <w:r w:rsidRPr="00DB19C7">
              <w:rPr>
                <w:color w:val="auto"/>
                <w:sz w:val="18"/>
                <w:szCs w:val="18"/>
                <w:lang w:eastAsia="en-GB" w:bidi="ar-SA"/>
              </w:rPr>
              <w:t>Quercus</w:t>
            </w:r>
            <w:proofErr w:type="spellEnd"/>
            <w:r w:rsidRPr="00DB19C7">
              <w:rPr>
                <w:color w:val="auto"/>
                <w:sz w:val="18"/>
                <w:szCs w:val="18"/>
                <w:lang w:eastAsia="en-GB" w:bidi="ar-SA"/>
              </w:rPr>
              <w:t xml:space="preserve"> </w:t>
            </w:r>
            <w:proofErr w:type="spellStart"/>
            <w:r w:rsidRPr="00DB19C7">
              <w:rPr>
                <w:color w:val="auto"/>
                <w:sz w:val="18"/>
                <w:szCs w:val="18"/>
                <w:lang w:eastAsia="en-GB" w:bidi="ar-SA"/>
              </w:rPr>
              <w:t>suber</w:t>
            </w:r>
            <w:proofErr w:type="spellEnd"/>
            <w:r w:rsidRPr="00DB19C7">
              <w:rPr>
                <w:color w:val="auto"/>
                <w:sz w:val="18"/>
                <w:szCs w:val="18"/>
                <w:lang w:eastAsia="en-GB" w:bidi="ar-SA"/>
              </w:rPr>
              <w:t xml:space="preserve"> L.)</w:t>
            </w:r>
          </w:p>
        </w:tc>
        <w:tc>
          <w:tcPr>
            <w:tcW w:w="767" w:type="dxa"/>
            <w:tcBorders>
              <w:top w:val="nil"/>
              <w:left w:val="nil"/>
              <w:bottom w:val="single" w:sz="4" w:space="0" w:color="auto"/>
              <w:right w:val="single" w:sz="4" w:space="0" w:color="auto"/>
            </w:tcBorders>
            <w:shd w:val="clear" w:color="auto" w:fill="auto"/>
            <w:noWrap/>
            <w:vAlign w:val="center"/>
            <w:hideMark/>
          </w:tcPr>
          <w:p w14:paraId="75975498" w14:textId="06E2A831" w:rsidR="002B4066" w:rsidRPr="00DB19C7" w:rsidRDefault="002B4066" w:rsidP="002B4066">
            <w:pPr>
              <w:adjustRightInd/>
              <w:snapToGrid/>
              <w:spacing w:line="240" w:lineRule="auto"/>
              <w:jc w:val="center"/>
              <w:rPr>
                <w:color w:val="auto"/>
                <w:sz w:val="18"/>
                <w:szCs w:val="18"/>
                <w:lang w:eastAsia="en-GB" w:bidi="ar-SA"/>
              </w:rPr>
            </w:pPr>
          </w:p>
        </w:tc>
        <w:tc>
          <w:tcPr>
            <w:tcW w:w="767" w:type="dxa"/>
            <w:tcBorders>
              <w:top w:val="nil"/>
              <w:left w:val="nil"/>
              <w:bottom w:val="single" w:sz="4" w:space="0" w:color="auto"/>
              <w:right w:val="single" w:sz="4" w:space="0" w:color="auto"/>
            </w:tcBorders>
            <w:shd w:val="clear" w:color="auto" w:fill="auto"/>
            <w:noWrap/>
            <w:vAlign w:val="center"/>
            <w:hideMark/>
          </w:tcPr>
          <w:p w14:paraId="499554C9"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47.4</w:t>
            </w:r>
          </w:p>
        </w:tc>
        <w:tc>
          <w:tcPr>
            <w:tcW w:w="1018" w:type="dxa"/>
            <w:tcBorders>
              <w:top w:val="nil"/>
              <w:left w:val="nil"/>
              <w:bottom w:val="single" w:sz="4" w:space="0" w:color="auto"/>
              <w:right w:val="single" w:sz="4" w:space="0" w:color="auto"/>
            </w:tcBorders>
            <w:shd w:val="clear" w:color="auto" w:fill="auto"/>
            <w:noWrap/>
            <w:vAlign w:val="center"/>
            <w:hideMark/>
          </w:tcPr>
          <w:p w14:paraId="00E28FBF" w14:textId="405B18D2" w:rsidR="002B4066" w:rsidRPr="00DB19C7" w:rsidRDefault="002B4066" w:rsidP="002B4066">
            <w:pPr>
              <w:adjustRightInd/>
              <w:snapToGrid/>
              <w:spacing w:line="240" w:lineRule="auto"/>
              <w:jc w:val="center"/>
              <w:rPr>
                <w:color w:val="auto"/>
                <w:sz w:val="18"/>
                <w:szCs w:val="18"/>
                <w:lang w:eastAsia="en-GB" w:bidi="ar-SA"/>
              </w:rPr>
            </w:pPr>
          </w:p>
        </w:tc>
        <w:tc>
          <w:tcPr>
            <w:tcW w:w="1096" w:type="dxa"/>
            <w:tcBorders>
              <w:top w:val="nil"/>
              <w:left w:val="nil"/>
              <w:bottom w:val="single" w:sz="4" w:space="0" w:color="auto"/>
              <w:right w:val="single" w:sz="4" w:space="0" w:color="auto"/>
            </w:tcBorders>
            <w:shd w:val="clear" w:color="auto" w:fill="auto"/>
            <w:noWrap/>
            <w:vAlign w:val="center"/>
            <w:hideMark/>
          </w:tcPr>
          <w:p w14:paraId="0EB13502" w14:textId="778B600E"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w:t>
            </w:r>
          </w:p>
        </w:tc>
        <w:tc>
          <w:tcPr>
            <w:tcW w:w="767" w:type="dxa"/>
            <w:tcBorders>
              <w:top w:val="nil"/>
              <w:left w:val="nil"/>
              <w:bottom w:val="single" w:sz="4" w:space="0" w:color="auto"/>
              <w:right w:val="single" w:sz="4" w:space="0" w:color="auto"/>
            </w:tcBorders>
            <w:shd w:val="clear" w:color="auto" w:fill="auto"/>
            <w:noWrap/>
            <w:vAlign w:val="center"/>
            <w:hideMark/>
          </w:tcPr>
          <w:p w14:paraId="3F4B3E0F" w14:textId="01D412E6"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44988A7F" w14:textId="3FE5B688"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2B05FF68" w14:textId="6A9842FE"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2024076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 - SEM</w:t>
            </w:r>
          </w:p>
        </w:tc>
        <w:tc>
          <w:tcPr>
            <w:tcW w:w="567" w:type="dxa"/>
            <w:tcBorders>
              <w:top w:val="nil"/>
              <w:left w:val="nil"/>
              <w:bottom w:val="single" w:sz="4" w:space="0" w:color="auto"/>
              <w:right w:val="single" w:sz="4" w:space="0" w:color="auto"/>
            </w:tcBorders>
            <w:shd w:val="clear" w:color="auto" w:fill="auto"/>
            <w:noWrap/>
            <w:vAlign w:val="center"/>
            <w:hideMark/>
          </w:tcPr>
          <w:p w14:paraId="213C02D6" w14:textId="6E4EF4F8"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1645831E"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Coulter counter</w:t>
            </w:r>
          </w:p>
        </w:tc>
        <w:tc>
          <w:tcPr>
            <w:tcW w:w="737" w:type="dxa"/>
            <w:tcBorders>
              <w:top w:val="nil"/>
              <w:left w:val="nil"/>
              <w:bottom w:val="single" w:sz="4" w:space="0" w:color="auto"/>
              <w:right w:val="single" w:sz="4" w:space="0" w:color="auto"/>
            </w:tcBorders>
            <w:shd w:val="clear" w:color="auto" w:fill="auto"/>
            <w:noWrap/>
            <w:vAlign w:val="center"/>
            <w:hideMark/>
          </w:tcPr>
          <w:p w14:paraId="03C3D24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5.4</w:t>
            </w:r>
          </w:p>
        </w:tc>
        <w:tc>
          <w:tcPr>
            <w:tcW w:w="737" w:type="dxa"/>
            <w:tcBorders>
              <w:top w:val="nil"/>
              <w:left w:val="nil"/>
              <w:bottom w:val="single" w:sz="4" w:space="0" w:color="auto"/>
              <w:right w:val="single" w:sz="4" w:space="0" w:color="auto"/>
            </w:tcBorders>
            <w:shd w:val="clear" w:color="auto" w:fill="auto"/>
            <w:noWrap/>
            <w:vAlign w:val="center"/>
            <w:hideMark/>
          </w:tcPr>
          <w:p w14:paraId="0A674A29"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92.6</w:t>
            </w:r>
          </w:p>
        </w:tc>
        <w:tc>
          <w:tcPr>
            <w:tcW w:w="737" w:type="dxa"/>
            <w:tcBorders>
              <w:top w:val="nil"/>
              <w:left w:val="nil"/>
              <w:bottom w:val="single" w:sz="4" w:space="0" w:color="auto"/>
              <w:right w:val="single" w:sz="4" w:space="0" w:color="auto"/>
            </w:tcBorders>
            <w:shd w:val="clear" w:color="auto" w:fill="auto"/>
            <w:noWrap/>
            <w:vAlign w:val="center"/>
            <w:hideMark/>
          </w:tcPr>
          <w:p w14:paraId="3794C23D" w14:textId="6618C11B"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60EC729A"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w:t>
            </w:r>
          </w:p>
        </w:tc>
        <w:tc>
          <w:tcPr>
            <w:tcW w:w="617" w:type="dxa"/>
            <w:tcBorders>
              <w:top w:val="single" w:sz="4" w:space="0" w:color="auto"/>
              <w:left w:val="nil"/>
              <w:bottom w:val="single" w:sz="4" w:space="0" w:color="auto"/>
              <w:right w:val="single" w:sz="4" w:space="0" w:color="auto"/>
            </w:tcBorders>
            <w:vAlign w:val="center"/>
          </w:tcPr>
          <w:p w14:paraId="71CF1FF7" w14:textId="533F341D"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ISBN":"0304-3894","author":[{"dropping-particle":"","family":"Pilão","given":"RMBR","non-dropping-particle":"","parse-names":false,"suffix":""},{"dropping-particle":"","family":"Ramalho","given":"E","non-dropping-particle":"","parse-names":false,"suffix":""},{"dropping-particle":"","family":"Pinho","given":"C","non-dropping-particle":"","parse-names":false,"suffix":""}],"container-title":"Journal of hazardous materials","id":"ITEM-1","issue":"1","issued":{"date-parts":[["2006"]]},"page":"183-195","title":"Overall characterization of cork dust explosion","title-short":"Overall characterization of cork dust explosion","type":"article-journal","volume":"133"},"uris":["http://www.mendeley.com/documents/?uuid=904bdbdb-e60e-48f4-8c1b-e32913d83c8b"]}],"mendeley":{"formattedCitation":"[144]","plainTextFormattedCitation":"[144]","previouslyFormattedCitation":"[144]"},"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[144]</w:t>
            </w:r>
            <w:r w:rsidRPr="00DB19C7">
              <w:rPr>
                <w:color w:val="auto"/>
                <w:sz w:val="18"/>
                <w:szCs w:val="18"/>
                <w:lang w:eastAsia="en-GB" w:bidi="ar-SA"/>
              </w:rPr>
              <w:fldChar w:fldCharType="end"/>
            </w:r>
          </w:p>
        </w:tc>
      </w:tr>
      <w:tr w:rsidR="00DB19C7" w:rsidRPr="00DB19C7" w14:paraId="7064DC77" w14:textId="456DF06F"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0848FCC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13</w:t>
            </w:r>
          </w:p>
        </w:tc>
        <w:tc>
          <w:tcPr>
            <w:tcW w:w="1746" w:type="dxa"/>
            <w:tcBorders>
              <w:top w:val="nil"/>
              <w:left w:val="nil"/>
              <w:bottom w:val="single" w:sz="4" w:space="0" w:color="auto"/>
              <w:right w:val="single" w:sz="4" w:space="0" w:color="auto"/>
            </w:tcBorders>
            <w:shd w:val="clear" w:color="auto" w:fill="auto"/>
            <w:noWrap/>
            <w:vAlign w:val="center"/>
            <w:hideMark/>
          </w:tcPr>
          <w:p w14:paraId="7315050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 xml:space="preserve">Corn cob, fraction &lt; 500 </w:t>
            </w:r>
            <w:proofErr w:type="spellStart"/>
            <w:r w:rsidRPr="00DB19C7">
              <w:rPr>
                <w:color w:val="auto"/>
                <w:sz w:val="18"/>
                <w:szCs w:val="18"/>
                <w:lang w:eastAsia="en-GB" w:bidi="ar-SA"/>
              </w:rPr>
              <w:t>μm</w:t>
            </w:r>
            <w:proofErr w:type="spellEnd"/>
          </w:p>
        </w:tc>
        <w:tc>
          <w:tcPr>
            <w:tcW w:w="767" w:type="dxa"/>
            <w:tcBorders>
              <w:top w:val="nil"/>
              <w:left w:val="nil"/>
              <w:bottom w:val="single" w:sz="4" w:space="0" w:color="auto"/>
              <w:right w:val="single" w:sz="4" w:space="0" w:color="auto"/>
            </w:tcBorders>
            <w:shd w:val="clear" w:color="auto" w:fill="auto"/>
            <w:noWrap/>
            <w:vAlign w:val="center"/>
            <w:hideMark/>
          </w:tcPr>
          <w:p w14:paraId="086DB42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45</w:t>
            </w:r>
          </w:p>
        </w:tc>
        <w:tc>
          <w:tcPr>
            <w:tcW w:w="767" w:type="dxa"/>
            <w:tcBorders>
              <w:top w:val="nil"/>
              <w:left w:val="nil"/>
              <w:bottom w:val="single" w:sz="4" w:space="0" w:color="auto"/>
              <w:right w:val="single" w:sz="4" w:space="0" w:color="auto"/>
            </w:tcBorders>
            <w:shd w:val="clear" w:color="auto" w:fill="auto"/>
            <w:noWrap/>
            <w:vAlign w:val="center"/>
            <w:hideMark/>
          </w:tcPr>
          <w:p w14:paraId="73A43BD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372.6</w:t>
            </w:r>
          </w:p>
        </w:tc>
        <w:tc>
          <w:tcPr>
            <w:tcW w:w="1018" w:type="dxa"/>
            <w:tcBorders>
              <w:top w:val="nil"/>
              <w:left w:val="nil"/>
              <w:bottom w:val="single" w:sz="4" w:space="0" w:color="auto"/>
              <w:right w:val="single" w:sz="4" w:space="0" w:color="auto"/>
            </w:tcBorders>
            <w:shd w:val="clear" w:color="auto" w:fill="auto"/>
            <w:noWrap/>
            <w:vAlign w:val="center"/>
            <w:hideMark/>
          </w:tcPr>
          <w:p w14:paraId="7E9794FE"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777.8</w:t>
            </w:r>
          </w:p>
        </w:tc>
        <w:tc>
          <w:tcPr>
            <w:tcW w:w="1096" w:type="dxa"/>
            <w:tcBorders>
              <w:top w:val="nil"/>
              <w:left w:val="nil"/>
              <w:bottom w:val="single" w:sz="4" w:space="0" w:color="auto"/>
              <w:right w:val="single" w:sz="4" w:space="0" w:color="auto"/>
            </w:tcBorders>
            <w:shd w:val="clear" w:color="auto" w:fill="auto"/>
            <w:noWrap/>
            <w:vAlign w:val="center"/>
            <w:hideMark/>
          </w:tcPr>
          <w:p w14:paraId="183BCCFC" w14:textId="021CC788"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4933AB00" w14:textId="5EB5221E"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5E33F577"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98.1</w:t>
            </w:r>
          </w:p>
        </w:tc>
        <w:tc>
          <w:tcPr>
            <w:tcW w:w="1199" w:type="dxa"/>
            <w:tcBorders>
              <w:top w:val="nil"/>
              <w:left w:val="nil"/>
              <w:bottom w:val="single" w:sz="4" w:space="0" w:color="auto"/>
              <w:right w:val="single" w:sz="4" w:space="0" w:color="auto"/>
            </w:tcBorders>
            <w:shd w:val="clear" w:color="auto" w:fill="auto"/>
            <w:noWrap/>
            <w:vAlign w:val="center"/>
            <w:hideMark/>
          </w:tcPr>
          <w:p w14:paraId="0A5CC79A" w14:textId="65EAB5A8"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24620B9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 - SEM</w:t>
            </w:r>
          </w:p>
        </w:tc>
        <w:tc>
          <w:tcPr>
            <w:tcW w:w="567" w:type="dxa"/>
            <w:tcBorders>
              <w:top w:val="nil"/>
              <w:left w:val="nil"/>
              <w:bottom w:val="single" w:sz="4" w:space="0" w:color="auto"/>
              <w:right w:val="single" w:sz="4" w:space="0" w:color="auto"/>
            </w:tcBorders>
            <w:shd w:val="clear" w:color="auto" w:fill="auto"/>
            <w:noWrap/>
            <w:vAlign w:val="center"/>
            <w:hideMark/>
          </w:tcPr>
          <w:p w14:paraId="6063F6AC" w14:textId="7847E949"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75FB1B9E"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3D5F754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7.1</w:t>
            </w:r>
          </w:p>
        </w:tc>
        <w:tc>
          <w:tcPr>
            <w:tcW w:w="737" w:type="dxa"/>
            <w:tcBorders>
              <w:top w:val="nil"/>
              <w:left w:val="nil"/>
              <w:bottom w:val="single" w:sz="4" w:space="0" w:color="auto"/>
              <w:right w:val="single" w:sz="4" w:space="0" w:color="auto"/>
            </w:tcBorders>
            <w:shd w:val="clear" w:color="auto" w:fill="auto"/>
            <w:noWrap/>
            <w:vAlign w:val="center"/>
            <w:hideMark/>
          </w:tcPr>
          <w:p w14:paraId="12223E5E" w14:textId="75ABDB91"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 xml:space="preserve">82.4 </w:t>
            </w:r>
            <w:r w:rsidRPr="00DB19C7">
              <w:rPr>
                <w:color w:val="auto"/>
                <w:vertAlign w:val="superscript"/>
              </w:rPr>
              <w:t>d</w:t>
            </w:r>
          </w:p>
        </w:tc>
        <w:tc>
          <w:tcPr>
            <w:tcW w:w="737" w:type="dxa"/>
            <w:tcBorders>
              <w:top w:val="nil"/>
              <w:left w:val="nil"/>
              <w:bottom w:val="single" w:sz="4" w:space="0" w:color="auto"/>
              <w:right w:val="single" w:sz="4" w:space="0" w:color="auto"/>
            </w:tcBorders>
            <w:shd w:val="clear" w:color="auto" w:fill="auto"/>
            <w:noWrap/>
            <w:vAlign w:val="center"/>
            <w:hideMark/>
          </w:tcPr>
          <w:p w14:paraId="46BF6A60" w14:textId="2F85839C"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8.8</w:t>
            </w:r>
          </w:p>
        </w:tc>
        <w:tc>
          <w:tcPr>
            <w:tcW w:w="737" w:type="dxa"/>
            <w:tcBorders>
              <w:top w:val="nil"/>
              <w:left w:val="nil"/>
              <w:bottom w:val="single" w:sz="4" w:space="0" w:color="auto"/>
              <w:right w:val="single" w:sz="4" w:space="0" w:color="auto"/>
            </w:tcBorders>
            <w:shd w:val="clear" w:color="auto" w:fill="auto"/>
            <w:noWrap/>
            <w:vAlign w:val="center"/>
            <w:hideMark/>
          </w:tcPr>
          <w:p w14:paraId="3860B0A1" w14:textId="1416C17F"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 xml:space="preserve">17.6 </w:t>
            </w:r>
            <w:r w:rsidRPr="00DB19C7">
              <w:rPr>
                <w:color w:val="auto"/>
                <w:vertAlign w:val="superscript"/>
              </w:rPr>
              <w:t>d</w:t>
            </w:r>
          </w:p>
        </w:tc>
        <w:tc>
          <w:tcPr>
            <w:tcW w:w="617" w:type="dxa"/>
            <w:tcBorders>
              <w:top w:val="single" w:sz="4" w:space="0" w:color="auto"/>
              <w:left w:val="nil"/>
              <w:bottom w:val="single" w:sz="4" w:space="0" w:color="auto"/>
              <w:right w:val="single" w:sz="4" w:space="0" w:color="auto"/>
            </w:tcBorders>
            <w:vAlign w:val="center"/>
          </w:tcPr>
          <w:p w14:paraId="517F469C" w14:textId="3ABF1ACC"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{"citationItems":[{"id":"ITEM-1","itemData":{"DOI":"10.1016/J.JLP.2017.03.027","ISSN":"0950-4230","abstract":"Power generation using waste material from the processing of agricultural crops can be a viable biomass energy source. However, there is scant data on their burning properties and this work presents flame speed and explosibility data for two agricultural waste materials: corn cobs (CC) and peanut shells (PS). The parameters were measured on the modified 1 m3 dust explosion equipment. Two coarse size fractions of corn cobs and peanut shells of size less than 500 μm were tested using the Leeds 1 m3 vessel and were compared with two pulverized coal samples. This is typical of the size fraction used in pulverized coal power stations and of pulverized biomass currently used in power generation. The explosion parameters minimum explosible concentration (MEC), rate of pressure rise (dP/dt), deflagration index (Kst), peak to initial pressure rise (Pm/Pi), turbulent and laminar flame speeds were determined using a calibrated hemispherical disperser in the 1 m3 vessel. MEC were measured in the range of 0.6–0.85 (based on 0% ignition probability) in terms of burnt equivalence ratio, Øburnt, which were comparable to the coal samples. The measured Kst (25–60 bar m/s) and turbulent flame speeds (</w:instrText>
            </w:r>
            <w:r w:rsidRPr="00DB19C7">
              <w:rPr>
                <w:rFonts w:ascii="Cambria Math" w:hAnsi="Cambria Math" w:cs="Cambria Math"/>
                <w:color w:val="auto"/>
                <w:sz w:val="18"/>
                <w:szCs w:val="18"/>
                <w:lang w:eastAsia="en-GB" w:bidi="ar-SA"/>
              </w:rPr>
              <w:instrText>∼</w:instrText>
            </w:r>
            <w:r w:rsidRPr="00DB19C7">
              <w:rPr>
                <w:color w:val="auto"/>
                <w:sz w:val="18"/>
                <w:szCs w:val="18"/>
                <w:lang w:eastAsia="en-GB" w:bidi="ar-SA"/>
              </w:rPr>
              <w:instrText>1.3 m/s) were lower than for coal, which was a reflection of the lower calorific value. These results showed that these crop residues are technically feasible power plant fuels to burn alongside coal or as a renewable biofuel on their own.","author":[{"dropping-particle":"","family":"Saeed","given":"Muhammad Azam","non-dropping-particle":"","parse-names":false,"suffix":""},{"dropping-particle":"","family":"Andrews","given":"Gordon E.","non-dropping-particle":"","parse-names":false,"suffix":""},{"dropping-particle":"","family":"Phylaktou","given":"Herodotos N.","non-dropping-particle":"","parse-names":false,"suffix":""},{"dropping-particle":"","family":"Gibbs","given":"Bernard M.","non-dropping-particle":"","parse-names":false,"suffix":""}],"container-title":"Journal of Loss Prevention in the Process Industries","id":"ITEM-1","issued":{"date-parts":[["2017","9","1"]]},"page":"880-887","publisher":"Elsevier","title":"Flame speed and Kst reactivity data for pulverised corn cobs and peanut shells","type":"article-journal","volume":"49"},"uris":["http://www.mendeley.com/documents/?uuid=5e4e6052-43cb-3b29-9e3b-dedf6394b7ea"]}],"mendeley":{"formattedCitation":"[107]","plainTextFormattedCitation":"[107]","previouslyFormattedCitation":"[107]"},"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[107]</w:t>
            </w:r>
            <w:r w:rsidRPr="00DB19C7">
              <w:rPr>
                <w:color w:val="auto"/>
                <w:sz w:val="18"/>
                <w:szCs w:val="18"/>
                <w:lang w:eastAsia="en-GB" w:bidi="ar-SA"/>
              </w:rPr>
              <w:fldChar w:fldCharType="end"/>
            </w:r>
          </w:p>
        </w:tc>
      </w:tr>
      <w:tr w:rsidR="00DB19C7" w:rsidRPr="00DB19C7" w14:paraId="6441E0E0" w14:textId="155BDA48"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686AA21C"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14</w:t>
            </w:r>
          </w:p>
        </w:tc>
        <w:tc>
          <w:tcPr>
            <w:tcW w:w="1746" w:type="dxa"/>
            <w:tcBorders>
              <w:top w:val="nil"/>
              <w:left w:val="nil"/>
              <w:bottom w:val="single" w:sz="4" w:space="0" w:color="auto"/>
              <w:right w:val="single" w:sz="4" w:space="0" w:color="auto"/>
            </w:tcBorders>
            <w:shd w:val="clear" w:color="auto" w:fill="auto"/>
            <w:noWrap/>
            <w:vAlign w:val="center"/>
            <w:hideMark/>
          </w:tcPr>
          <w:p w14:paraId="5DDA0721" w14:textId="77777777" w:rsidR="002B4066" w:rsidRPr="00DB19C7" w:rsidRDefault="002B4066" w:rsidP="002B4066">
            <w:pPr>
              <w:adjustRightInd/>
              <w:snapToGrid/>
              <w:spacing w:line="240" w:lineRule="auto"/>
              <w:jc w:val="center"/>
              <w:rPr>
                <w:color w:val="auto"/>
                <w:sz w:val="18"/>
                <w:szCs w:val="18"/>
                <w:lang w:eastAsia="en-GB" w:bidi="ar-SA"/>
              </w:rPr>
            </w:pPr>
            <w:proofErr w:type="spellStart"/>
            <w:r w:rsidRPr="00DB19C7">
              <w:rPr>
                <w:color w:val="auto"/>
                <w:sz w:val="18"/>
                <w:szCs w:val="18"/>
                <w:lang w:eastAsia="en-GB" w:bidi="ar-SA"/>
              </w:rPr>
              <w:t>cupressus</w:t>
            </w:r>
            <w:proofErr w:type="spellEnd"/>
            <w:r w:rsidRPr="00DB19C7">
              <w:rPr>
                <w:color w:val="auto"/>
                <w:sz w:val="18"/>
                <w:szCs w:val="18"/>
                <w:lang w:eastAsia="en-GB" w:bidi="ar-SA"/>
              </w:rPr>
              <w:t xml:space="preserve"> </w:t>
            </w:r>
            <w:proofErr w:type="spellStart"/>
            <w:r w:rsidRPr="00DB19C7">
              <w:rPr>
                <w:color w:val="auto"/>
                <w:sz w:val="18"/>
                <w:szCs w:val="18"/>
                <w:lang w:eastAsia="en-GB" w:bidi="ar-SA"/>
              </w:rPr>
              <w:t>funebris</w:t>
            </w:r>
            <w:proofErr w:type="spellEnd"/>
          </w:p>
        </w:tc>
        <w:tc>
          <w:tcPr>
            <w:tcW w:w="767" w:type="dxa"/>
            <w:tcBorders>
              <w:top w:val="nil"/>
              <w:left w:val="nil"/>
              <w:bottom w:val="single" w:sz="4" w:space="0" w:color="auto"/>
              <w:right w:val="single" w:sz="4" w:space="0" w:color="auto"/>
            </w:tcBorders>
            <w:shd w:val="clear" w:color="auto" w:fill="auto"/>
            <w:noWrap/>
            <w:vAlign w:val="center"/>
            <w:hideMark/>
          </w:tcPr>
          <w:p w14:paraId="1050599A" w14:textId="0E90A266"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 xml:space="preserve">3.64 </w:t>
            </w:r>
            <w:r w:rsidRPr="00DB19C7">
              <w:rPr>
                <w:color w:val="auto"/>
                <w:vertAlign w:val="superscript"/>
              </w:rPr>
              <w:t>b</w:t>
            </w:r>
          </w:p>
        </w:tc>
        <w:tc>
          <w:tcPr>
            <w:tcW w:w="767" w:type="dxa"/>
            <w:tcBorders>
              <w:top w:val="nil"/>
              <w:left w:val="nil"/>
              <w:bottom w:val="single" w:sz="4" w:space="0" w:color="auto"/>
              <w:right w:val="single" w:sz="4" w:space="0" w:color="auto"/>
            </w:tcBorders>
            <w:shd w:val="clear" w:color="auto" w:fill="auto"/>
            <w:noWrap/>
            <w:vAlign w:val="center"/>
            <w:hideMark/>
          </w:tcPr>
          <w:p w14:paraId="758A2FE6"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32.47</w:t>
            </w:r>
          </w:p>
        </w:tc>
        <w:tc>
          <w:tcPr>
            <w:tcW w:w="1018" w:type="dxa"/>
            <w:tcBorders>
              <w:top w:val="nil"/>
              <w:left w:val="nil"/>
              <w:bottom w:val="single" w:sz="4" w:space="0" w:color="auto"/>
              <w:right w:val="single" w:sz="4" w:space="0" w:color="auto"/>
            </w:tcBorders>
            <w:shd w:val="clear" w:color="auto" w:fill="auto"/>
            <w:noWrap/>
            <w:vAlign w:val="center"/>
            <w:hideMark/>
          </w:tcPr>
          <w:p w14:paraId="515C8B48" w14:textId="6A1DD18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 xml:space="preserve">76.31 </w:t>
            </w:r>
            <w:r w:rsidRPr="00DB19C7">
              <w:rPr>
                <w:color w:val="auto"/>
                <w:vertAlign w:val="superscript"/>
              </w:rPr>
              <w:t>b</w:t>
            </w:r>
          </w:p>
        </w:tc>
        <w:tc>
          <w:tcPr>
            <w:tcW w:w="1096" w:type="dxa"/>
            <w:tcBorders>
              <w:top w:val="nil"/>
              <w:left w:val="nil"/>
              <w:bottom w:val="single" w:sz="4" w:space="0" w:color="auto"/>
              <w:right w:val="single" w:sz="4" w:space="0" w:color="auto"/>
            </w:tcBorders>
            <w:shd w:val="clear" w:color="auto" w:fill="auto"/>
            <w:noWrap/>
            <w:vAlign w:val="center"/>
            <w:hideMark/>
          </w:tcPr>
          <w:p w14:paraId="66582564" w14:textId="3E947F73"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5E9F5E2B" w14:textId="79CD8E00"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22EC8698" w14:textId="5DCD9933"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66F42911" w14:textId="337B1577"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3FD865B1"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567" w:type="dxa"/>
            <w:tcBorders>
              <w:top w:val="nil"/>
              <w:left w:val="nil"/>
              <w:bottom w:val="single" w:sz="4" w:space="0" w:color="auto"/>
              <w:right w:val="single" w:sz="4" w:space="0" w:color="auto"/>
            </w:tcBorders>
            <w:shd w:val="clear" w:color="auto" w:fill="auto"/>
            <w:noWrap/>
            <w:vAlign w:val="center"/>
            <w:hideMark/>
          </w:tcPr>
          <w:p w14:paraId="6BC1FC15" w14:textId="13F34B34"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0BF0A818"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2A6D5AF1" w14:textId="7798BC9D"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40468832" w14:textId="3988D21D"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6CE3CC4A" w14:textId="50F17EC5"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7A2122D3" w14:textId="5B993C68"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688963DA" w14:textId="5073CAEA"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{"citationItems":[{"id":"ITEM-1","itemData":{"DOI":"10.1016/j.biortech.2019.122168","ISSN":"0960-8524","abstract":"In this study, a 20-L spherical explosion vessel, hot plate apparatus, Godbert-Greenwald furnace apparatus, and TG-FTIR were used to investigate the explosion and combustion characteristics of three biomass dusts: dalbergia cochinchinensis (DC), pine sawdust (PS), and cupressus funebris (CF). DC with lower minimum explosible concentration (70–80 g/m3), larger maximum explosion pressure (0.742 MPa) and larger maximum explosion pressure rise rate (80.14 MPa/s) had the greatest explosion hazard in three biomass dusts. The apparent activation energy of DC and CF were lower than that of PS, and the main gas products of three samples included CO2, CO, CH3COOH, and H2O. The volatile matter content of DC characterized by the weight loss and the number of gas products of combustion process was higher than those of PS and CF, showing that the volatile matter content of biomass dust was one of the main factors affecting combustion and explosion hazard.","author":[{"dropping-particle":"","family":"Liu","given":"Aihua","non-dropping-particle":"","parse-names":false,"suffix":""},{"dropping-particle":"","family":"Chen","given":"Jieyun","non-dropping-particle":"","parse-names":false,"suffix":""},{"dropping-particle":"","family":"Huang","given":"Xiaofei","non-dropping-particle":"","parse-names":false,"suffix":""},{"dropping-particle":"","family":"Lin","given":"Junjiang","non-dropping-particle":"","parse-names":false,"suffix":""},{"dropping-particle":"","family":"Zhang","given":"Xiaochun","non-dropping-particle":"","parse-names":false,"suffix":""},{"dropping-particle":"","family":"Xu","given":"Wenbin","non-dropping-particle":"","parse-names":false,"suffix":""}],"container-title":"Bioresource Technology","id":"ITEM-1","issued":{"date-parts":[["2019"]]},"page":"122168","title":"Explosion parameters and combustion kinetics of biomass dust","type":"article-journal","volume":"294"},"uris":["http://www.mendeley.com/documents/?uuid=215e7a2c-b1cb-4f2c-a642-9b17d2f32d2e"]}],"mendeley":{"formattedCitation":"[145]","plainTextFormattedCitation":"[145]","previouslyFormattedCitation":"[145]"},"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[145]</w:t>
            </w:r>
            <w:r w:rsidRPr="00DB19C7">
              <w:rPr>
                <w:color w:val="auto"/>
                <w:sz w:val="18"/>
                <w:szCs w:val="18"/>
                <w:lang w:eastAsia="en-GB" w:bidi="ar-SA"/>
              </w:rPr>
              <w:fldChar w:fldCharType="end"/>
            </w:r>
          </w:p>
        </w:tc>
      </w:tr>
      <w:tr w:rsidR="00DB19C7" w:rsidRPr="00DB19C7" w14:paraId="2BB4787B" w14:textId="2D56A87A"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4E5CE4B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lastRenderedPageBreak/>
              <w:t>15</w:t>
            </w:r>
          </w:p>
        </w:tc>
        <w:tc>
          <w:tcPr>
            <w:tcW w:w="1746" w:type="dxa"/>
            <w:tcBorders>
              <w:top w:val="nil"/>
              <w:left w:val="nil"/>
              <w:bottom w:val="single" w:sz="4" w:space="0" w:color="auto"/>
              <w:right w:val="single" w:sz="4" w:space="0" w:color="auto"/>
            </w:tcBorders>
            <w:shd w:val="clear" w:color="auto" w:fill="auto"/>
            <w:noWrap/>
            <w:vAlign w:val="center"/>
            <w:hideMark/>
          </w:tcPr>
          <w:p w14:paraId="5CBE22AE" w14:textId="77777777" w:rsidR="002B4066" w:rsidRPr="00DB19C7" w:rsidRDefault="002B4066" w:rsidP="002B4066">
            <w:pPr>
              <w:adjustRightInd/>
              <w:snapToGrid/>
              <w:spacing w:line="240" w:lineRule="auto"/>
              <w:jc w:val="center"/>
              <w:rPr>
                <w:color w:val="auto"/>
                <w:sz w:val="18"/>
                <w:szCs w:val="18"/>
                <w:lang w:eastAsia="en-GB" w:bidi="ar-SA"/>
              </w:rPr>
            </w:pPr>
            <w:proofErr w:type="spellStart"/>
            <w:r w:rsidRPr="00DB19C7">
              <w:rPr>
                <w:color w:val="auto"/>
                <w:sz w:val="18"/>
                <w:szCs w:val="18"/>
                <w:lang w:eastAsia="en-GB" w:bidi="ar-SA"/>
              </w:rPr>
              <w:t>Dalbergia</w:t>
            </w:r>
            <w:proofErr w:type="spellEnd"/>
            <w:r w:rsidRPr="00DB19C7">
              <w:rPr>
                <w:color w:val="auto"/>
                <w:sz w:val="18"/>
                <w:szCs w:val="18"/>
                <w:lang w:eastAsia="en-GB" w:bidi="ar-SA"/>
              </w:rPr>
              <w:t xml:space="preserve"> </w:t>
            </w:r>
            <w:proofErr w:type="spellStart"/>
            <w:r w:rsidRPr="00DB19C7">
              <w:rPr>
                <w:color w:val="auto"/>
                <w:sz w:val="18"/>
                <w:szCs w:val="18"/>
                <w:lang w:eastAsia="en-GB" w:bidi="ar-SA"/>
              </w:rPr>
              <w:t>cochinchinensis</w:t>
            </w:r>
            <w:proofErr w:type="spellEnd"/>
          </w:p>
        </w:tc>
        <w:tc>
          <w:tcPr>
            <w:tcW w:w="767" w:type="dxa"/>
            <w:tcBorders>
              <w:top w:val="nil"/>
              <w:left w:val="nil"/>
              <w:bottom w:val="single" w:sz="4" w:space="0" w:color="auto"/>
              <w:right w:val="single" w:sz="4" w:space="0" w:color="auto"/>
            </w:tcBorders>
            <w:shd w:val="clear" w:color="auto" w:fill="auto"/>
            <w:noWrap/>
            <w:vAlign w:val="center"/>
            <w:hideMark/>
          </w:tcPr>
          <w:p w14:paraId="054558E3" w14:textId="244B3C7B"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 xml:space="preserve">5.78 </w:t>
            </w:r>
            <w:r w:rsidRPr="00DB19C7">
              <w:rPr>
                <w:color w:val="auto"/>
                <w:vertAlign w:val="superscript"/>
              </w:rPr>
              <w:t>b</w:t>
            </w:r>
          </w:p>
        </w:tc>
        <w:tc>
          <w:tcPr>
            <w:tcW w:w="767" w:type="dxa"/>
            <w:tcBorders>
              <w:top w:val="nil"/>
              <w:left w:val="nil"/>
              <w:bottom w:val="single" w:sz="4" w:space="0" w:color="auto"/>
              <w:right w:val="single" w:sz="4" w:space="0" w:color="auto"/>
            </w:tcBorders>
            <w:shd w:val="clear" w:color="auto" w:fill="auto"/>
            <w:noWrap/>
            <w:vAlign w:val="center"/>
            <w:hideMark/>
          </w:tcPr>
          <w:p w14:paraId="506FB09D"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38.36</w:t>
            </w:r>
          </w:p>
        </w:tc>
        <w:tc>
          <w:tcPr>
            <w:tcW w:w="1018" w:type="dxa"/>
            <w:tcBorders>
              <w:top w:val="nil"/>
              <w:left w:val="nil"/>
              <w:bottom w:val="single" w:sz="4" w:space="0" w:color="auto"/>
              <w:right w:val="single" w:sz="4" w:space="0" w:color="auto"/>
            </w:tcBorders>
            <w:shd w:val="clear" w:color="auto" w:fill="auto"/>
            <w:noWrap/>
            <w:vAlign w:val="center"/>
            <w:hideMark/>
          </w:tcPr>
          <w:p w14:paraId="67D7610E" w14:textId="65674E90"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 xml:space="preserve">91.76 </w:t>
            </w:r>
            <w:r w:rsidRPr="00DB19C7">
              <w:rPr>
                <w:color w:val="auto"/>
                <w:vertAlign w:val="superscript"/>
              </w:rPr>
              <w:t>b</w:t>
            </w:r>
          </w:p>
        </w:tc>
        <w:tc>
          <w:tcPr>
            <w:tcW w:w="1096" w:type="dxa"/>
            <w:tcBorders>
              <w:top w:val="nil"/>
              <w:left w:val="nil"/>
              <w:bottom w:val="single" w:sz="4" w:space="0" w:color="auto"/>
              <w:right w:val="single" w:sz="4" w:space="0" w:color="auto"/>
            </w:tcBorders>
            <w:shd w:val="clear" w:color="auto" w:fill="auto"/>
            <w:noWrap/>
            <w:vAlign w:val="center"/>
            <w:hideMark/>
          </w:tcPr>
          <w:p w14:paraId="4CB3571D" w14:textId="72346F70"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1721C523" w14:textId="20AF50C1"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05947BC7" w14:textId="00B9AFF8"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2C5D2D47" w14:textId="6EA064E1"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0D9EC82D"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567" w:type="dxa"/>
            <w:tcBorders>
              <w:top w:val="nil"/>
              <w:left w:val="nil"/>
              <w:bottom w:val="single" w:sz="4" w:space="0" w:color="auto"/>
              <w:right w:val="single" w:sz="4" w:space="0" w:color="auto"/>
            </w:tcBorders>
            <w:shd w:val="clear" w:color="auto" w:fill="auto"/>
            <w:noWrap/>
            <w:vAlign w:val="center"/>
            <w:hideMark/>
          </w:tcPr>
          <w:p w14:paraId="1F720F7C" w14:textId="1A4AF6E4"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75C8D72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34F385A2" w14:textId="48EE3E1A"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7D5A58D0" w14:textId="76D14AE7"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0E0E0FEA" w14:textId="5633697E"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4C852A4C" w14:textId="0D62DE11"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5B71C3DE" w14:textId="053C65CD"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{"citationItems":[{"id":"ITEM-1","itemData":{"DOI":"10.1016/j.biortech.2019.122168","ISSN":"0960-8524","abstract":"In this study, a 20-L spherical explosion vessel, hot plate apparatus, Godbert-Greenwald furnace apparatus, and TG-FTIR were used to investigate the explosion and combustion characteristics of three biomass dusts: dalbergia cochinchinensis (DC), pine sawdust (PS), and cupressus funebris (CF). DC with lower minimum explosible concentration (70–80 g/m3), larger maximum explosion pressure (0.742 MPa) and larger maximum explosion pressure rise rate (80.14 MPa/s) had the greatest explosion hazard in three biomass dusts. The apparent activation energy of DC and CF were lower than that of PS, and the main gas products of three samples included CO2, CO, CH3COOH, and H2O. The volatile matter content of DC characterized by the weight loss and the number of gas products of combustion process was higher than those of PS and CF, showing that the volatile matter content of biomass dust was one of the main factors affecting combustion and explosion hazard.","author":[{"dropping-particle":"","family":"Liu","given":"Aihua","non-dropping-particle":"","parse-names":false,"suffix":""},{"dropping-particle":"","family":"Chen","given":"Jieyun","non-dropping-particle":"","parse-names":false,"suffix":""},{"dropping-particle":"","family":"Huang","given":"Xiaofei","non-dropping-particle":"","parse-names":false,"suffix":""},{"dropping-particle":"","family":"Lin","given":"Junjiang","non-dropping-particle":"","parse-names":false,"suffix":""},{"dropping-particle":"","family":"Zhang","given":"Xiaochun","non-dropping-particle":"","parse-names":false,"suffix":""},{"dropping-particle":"","family":"Xu","given":"Wenbin","non-dropping-particle":"","parse-names":false,"suffix":""}],"container-title":"Bioresource Technology","id":"ITEM-1","issued":{"date-parts":[["2019"]]},"page":"122168","title":"Explosion parameters and combustion kinetics of biomass dust","type":"article-journal","volume":"294"},"uris":["http://www.mendeley.com/documents/?uuid=215e7a2c-b1cb-4f2c-a642-9b17d2f32d2e"]}],"mendeley":{"formattedCitation":"[145]","plainTextFormattedCitation":"[145]","previouslyFormattedCitation":"[145]"},"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[145]</w:t>
            </w:r>
            <w:r w:rsidRPr="00DB19C7">
              <w:rPr>
                <w:color w:val="auto"/>
                <w:sz w:val="18"/>
                <w:szCs w:val="18"/>
                <w:lang w:eastAsia="en-GB" w:bidi="ar-SA"/>
              </w:rPr>
              <w:fldChar w:fldCharType="end"/>
            </w:r>
          </w:p>
        </w:tc>
      </w:tr>
      <w:tr w:rsidR="00DB19C7" w:rsidRPr="00DB19C7" w14:paraId="67C4E918" w14:textId="7ECE0095"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457EDC7A"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16</w:t>
            </w:r>
          </w:p>
        </w:tc>
        <w:tc>
          <w:tcPr>
            <w:tcW w:w="1746" w:type="dxa"/>
            <w:tcBorders>
              <w:top w:val="nil"/>
              <w:left w:val="nil"/>
              <w:bottom w:val="single" w:sz="4" w:space="0" w:color="auto"/>
              <w:right w:val="single" w:sz="4" w:space="0" w:color="auto"/>
            </w:tcBorders>
            <w:shd w:val="clear" w:color="auto" w:fill="auto"/>
            <w:noWrap/>
            <w:vAlign w:val="center"/>
            <w:hideMark/>
          </w:tcPr>
          <w:p w14:paraId="2EDD0D56"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Forest residue</w:t>
            </w:r>
          </w:p>
        </w:tc>
        <w:tc>
          <w:tcPr>
            <w:tcW w:w="767" w:type="dxa"/>
            <w:tcBorders>
              <w:top w:val="nil"/>
              <w:left w:val="nil"/>
              <w:bottom w:val="single" w:sz="4" w:space="0" w:color="auto"/>
              <w:right w:val="single" w:sz="4" w:space="0" w:color="auto"/>
            </w:tcBorders>
            <w:shd w:val="clear" w:color="auto" w:fill="auto"/>
            <w:noWrap/>
            <w:vAlign w:val="center"/>
            <w:hideMark/>
          </w:tcPr>
          <w:p w14:paraId="71556DFC" w14:textId="24EDFD1B" w:rsidR="002B4066" w:rsidRPr="00DB19C7" w:rsidRDefault="002B4066" w:rsidP="002B4066">
            <w:pPr>
              <w:adjustRightInd/>
              <w:snapToGrid/>
              <w:spacing w:line="240" w:lineRule="auto"/>
              <w:jc w:val="center"/>
              <w:rPr>
                <w:color w:val="auto"/>
                <w:sz w:val="18"/>
                <w:szCs w:val="18"/>
                <w:lang w:eastAsia="en-GB" w:bidi="ar-SA"/>
              </w:rPr>
            </w:pPr>
          </w:p>
        </w:tc>
        <w:tc>
          <w:tcPr>
            <w:tcW w:w="767" w:type="dxa"/>
            <w:tcBorders>
              <w:top w:val="nil"/>
              <w:left w:val="nil"/>
              <w:bottom w:val="single" w:sz="4" w:space="0" w:color="auto"/>
              <w:right w:val="single" w:sz="4" w:space="0" w:color="auto"/>
            </w:tcBorders>
            <w:shd w:val="clear" w:color="auto" w:fill="auto"/>
            <w:noWrap/>
            <w:vAlign w:val="center"/>
            <w:hideMark/>
          </w:tcPr>
          <w:p w14:paraId="75696344"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230</w:t>
            </w:r>
          </w:p>
        </w:tc>
        <w:tc>
          <w:tcPr>
            <w:tcW w:w="1018" w:type="dxa"/>
            <w:tcBorders>
              <w:top w:val="nil"/>
              <w:left w:val="nil"/>
              <w:bottom w:val="single" w:sz="4" w:space="0" w:color="auto"/>
              <w:right w:val="single" w:sz="4" w:space="0" w:color="auto"/>
            </w:tcBorders>
            <w:shd w:val="clear" w:color="auto" w:fill="auto"/>
            <w:noWrap/>
            <w:vAlign w:val="center"/>
            <w:hideMark/>
          </w:tcPr>
          <w:p w14:paraId="67121851" w14:textId="5913C0DC" w:rsidR="002B4066" w:rsidRPr="00DB19C7" w:rsidRDefault="002B4066" w:rsidP="002B4066">
            <w:pPr>
              <w:adjustRightInd/>
              <w:snapToGrid/>
              <w:spacing w:line="240" w:lineRule="auto"/>
              <w:jc w:val="center"/>
              <w:rPr>
                <w:color w:val="auto"/>
                <w:sz w:val="18"/>
                <w:szCs w:val="18"/>
                <w:lang w:eastAsia="en-GB" w:bidi="ar-SA"/>
              </w:rPr>
            </w:pPr>
          </w:p>
        </w:tc>
        <w:tc>
          <w:tcPr>
            <w:tcW w:w="1096" w:type="dxa"/>
            <w:tcBorders>
              <w:top w:val="nil"/>
              <w:left w:val="nil"/>
              <w:bottom w:val="single" w:sz="4" w:space="0" w:color="auto"/>
              <w:right w:val="single" w:sz="4" w:space="0" w:color="auto"/>
            </w:tcBorders>
            <w:shd w:val="clear" w:color="auto" w:fill="auto"/>
            <w:noWrap/>
            <w:vAlign w:val="center"/>
            <w:hideMark/>
          </w:tcPr>
          <w:p w14:paraId="3C3BDBEE" w14:textId="2423FEA5"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w:t>
            </w:r>
          </w:p>
        </w:tc>
        <w:tc>
          <w:tcPr>
            <w:tcW w:w="767" w:type="dxa"/>
            <w:tcBorders>
              <w:top w:val="nil"/>
              <w:left w:val="nil"/>
              <w:bottom w:val="single" w:sz="4" w:space="0" w:color="auto"/>
              <w:right w:val="single" w:sz="4" w:space="0" w:color="auto"/>
            </w:tcBorders>
            <w:shd w:val="clear" w:color="auto" w:fill="auto"/>
            <w:noWrap/>
            <w:vAlign w:val="center"/>
            <w:hideMark/>
          </w:tcPr>
          <w:p w14:paraId="5F7100A4" w14:textId="65DA9FC5"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0D3282DA" w14:textId="0F303F55"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65D28E8E" w14:textId="48FA4F88"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59B3C19D"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 - SEM</w:t>
            </w:r>
          </w:p>
        </w:tc>
        <w:tc>
          <w:tcPr>
            <w:tcW w:w="567" w:type="dxa"/>
            <w:tcBorders>
              <w:top w:val="nil"/>
              <w:left w:val="nil"/>
              <w:bottom w:val="single" w:sz="4" w:space="0" w:color="auto"/>
              <w:right w:val="single" w:sz="4" w:space="0" w:color="auto"/>
            </w:tcBorders>
            <w:shd w:val="clear" w:color="auto" w:fill="auto"/>
            <w:noWrap/>
            <w:vAlign w:val="center"/>
            <w:hideMark/>
          </w:tcPr>
          <w:p w14:paraId="601790AE" w14:textId="45CA0253"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03164B97"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095E944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5.3</w:t>
            </w:r>
          </w:p>
        </w:tc>
        <w:tc>
          <w:tcPr>
            <w:tcW w:w="737" w:type="dxa"/>
            <w:tcBorders>
              <w:top w:val="nil"/>
              <w:left w:val="nil"/>
              <w:bottom w:val="single" w:sz="4" w:space="0" w:color="auto"/>
              <w:right w:val="single" w:sz="4" w:space="0" w:color="auto"/>
            </w:tcBorders>
            <w:shd w:val="clear" w:color="auto" w:fill="auto"/>
            <w:noWrap/>
            <w:vAlign w:val="center"/>
            <w:hideMark/>
          </w:tcPr>
          <w:p w14:paraId="0C6C53E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73.25</w:t>
            </w:r>
          </w:p>
        </w:tc>
        <w:tc>
          <w:tcPr>
            <w:tcW w:w="737" w:type="dxa"/>
            <w:tcBorders>
              <w:top w:val="nil"/>
              <w:left w:val="nil"/>
              <w:bottom w:val="single" w:sz="4" w:space="0" w:color="auto"/>
              <w:right w:val="single" w:sz="4" w:space="0" w:color="auto"/>
            </w:tcBorders>
            <w:shd w:val="clear" w:color="auto" w:fill="auto"/>
            <w:noWrap/>
            <w:vAlign w:val="center"/>
            <w:hideMark/>
          </w:tcPr>
          <w:p w14:paraId="32DA732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2.55</w:t>
            </w:r>
          </w:p>
        </w:tc>
        <w:tc>
          <w:tcPr>
            <w:tcW w:w="737" w:type="dxa"/>
            <w:tcBorders>
              <w:top w:val="nil"/>
              <w:left w:val="nil"/>
              <w:bottom w:val="single" w:sz="4" w:space="0" w:color="auto"/>
              <w:right w:val="single" w:sz="4" w:space="0" w:color="auto"/>
            </w:tcBorders>
            <w:shd w:val="clear" w:color="auto" w:fill="auto"/>
            <w:noWrap/>
            <w:vAlign w:val="center"/>
            <w:hideMark/>
          </w:tcPr>
          <w:p w14:paraId="0181B337" w14:textId="71C815E6"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356EA6F8" w14:textId="791A276F"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{"citationItems":[{"id":"ITEM-1","itemData":{"ISSN":"12350621","abstract":"The overall objective of this research project was to create new data on the safety-technical characteristics of renewable fuels, low-rank coals and mixtures of these. Knowledge of basic handling and safety-technical chracteristics is of crucial significance for the design of handling equipment and safety systems, and for the assessment of explosion and fire hazards. Ten biomass and lignite fuel samples and two fuel mixtures were included in the work programme. Extensive physical and chemical characterisation was performed for all samples. The reactivity of the combustible dusts was characterised by thermal analysis (DTA-TGA). Based on the thermal runaway temperatures of the dusts the samples are listed by order of reactivity. Self-ignition properties of the fuels were studied at normal and elevated pressure (1-25 bar). The results of the self-ignition tests for the fuel samples are mainly in line with the reactivity tests carried out on DTA-TGA. The elevated pressure had a significant effect on the self-ignition temperature of all fuel samples. Partial inerting increased the self-ignition temperature, but to a rather low degree. Dust explosion tests were performed in 1 m3 vessels and 20 litre spheres. Dust explosion parameters were determined both in normal conditions and at elevated temperature and pressure. A linear correlation was found between the maximum explosion pressure Pmax and the initial pressure. The values measured for the rate of pressure rise, the KSt-value, were considerably more scattered. Most differences can probably be associated with diverse turbulence conditions inside the explosion vessel. In most cases, the lower oxygen concentration LOC slightly increased with increasing initial pressure. LOC decreases with increasing initial temperature, around 1-3 vol% per 100 °C temperature rise. Suppression systems are frequently used in industry as a measure of explosion protection. The suppression tests were conducted in a heatable the 1 m3 vessel. Increasing the temperature makes the suppression of the dust explosion more demanding. Use of partly inert atmosphere led to an increased efficiency of the explosion suppression system.","author":[{"dropping-particle":"","family":"Wilén","given":"Carl","non-dropping-particle":"","parse-names":false,"suffix":""},{"dropping-particle":"","family":"Moilanen","given":"Antero","non-dropping-particle":"","parse-names":false,"suffix":""},{"dropping-particle":"","family":"Rautalin","given":"Aimo","non-dropping-particle":"","parse-names":false,"suffix":""},{"dropping-particle":"","family":"Torrent","given":"Javier","non-dropping-particle":"","parse-names":false,"suffix":""},{"dropping-particle":"","family":"Conde","given":"Eduardo","non-dropping-particle":"","parse-names":false,"suffix":""},{"dropping-particle":"","family":"Lödel","given":"Roland","non-dropping-particle":"","parse-names":false,"suffix":""},{"dropping-particle":"","family":"Carson","given":"Douglas","non-dropping-particle":"","parse-names":false,"suffix":""},{"dropping-particle":"","family":"Timmers","given":"Piet","non-dropping-particle":"","parse-names":false,"suffix":""},{"dropping-particle":"","family":"Brehm","given":"Konrad","non-dropping-particle":"","parse-names":false,"suffix":""}],"container-title":"VTT Publications","id":"ITEM-1","issue":"394","issued":{"date-parts":[["1999"]]},"title":"Safe handling of renewable fuels and fuel mixtures","type":"article-journal"},"uris":["http://www.mendeley.com/documents/?uuid=cc30f0b2-ca37-46f2-b198-10337f3ca782"]}],"mendeley":{"formattedCitation":"[17]","plainTextFormattedCitation":"[17]","previouslyFormattedCitation":"[17]"},"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[17]</w:t>
            </w:r>
            <w:r w:rsidRPr="00DB19C7">
              <w:rPr>
                <w:color w:val="auto"/>
                <w:sz w:val="18"/>
                <w:szCs w:val="18"/>
                <w:lang w:eastAsia="en-GB" w:bidi="ar-SA"/>
              </w:rPr>
              <w:fldChar w:fldCharType="end"/>
            </w:r>
          </w:p>
        </w:tc>
      </w:tr>
      <w:tr w:rsidR="00DB19C7" w:rsidRPr="00DB19C7" w14:paraId="62C3B525" w14:textId="591FA9E7"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082F2CB1"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17</w:t>
            </w:r>
          </w:p>
        </w:tc>
        <w:tc>
          <w:tcPr>
            <w:tcW w:w="1746" w:type="dxa"/>
            <w:tcBorders>
              <w:top w:val="nil"/>
              <w:left w:val="nil"/>
              <w:bottom w:val="single" w:sz="4" w:space="0" w:color="auto"/>
              <w:right w:val="single" w:sz="4" w:space="0" w:color="auto"/>
            </w:tcBorders>
            <w:shd w:val="clear" w:color="auto" w:fill="auto"/>
            <w:noWrap/>
            <w:vAlign w:val="center"/>
            <w:hideMark/>
          </w:tcPr>
          <w:p w14:paraId="14D2419E"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Forest residue - wood + bark</w:t>
            </w:r>
          </w:p>
        </w:tc>
        <w:tc>
          <w:tcPr>
            <w:tcW w:w="767" w:type="dxa"/>
            <w:tcBorders>
              <w:top w:val="nil"/>
              <w:left w:val="nil"/>
              <w:bottom w:val="single" w:sz="4" w:space="0" w:color="auto"/>
              <w:right w:val="single" w:sz="4" w:space="0" w:color="auto"/>
            </w:tcBorders>
            <w:shd w:val="clear" w:color="auto" w:fill="auto"/>
            <w:noWrap/>
            <w:vAlign w:val="center"/>
            <w:hideMark/>
          </w:tcPr>
          <w:p w14:paraId="612C1088" w14:textId="23FCFA0A" w:rsidR="002B4066" w:rsidRPr="00DB19C7" w:rsidRDefault="002B4066" w:rsidP="002B4066">
            <w:pPr>
              <w:adjustRightInd/>
              <w:snapToGrid/>
              <w:spacing w:line="240" w:lineRule="auto"/>
              <w:jc w:val="center"/>
              <w:rPr>
                <w:color w:val="auto"/>
                <w:sz w:val="18"/>
                <w:szCs w:val="18"/>
                <w:lang w:eastAsia="en-GB" w:bidi="ar-SA"/>
              </w:rPr>
            </w:pPr>
          </w:p>
        </w:tc>
        <w:tc>
          <w:tcPr>
            <w:tcW w:w="767" w:type="dxa"/>
            <w:tcBorders>
              <w:top w:val="nil"/>
              <w:left w:val="nil"/>
              <w:bottom w:val="single" w:sz="4" w:space="0" w:color="auto"/>
              <w:right w:val="single" w:sz="4" w:space="0" w:color="auto"/>
            </w:tcBorders>
            <w:shd w:val="clear" w:color="auto" w:fill="auto"/>
            <w:noWrap/>
            <w:vAlign w:val="center"/>
            <w:hideMark/>
          </w:tcPr>
          <w:p w14:paraId="72830BD8"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275</w:t>
            </w:r>
          </w:p>
        </w:tc>
        <w:tc>
          <w:tcPr>
            <w:tcW w:w="1018" w:type="dxa"/>
            <w:tcBorders>
              <w:top w:val="nil"/>
              <w:left w:val="nil"/>
              <w:bottom w:val="single" w:sz="4" w:space="0" w:color="auto"/>
              <w:right w:val="single" w:sz="4" w:space="0" w:color="auto"/>
            </w:tcBorders>
            <w:shd w:val="clear" w:color="auto" w:fill="auto"/>
            <w:noWrap/>
            <w:vAlign w:val="center"/>
            <w:hideMark/>
          </w:tcPr>
          <w:p w14:paraId="286A4087" w14:textId="3B11113F" w:rsidR="002B4066" w:rsidRPr="00DB19C7" w:rsidRDefault="002B4066" w:rsidP="002B4066">
            <w:pPr>
              <w:adjustRightInd/>
              <w:snapToGrid/>
              <w:spacing w:line="240" w:lineRule="auto"/>
              <w:jc w:val="center"/>
              <w:rPr>
                <w:color w:val="auto"/>
                <w:sz w:val="18"/>
                <w:szCs w:val="18"/>
                <w:lang w:eastAsia="en-GB" w:bidi="ar-SA"/>
              </w:rPr>
            </w:pPr>
          </w:p>
        </w:tc>
        <w:tc>
          <w:tcPr>
            <w:tcW w:w="1096" w:type="dxa"/>
            <w:tcBorders>
              <w:top w:val="nil"/>
              <w:left w:val="nil"/>
              <w:bottom w:val="single" w:sz="4" w:space="0" w:color="auto"/>
              <w:right w:val="single" w:sz="4" w:space="0" w:color="auto"/>
            </w:tcBorders>
            <w:shd w:val="clear" w:color="auto" w:fill="auto"/>
            <w:noWrap/>
            <w:vAlign w:val="center"/>
            <w:hideMark/>
          </w:tcPr>
          <w:p w14:paraId="0F3A339E" w14:textId="10CC42A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46DAED32" w14:textId="18CF7FE5"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57CA64DD" w14:textId="6B6A3E25"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0A8C59FD" w14:textId="65DEF5FE"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4565015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567" w:type="dxa"/>
            <w:tcBorders>
              <w:top w:val="nil"/>
              <w:left w:val="nil"/>
              <w:bottom w:val="single" w:sz="4" w:space="0" w:color="auto"/>
              <w:right w:val="single" w:sz="4" w:space="0" w:color="auto"/>
            </w:tcBorders>
            <w:shd w:val="clear" w:color="auto" w:fill="auto"/>
            <w:noWrap/>
            <w:vAlign w:val="center"/>
            <w:hideMark/>
          </w:tcPr>
          <w:p w14:paraId="4EF277C5" w14:textId="3590087C"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46E9ADBD"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Sieves</w:t>
            </w:r>
          </w:p>
        </w:tc>
        <w:tc>
          <w:tcPr>
            <w:tcW w:w="737" w:type="dxa"/>
            <w:tcBorders>
              <w:top w:val="nil"/>
              <w:left w:val="nil"/>
              <w:bottom w:val="single" w:sz="4" w:space="0" w:color="auto"/>
              <w:right w:val="single" w:sz="4" w:space="0" w:color="auto"/>
            </w:tcBorders>
            <w:shd w:val="clear" w:color="auto" w:fill="auto"/>
            <w:noWrap/>
            <w:vAlign w:val="center"/>
            <w:hideMark/>
          </w:tcPr>
          <w:p w14:paraId="0DBAF817"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6</w:t>
            </w:r>
          </w:p>
        </w:tc>
        <w:tc>
          <w:tcPr>
            <w:tcW w:w="737" w:type="dxa"/>
            <w:tcBorders>
              <w:top w:val="nil"/>
              <w:left w:val="nil"/>
              <w:bottom w:val="single" w:sz="4" w:space="0" w:color="auto"/>
              <w:right w:val="single" w:sz="4" w:space="0" w:color="auto"/>
            </w:tcBorders>
            <w:shd w:val="clear" w:color="auto" w:fill="auto"/>
            <w:noWrap/>
            <w:vAlign w:val="center"/>
            <w:hideMark/>
          </w:tcPr>
          <w:p w14:paraId="58CC485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2.9</w:t>
            </w:r>
          </w:p>
        </w:tc>
        <w:tc>
          <w:tcPr>
            <w:tcW w:w="737" w:type="dxa"/>
            <w:tcBorders>
              <w:top w:val="nil"/>
              <w:left w:val="nil"/>
              <w:bottom w:val="single" w:sz="4" w:space="0" w:color="auto"/>
              <w:right w:val="single" w:sz="4" w:space="0" w:color="auto"/>
            </w:tcBorders>
            <w:shd w:val="clear" w:color="auto" w:fill="auto"/>
            <w:noWrap/>
            <w:vAlign w:val="center"/>
            <w:hideMark/>
          </w:tcPr>
          <w:p w14:paraId="2FFF53F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78</w:t>
            </w:r>
          </w:p>
        </w:tc>
        <w:tc>
          <w:tcPr>
            <w:tcW w:w="737" w:type="dxa"/>
            <w:tcBorders>
              <w:top w:val="nil"/>
              <w:left w:val="nil"/>
              <w:bottom w:val="single" w:sz="4" w:space="0" w:color="auto"/>
              <w:right w:val="single" w:sz="4" w:space="0" w:color="auto"/>
            </w:tcBorders>
            <w:shd w:val="clear" w:color="auto" w:fill="auto"/>
            <w:noWrap/>
            <w:vAlign w:val="center"/>
            <w:hideMark/>
          </w:tcPr>
          <w:p w14:paraId="714442CD" w14:textId="71A25682"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76EE9895" w14:textId="7B67D5D7"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{"citationItems":[{"id":"ITEM-1","itemData":{"DOI":"10.1016/S0016-2361(97)00285-8","ISSN":"0016-2361","abstract":"This paper describes a series of explosion tests carried out with biomass at high initial pressures. Atmospheric tests were developed in a 20 1 sphere, and a hyperbaric series at 1 and 1.5 MPa in a 1 m3 sphere. Depending on concentration, one or two points of dispersion were used and the injection impulse varied from 2.0 to 3.5 MPa, achieving different levels of turbulence. Both the great influence of turbulence on the rate of pressure rise and the high severity and sensibility shown by biomass have contributed to the development of very violent explosions at elevated pressures and concentrations. Also, biomass has shown irregularities in the flame front propagation due to its inhomogeneity. Quite high initial pressures have been experimented with and a material with great projection for energetic applications has been analysed.","author":[{"dropping-particle":"","family":"García-Torrent","given":"Javier","non-dropping-particle":"","parse-names":false,"suffix":""},{"dropping-particle":"","family":"Conde-Lázaro","given":"Eduardo","non-dropping-particle":"","parse-names":false,"suffix":""},{"dropping-particle":"","family":"Wilén","given":"Carl","non-dropping-particle":"","parse-names":false,"suffix":""},{"dropping-particle":"","family":"Rautalin","given":"Aimo","non-dropping-particle":"","parse-names":false,"suffix":""}],"container-title":"Fuel","id":"ITEM-1","issue":"9","issued":{"date-parts":[["1998"]]},"page":"1093-1097","title":"Biomass dust explosibility at elevated initial pressures","type":"article-journal","volume":"77"},"uris":["http://www.mendeley.com/documents/?uuid=29ddb156-8f9b-41a8-b08b-17df9b1e5b1f"]}],"mendeley":{"formattedCitation":"[146]","plainTextFormattedCitation":"[146]","previouslyFormattedCitation":"[146]"},"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[146]</w:t>
            </w:r>
            <w:r w:rsidRPr="00DB19C7">
              <w:rPr>
                <w:color w:val="auto"/>
                <w:sz w:val="18"/>
                <w:szCs w:val="18"/>
                <w:lang w:eastAsia="en-GB" w:bidi="ar-SA"/>
              </w:rPr>
              <w:fldChar w:fldCharType="end"/>
            </w:r>
          </w:p>
        </w:tc>
      </w:tr>
      <w:tr w:rsidR="00DB19C7" w:rsidRPr="00DB19C7" w14:paraId="7D04893A" w14:textId="7A9B4EA6"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09094441"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18</w:t>
            </w:r>
          </w:p>
        </w:tc>
        <w:tc>
          <w:tcPr>
            <w:tcW w:w="1746" w:type="dxa"/>
            <w:tcBorders>
              <w:top w:val="nil"/>
              <w:left w:val="nil"/>
              <w:bottom w:val="single" w:sz="4" w:space="0" w:color="auto"/>
              <w:right w:val="single" w:sz="4" w:space="0" w:color="auto"/>
            </w:tcBorders>
            <w:shd w:val="clear" w:color="auto" w:fill="auto"/>
            <w:noWrap/>
            <w:vAlign w:val="center"/>
            <w:hideMark/>
          </w:tcPr>
          <w:p w14:paraId="438C3619"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Hardwood pellets - bark dust (Nova Scotia, Canada)</w:t>
            </w:r>
          </w:p>
        </w:tc>
        <w:tc>
          <w:tcPr>
            <w:tcW w:w="767" w:type="dxa"/>
            <w:tcBorders>
              <w:top w:val="nil"/>
              <w:left w:val="nil"/>
              <w:bottom w:val="single" w:sz="4" w:space="0" w:color="auto"/>
              <w:right w:val="single" w:sz="4" w:space="0" w:color="auto"/>
            </w:tcBorders>
            <w:shd w:val="clear" w:color="auto" w:fill="auto"/>
            <w:noWrap/>
            <w:vAlign w:val="center"/>
            <w:hideMark/>
          </w:tcPr>
          <w:p w14:paraId="750437AB" w14:textId="7BDDB4C8" w:rsidR="002B4066" w:rsidRPr="00DB19C7" w:rsidRDefault="002B4066" w:rsidP="002B4066">
            <w:pPr>
              <w:adjustRightInd/>
              <w:snapToGrid/>
              <w:spacing w:line="240" w:lineRule="auto"/>
              <w:jc w:val="center"/>
              <w:rPr>
                <w:color w:val="auto"/>
                <w:sz w:val="18"/>
                <w:szCs w:val="18"/>
                <w:lang w:eastAsia="en-GB" w:bidi="ar-SA"/>
              </w:rPr>
            </w:pPr>
          </w:p>
        </w:tc>
        <w:tc>
          <w:tcPr>
            <w:tcW w:w="767" w:type="dxa"/>
            <w:tcBorders>
              <w:top w:val="nil"/>
              <w:left w:val="nil"/>
              <w:bottom w:val="single" w:sz="4" w:space="0" w:color="auto"/>
              <w:right w:val="single" w:sz="4" w:space="0" w:color="auto"/>
            </w:tcBorders>
            <w:shd w:val="clear" w:color="auto" w:fill="auto"/>
            <w:noWrap/>
            <w:vAlign w:val="center"/>
            <w:hideMark/>
          </w:tcPr>
          <w:p w14:paraId="3DD88C1D" w14:textId="036D4ABB" w:rsidR="002B4066" w:rsidRPr="00DB19C7" w:rsidRDefault="002B4066" w:rsidP="002B4066">
            <w:pPr>
              <w:adjustRightInd/>
              <w:snapToGrid/>
              <w:spacing w:line="240" w:lineRule="auto"/>
              <w:jc w:val="center"/>
              <w:rPr>
                <w:color w:val="auto"/>
                <w:sz w:val="18"/>
                <w:szCs w:val="18"/>
                <w:lang w:eastAsia="en-GB" w:bidi="ar-SA"/>
              </w:rPr>
            </w:pPr>
          </w:p>
        </w:tc>
        <w:tc>
          <w:tcPr>
            <w:tcW w:w="1018" w:type="dxa"/>
            <w:tcBorders>
              <w:top w:val="nil"/>
              <w:left w:val="nil"/>
              <w:bottom w:val="single" w:sz="4" w:space="0" w:color="auto"/>
              <w:right w:val="single" w:sz="4" w:space="0" w:color="auto"/>
            </w:tcBorders>
            <w:shd w:val="clear" w:color="auto" w:fill="auto"/>
            <w:noWrap/>
            <w:vAlign w:val="center"/>
            <w:hideMark/>
          </w:tcPr>
          <w:p w14:paraId="37840B14" w14:textId="12D894F8" w:rsidR="002B4066" w:rsidRPr="00DB19C7" w:rsidRDefault="002B4066" w:rsidP="002B4066">
            <w:pPr>
              <w:adjustRightInd/>
              <w:snapToGrid/>
              <w:spacing w:line="240" w:lineRule="auto"/>
              <w:jc w:val="center"/>
              <w:rPr>
                <w:color w:val="auto"/>
                <w:sz w:val="18"/>
                <w:szCs w:val="18"/>
                <w:lang w:eastAsia="en-GB" w:bidi="ar-SA"/>
              </w:rPr>
            </w:pPr>
          </w:p>
        </w:tc>
        <w:tc>
          <w:tcPr>
            <w:tcW w:w="1096" w:type="dxa"/>
            <w:tcBorders>
              <w:top w:val="nil"/>
              <w:left w:val="nil"/>
              <w:bottom w:val="single" w:sz="4" w:space="0" w:color="auto"/>
              <w:right w:val="single" w:sz="4" w:space="0" w:color="auto"/>
            </w:tcBorders>
            <w:shd w:val="clear" w:color="auto" w:fill="auto"/>
            <w:noWrap/>
            <w:hideMark/>
          </w:tcPr>
          <w:p w14:paraId="5FA9D03C" w14:textId="5587B89D"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w:t>
            </w:r>
          </w:p>
        </w:tc>
        <w:tc>
          <w:tcPr>
            <w:tcW w:w="767" w:type="dxa"/>
            <w:tcBorders>
              <w:top w:val="nil"/>
              <w:left w:val="nil"/>
              <w:bottom w:val="single" w:sz="4" w:space="0" w:color="auto"/>
              <w:right w:val="single" w:sz="4" w:space="0" w:color="auto"/>
            </w:tcBorders>
            <w:shd w:val="clear" w:color="auto" w:fill="auto"/>
            <w:noWrap/>
            <w:vAlign w:val="center"/>
            <w:hideMark/>
          </w:tcPr>
          <w:p w14:paraId="10A68310" w14:textId="19D7A7F1"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5EFEBA8D" w14:textId="015284B9"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6D47A6D6" w14:textId="55BA5B36"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70D843FE"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567" w:type="dxa"/>
            <w:tcBorders>
              <w:top w:val="nil"/>
              <w:left w:val="nil"/>
              <w:bottom w:val="single" w:sz="4" w:space="0" w:color="auto"/>
              <w:right w:val="single" w:sz="4" w:space="0" w:color="auto"/>
            </w:tcBorders>
            <w:shd w:val="clear" w:color="auto" w:fill="auto"/>
            <w:noWrap/>
            <w:vAlign w:val="center"/>
            <w:hideMark/>
          </w:tcPr>
          <w:p w14:paraId="33B568FA" w14:textId="694A14B0"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5189027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Sieves</w:t>
            </w:r>
          </w:p>
        </w:tc>
        <w:tc>
          <w:tcPr>
            <w:tcW w:w="737" w:type="dxa"/>
            <w:tcBorders>
              <w:top w:val="nil"/>
              <w:left w:val="nil"/>
              <w:bottom w:val="single" w:sz="4" w:space="0" w:color="auto"/>
              <w:right w:val="single" w:sz="4" w:space="0" w:color="auto"/>
            </w:tcBorders>
            <w:shd w:val="clear" w:color="auto" w:fill="auto"/>
            <w:noWrap/>
            <w:vAlign w:val="center"/>
            <w:hideMark/>
          </w:tcPr>
          <w:p w14:paraId="1031035A" w14:textId="5A0882B8"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435A3EEE" w14:textId="138BC46F"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782D02E1" w14:textId="73FB85E7"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71D46A72" w14:textId="134CD5DF"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756F2ABE" w14:textId="59839782"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{"citationItems":[{"id":"ITEM-1","itemData":{"author":[{"dropping-particle":"","family":"Melin","given":"Staffan","non-dropping-particle":"","parse-names":false,"suffix":""}],"container-title":"Wood Pellet Association of Canada","id":"ITEM-1","issued":{"date-parts":[["2008"]]},"page":"1-19","title":"Testing of Explosibility and Flammability of Airborne Dust from Wood Pellets","type":"article-journal"},"uris":["http://www.mendeley.com/documents/?uuid=f8a065d7-e91a-41fa-b9ce-5a0bf751276a"]}],"mendeley":{"formattedCitation":"[147]","plainTextFormattedCitation":"[147]","previouslyFormattedCitation":"[147]"},"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[147]</w:t>
            </w:r>
            <w:r w:rsidRPr="00DB19C7">
              <w:rPr>
                <w:color w:val="auto"/>
                <w:sz w:val="18"/>
                <w:szCs w:val="18"/>
                <w:lang w:eastAsia="en-GB" w:bidi="ar-SA"/>
              </w:rPr>
              <w:fldChar w:fldCharType="end"/>
            </w:r>
          </w:p>
        </w:tc>
      </w:tr>
      <w:tr w:rsidR="00DB19C7" w:rsidRPr="00DB19C7" w14:paraId="4DFA1651" w14:textId="369D3FE8"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321172FA"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19</w:t>
            </w:r>
          </w:p>
        </w:tc>
        <w:tc>
          <w:tcPr>
            <w:tcW w:w="1746" w:type="dxa"/>
            <w:tcBorders>
              <w:top w:val="nil"/>
              <w:left w:val="nil"/>
              <w:bottom w:val="single" w:sz="4" w:space="0" w:color="auto"/>
              <w:right w:val="single" w:sz="4" w:space="0" w:color="auto"/>
            </w:tcBorders>
            <w:shd w:val="clear" w:color="auto" w:fill="auto"/>
            <w:noWrap/>
            <w:vAlign w:val="center"/>
            <w:hideMark/>
          </w:tcPr>
          <w:p w14:paraId="6274B2DD"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Lycopodium</w:t>
            </w:r>
          </w:p>
        </w:tc>
        <w:tc>
          <w:tcPr>
            <w:tcW w:w="767" w:type="dxa"/>
            <w:tcBorders>
              <w:top w:val="nil"/>
              <w:left w:val="nil"/>
              <w:bottom w:val="single" w:sz="4" w:space="0" w:color="auto"/>
              <w:right w:val="single" w:sz="4" w:space="0" w:color="auto"/>
            </w:tcBorders>
            <w:shd w:val="clear" w:color="auto" w:fill="auto"/>
            <w:noWrap/>
            <w:vAlign w:val="center"/>
            <w:hideMark/>
          </w:tcPr>
          <w:p w14:paraId="31FEC484" w14:textId="05B595AC" w:rsidR="002B4066" w:rsidRPr="00DB19C7" w:rsidRDefault="002B4066" w:rsidP="002B4066">
            <w:pPr>
              <w:adjustRightInd/>
              <w:snapToGrid/>
              <w:spacing w:line="240" w:lineRule="auto"/>
              <w:jc w:val="center"/>
              <w:rPr>
                <w:color w:val="auto"/>
                <w:sz w:val="18"/>
                <w:szCs w:val="18"/>
                <w:lang w:eastAsia="en-GB" w:bidi="ar-SA"/>
              </w:rPr>
            </w:pPr>
          </w:p>
        </w:tc>
        <w:tc>
          <w:tcPr>
            <w:tcW w:w="767" w:type="dxa"/>
            <w:tcBorders>
              <w:top w:val="nil"/>
              <w:left w:val="nil"/>
              <w:bottom w:val="single" w:sz="4" w:space="0" w:color="auto"/>
              <w:right w:val="single" w:sz="4" w:space="0" w:color="auto"/>
            </w:tcBorders>
            <w:shd w:val="clear" w:color="auto" w:fill="auto"/>
            <w:noWrap/>
            <w:vAlign w:val="center"/>
            <w:hideMark/>
          </w:tcPr>
          <w:p w14:paraId="15C5DBF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35.9</w:t>
            </w:r>
          </w:p>
        </w:tc>
        <w:tc>
          <w:tcPr>
            <w:tcW w:w="1018" w:type="dxa"/>
            <w:tcBorders>
              <w:top w:val="nil"/>
              <w:left w:val="nil"/>
              <w:bottom w:val="single" w:sz="4" w:space="0" w:color="auto"/>
              <w:right w:val="single" w:sz="4" w:space="0" w:color="auto"/>
            </w:tcBorders>
            <w:shd w:val="clear" w:color="auto" w:fill="auto"/>
            <w:noWrap/>
            <w:vAlign w:val="center"/>
            <w:hideMark/>
          </w:tcPr>
          <w:p w14:paraId="629353D0" w14:textId="223B89CE" w:rsidR="002B4066" w:rsidRPr="00DB19C7" w:rsidRDefault="002B4066" w:rsidP="002B4066">
            <w:pPr>
              <w:adjustRightInd/>
              <w:snapToGrid/>
              <w:spacing w:line="240" w:lineRule="auto"/>
              <w:jc w:val="center"/>
              <w:rPr>
                <w:color w:val="auto"/>
                <w:sz w:val="18"/>
                <w:szCs w:val="18"/>
                <w:lang w:eastAsia="en-GB" w:bidi="ar-SA"/>
              </w:rPr>
            </w:pPr>
          </w:p>
        </w:tc>
        <w:tc>
          <w:tcPr>
            <w:tcW w:w="1096" w:type="dxa"/>
            <w:tcBorders>
              <w:top w:val="nil"/>
              <w:left w:val="nil"/>
              <w:bottom w:val="single" w:sz="4" w:space="0" w:color="auto"/>
              <w:right w:val="single" w:sz="4" w:space="0" w:color="auto"/>
            </w:tcBorders>
            <w:shd w:val="clear" w:color="auto" w:fill="auto"/>
            <w:noWrap/>
            <w:hideMark/>
          </w:tcPr>
          <w:p w14:paraId="4903334B" w14:textId="02965DD3"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w:t>
            </w:r>
          </w:p>
        </w:tc>
        <w:tc>
          <w:tcPr>
            <w:tcW w:w="767" w:type="dxa"/>
            <w:tcBorders>
              <w:top w:val="nil"/>
              <w:left w:val="nil"/>
              <w:bottom w:val="single" w:sz="4" w:space="0" w:color="auto"/>
              <w:right w:val="single" w:sz="4" w:space="0" w:color="auto"/>
            </w:tcBorders>
            <w:shd w:val="clear" w:color="auto" w:fill="auto"/>
            <w:noWrap/>
            <w:vAlign w:val="center"/>
            <w:hideMark/>
          </w:tcPr>
          <w:p w14:paraId="1AD3B132" w14:textId="61225EA7"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464182B0" w14:textId="7E961D0F"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5A3F6444" w14:textId="5FE5B3F8"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4CF665BC"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567" w:type="dxa"/>
            <w:tcBorders>
              <w:top w:val="nil"/>
              <w:left w:val="nil"/>
              <w:bottom w:val="single" w:sz="4" w:space="0" w:color="auto"/>
              <w:right w:val="single" w:sz="4" w:space="0" w:color="auto"/>
            </w:tcBorders>
            <w:shd w:val="clear" w:color="auto" w:fill="auto"/>
            <w:noWrap/>
            <w:vAlign w:val="center"/>
            <w:hideMark/>
          </w:tcPr>
          <w:p w14:paraId="23A9BFC1" w14:textId="0A36241D"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422E1C84"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7E08BFC7"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5.8</w:t>
            </w:r>
          </w:p>
        </w:tc>
        <w:tc>
          <w:tcPr>
            <w:tcW w:w="737" w:type="dxa"/>
            <w:tcBorders>
              <w:top w:val="nil"/>
              <w:left w:val="nil"/>
              <w:bottom w:val="single" w:sz="4" w:space="0" w:color="auto"/>
              <w:right w:val="single" w:sz="4" w:space="0" w:color="auto"/>
            </w:tcBorders>
            <w:shd w:val="clear" w:color="auto" w:fill="auto"/>
            <w:noWrap/>
            <w:vAlign w:val="center"/>
            <w:hideMark/>
          </w:tcPr>
          <w:p w14:paraId="30B22E9A" w14:textId="5A14190B"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3EB2A6C8" w14:textId="501190CA"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66B52284" w14:textId="4CEC6E66"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0D320BC9" w14:textId="2858408D"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{"citationItems":[{"id":"ITEM-1","itemData":{"DOI":"10.1016/j.psep.2018.10.004","ISSN":"0957-5820","abstract":"This study refers to the minimum ignition energy (MIE) of dusts as determined by means of the Hartmann tube. To do so, six different dust with different particle size and properties are employed. A theoretical model is developed to predict the MIE based upon the physical and chemical properties of the dust. The model clearly shows the relationship between the minimum ignition energy and the minimum ignition temperature of a dust cloud. The model results in a method to calculate the MIE of dusts. Also, the time necessary for ignition can be calculated with the model. The results show that despite some limitations, the model predicts the MIE for dusts rather well. It is proposed that 40–60% energy loss would be considered when applying the model.","author":[{"dropping-particle":"","family":"Hosseinzadeh","given":"Sepideh","non-dropping-particle":"","parse-names":false,"suffix":""},{"dropping-particle":"","family":"Berghmans","given":"Jan","non-dropping-particle":"","parse-names":false,"suffix":""},{"dropping-particle":"","family":"Degreve","given":"Jan","non-dropping-particle":"","parse-names":false,"suffix":""},{"dropping-particle":"","family":"Verplaetsen","given":"Filip","non-dropping-particle":"","parse-names":false,"suffix":""}],"container-title":"Process Safety and Environmental Protection","id":"ITEM-1","issued":{"date-parts":[["2019"]]},"page":"43-49","title":"A model for the minimum ignition energy of dust clouds","type":"article-journal","volume":"121"},"uris":["http://www.mendeley.com/documents/?uuid=4faafa79-2294-4a2b-9d8b-56da644ac719"]}],"mendeley":{"formattedCitation":"[143]","plainTextFormattedCitation":"[143]","previouslyFormattedCitation":"[143]"},"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[143]</w:t>
            </w:r>
            <w:r w:rsidRPr="00DB19C7">
              <w:rPr>
                <w:color w:val="auto"/>
                <w:sz w:val="18"/>
                <w:szCs w:val="18"/>
                <w:lang w:eastAsia="en-GB" w:bidi="ar-SA"/>
              </w:rPr>
              <w:fldChar w:fldCharType="end"/>
            </w:r>
          </w:p>
        </w:tc>
      </w:tr>
      <w:tr w:rsidR="00DB19C7" w:rsidRPr="00DB19C7" w14:paraId="3D7C0357" w14:textId="05F97D61"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0E36FEA4"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20</w:t>
            </w:r>
          </w:p>
        </w:tc>
        <w:tc>
          <w:tcPr>
            <w:tcW w:w="1746" w:type="dxa"/>
            <w:tcBorders>
              <w:top w:val="nil"/>
              <w:left w:val="nil"/>
              <w:bottom w:val="single" w:sz="4" w:space="0" w:color="auto"/>
              <w:right w:val="single" w:sz="4" w:space="0" w:color="auto"/>
            </w:tcBorders>
            <w:shd w:val="clear" w:color="auto" w:fill="auto"/>
            <w:noWrap/>
            <w:vAlign w:val="center"/>
            <w:hideMark/>
          </w:tcPr>
          <w:p w14:paraId="6ED38B8E"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Miscanthus</w:t>
            </w:r>
          </w:p>
        </w:tc>
        <w:tc>
          <w:tcPr>
            <w:tcW w:w="767" w:type="dxa"/>
            <w:tcBorders>
              <w:top w:val="nil"/>
              <w:left w:val="nil"/>
              <w:bottom w:val="single" w:sz="4" w:space="0" w:color="auto"/>
              <w:right w:val="single" w:sz="4" w:space="0" w:color="auto"/>
            </w:tcBorders>
            <w:shd w:val="clear" w:color="auto" w:fill="auto"/>
            <w:noWrap/>
            <w:vAlign w:val="center"/>
            <w:hideMark/>
          </w:tcPr>
          <w:p w14:paraId="449DA658" w14:textId="255410CE" w:rsidR="002B4066" w:rsidRPr="00DB19C7" w:rsidRDefault="002B4066" w:rsidP="002B4066">
            <w:pPr>
              <w:adjustRightInd/>
              <w:snapToGrid/>
              <w:spacing w:line="240" w:lineRule="auto"/>
              <w:jc w:val="center"/>
              <w:rPr>
                <w:color w:val="auto"/>
                <w:sz w:val="18"/>
                <w:szCs w:val="18"/>
                <w:lang w:eastAsia="en-GB" w:bidi="ar-SA"/>
              </w:rPr>
            </w:pPr>
          </w:p>
        </w:tc>
        <w:tc>
          <w:tcPr>
            <w:tcW w:w="767" w:type="dxa"/>
            <w:tcBorders>
              <w:top w:val="nil"/>
              <w:left w:val="nil"/>
              <w:bottom w:val="single" w:sz="4" w:space="0" w:color="auto"/>
              <w:right w:val="single" w:sz="4" w:space="0" w:color="auto"/>
            </w:tcBorders>
            <w:shd w:val="clear" w:color="auto" w:fill="auto"/>
            <w:noWrap/>
            <w:vAlign w:val="center"/>
            <w:hideMark/>
          </w:tcPr>
          <w:p w14:paraId="6F035D33"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130</w:t>
            </w:r>
          </w:p>
        </w:tc>
        <w:tc>
          <w:tcPr>
            <w:tcW w:w="1018" w:type="dxa"/>
            <w:tcBorders>
              <w:top w:val="nil"/>
              <w:left w:val="nil"/>
              <w:bottom w:val="single" w:sz="4" w:space="0" w:color="auto"/>
              <w:right w:val="single" w:sz="4" w:space="0" w:color="auto"/>
            </w:tcBorders>
            <w:shd w:val="clear" w:color="auto" w:fill="auto"/>
            <w:noWrap/>
            <w:vAlign w:val="center"/>
            <w:hideMark/>
          </w:tcPr>
          <w:p w14:paraId="6F1B688F" w14:textId="251568D5" w:rsidR="002B4066" w:rsidRPr="00DB19C7" w:rsidRDefault="002B4066" w:rsidP="002B4066">
            <w:pPr>
              <w:adjustRightInd/>
              <w:snapToGrid/>
              <w:spacing w:line="240" w:lineRule="auto"/>
              <w:jc w:val="center"/>
              <w:rPr>
                <w:color w:val="auto"/>
                <w:sz w:val="18"/>
                <w:szCs w:val="18"/>
                <w:lang w:eastAsia="en-GB" w:bidi="ar-SA"/>
              </w:rPr>
            </w:pPr>
          </w:p>
        </w:tc>
        <w:tc>
          <w:tcPr>
            <w:tcW w:w="1096" w:type="dxa"/>
            <w:tcBorders>
              <w:top w:val="nil"/>
              <w:left w:val="nil"/>
              <w:bottom w:val="single" w:sz="4" w:space="0" w:color="auto"/>
              <w:right w:val="single" w:sz="4" w:space="0" w:color="auto"/>
            </w:tcBorders>
            <w:shd w:val="clear" w:color="auto" w:fill="auto"/>
            <w:noWrap/>
            <w:hideMark/>
          </w:tcPr>
          <w:p w14:paraId="098719AF" w14:textId="7A6625CD"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w:t>
            </w:r>
          </w:p>
        </w:tc>
        <w:tc>
          <w:tcPr>
            <w:tcW w:w="767" w:type="dxa"/>
            <w:tcBorders>
              <w:top w:val="nil"/>
              <w:left w:val="nil"/>
              <w:bottom w:val="single" w:sz="4" w:space="0" w:color="auto"/>
              <w:right w:val="single" w:sz="4" w:space="0" w:color="auto"/>
            </w:tcBorders>
            <w:shd w:val="clear" w:color="auto" w:fill="auto"/>
            <w:noWrap/>
            <w:vAlign w:val="center"/>
            <w:hideMark/>
          </w:tcPr>
          <w:p w14:paraId="1EF0F910" w14:textId="41637D7C"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1D8F8DEB" w14:textId="20D1CA2D"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27441F34" w14:textId="2B45E8CE"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7B6DD585"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 - SEM</w:t>
            </w:r>
          </w:p>
        </w:tc>
        <w:tc>
          <w:tcPr>
            <w:tcW w:w="567" w:type="dxa"/>
            <w:tcBorders>
              <w:top w:val="nil"/>
              <w:left w:val="nil"/>
              <w:bottom w:val="single" w:sz="4" w:space="0" w:color="auto"/>
              <w:right w:val="single" w:sz="4" w:space="0" w:color="auto"/>
            </w:tcBorders>
            <w:shd w:val="clear" w:color="auto" w:fill="auto"/>
            <w:noWrap/>
            <w:vAlign w:val="center"/>
            <w:hideMark/>
          </w:tcPr>
          <w:p w14:paraId="3FA54208" w14:textId="3400F31D"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41E30A58"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3E1098DA"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7</w:t>
            </w:r>
          </w:p>
        </w:tc>
        <w:tc>
          <w:tcPr>
            <w:tcW w:w="737" w:type="dxa"/>
            <w:tcBorders>
              <w:top w:val="nil"/>
              <w:left w:val="nil"/>
              <w:bottom w:val="single" w:sz="4" w:space="0" w:color="auto"/>
              <w:right w:val="single" w:sz="4" w:space="0" w:color="auto"/>
            </w:tcBorders>
            <w:shd w:val="clear" w:color="auto" w:fill="auto"/>
            <w:noWrap/>
            <w:vAlign w:val="center"/>
            <w:hideMark/>
          </w:tcPr>
          <w:p w14:paraId="1DC4B698"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73.2</w:t>
            </w:r>
          </w:p>
        </w:tc>
        <w:tc>
          <w:tcPr>
            <w:tcW w:w="737" w:type="dxa"/>
            <w:tcBorders>
              <w:top w:val="nil"/>
              <w:left w:val="nil"/>
              <w:bottom w:val="single" w:sz="4" w:space="0" w:color="auto"/>
              <w:right w:val="single" w:sz="4" w:space="0" w:color="auto"/>
            </w:tcBorders>
            <w:shd w:val="clear" w:color="auto" w:fill="auto"/>
            <w:noWrap/>
            <w:vAlign w:val="center"/>
            <w:hideMark/>
          </w:tcPr>
          <w:p w14:paraId="1E9D9F11"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w:t>
            </w:r>
          </w:p>
        </w:tc>
        <w:tc>
          <w:tcPr>
            <w:tcW w:w="737" w:type="dxa"/>
            <w:tcBorders>
              <w:top w:val="nil"/>
              <w:left w:val="nil"/>
              <w:bottom w:val="single" w:sz="4" w:space="0" w:color="auto"/>
              <w:right w:val="single" w:sz="4" w:space="0" w:color="auto"/>
            </w:tcBorders>
            <w:shd w:val="clear" w:color="auto" w:fill="auto"/>
            <w:noWrap/>
            <w:vAlign w:val="center"/>
            <w:hideMark/>
          </w:tcPr>
          <w:p w14:paraId="1FEC0B58" w14:textId="237B75EE"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35CABE16" w14:textId="5CB13165"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{"citationItems":[{"id":"ITEM-1","itemData":{"ISSN":"12350621","abstract":"The overall objective of this research project was to create new data on the safety-technical characteristics of renewable fuels, low-rank coals and mixtures of these. Knowledge of basic handling and safety-technical chracteristics is of crucial significance for the design of handling equipment and safety systems, and for the assessment of explosion and fire hazards. Ten biomass and lignite fuel samples and two fuel mixtures were included in the work programme. Extensive physical and chemical characterisation was performed for all samples. The reactivity of the combustible dusts was characterised by thermal analysis (DTA-TGA). Based on the thermal runaway temperatures of the dusts the samples are listed by order of reactivity. Self-ignition properties of the fuels were studied at normal and elevated pressure (1-25 bar). The results of the self-ignition tests for the fuel samples are mainly in line with the reactivity tests carried out on DTA-TGA. The elevated pressure had a significant effect on the self-ignition temperature of all fuel samples. Partial inerting increased the self-ignition temperature, but to a rather low degree. Dust explosion tests were performed in 1 m3 vessels and 20 litre spheres. Dust explosion parameters were determined both in normal conditions and at elevated temperature and pressure. A linear correlation was found between the maximum explosion pressure Pmax and the initial pressure. The values measured for the rate of pressure rise, the KSt-value, were considerably more scattered. Most differences can probably be associated with diverse turbulence conditions inside the explosion vessel. In most cases, the lower oxygen concentration LOC slightly increased with increasing initial pressure. LOC decreases with increasing initial temperature, around 1-3 vol% per 100 °C temperature rise. Suppression systems are frequently used in industry as a measure of explosion protection. The suppression tests were conducted in a heatable the 1 m3 vessel. Increasing the temperature makes the suppression of the dust explosion more demanding. Use of partly inert atmosphere led to an increased efficiency of the explosion suppression system.","author":[{"dropping-particle":"","family":"Wilén","given":"Carl","non-dropping-particle":"","parse-names":false,"suffix":""},{"dropping-particle":"","family":"Moilanen","given":"Antero","non-dropping-particle":"","parse-names":false,"suffix":""},{"dropping-particle":"","family":"Rautalin","given":"Aimo","non-dropping-particle":"","parse-names":false,"suffix":""},{"dropping-particle":"","family":"Torrent","given":"Javier","non-dropping-particle":"","parse-names":false,"suffix":""},{"dropping-particle":"","family":"Conde","given":"Eduardo","non-dropping-particle":"","parse-names":false,"suffix":""},{"dropping-particle":"","family":"Lödel","given":"Roland","non-dropping-particle":"","parse-names":false,"suffix":""},{"dropping-particle":"","family":"Carson","given":"Douglas","non-dropping-particle":"","parse-names":false,"suffix":""},{"dropping-particle":"","family":"Timmers","given":"Piet","non-dropping-particle":"","parse-names":false,"suffix":""},{"dropping-particle":"","family":"Brehm","given":"Konrad","non-dropping-particle":"","parse-names":false,"suffix":""}],"container-title":"VTT Publications","id":"ITEM-1","issue":"394","issued":{"date-parts":[["1999"]]},"title":"Safe handling of renewable fuels and fuel mixtures","type":"article-journal"},"uris":["http://www.mendeley.com/documents/?uuid=cc30f0b2-ca37-46f2-b198-10337f3ca782"]}],"mendeley":{"formattedCitation":"[17]","plainTextFormattedCitation":"[17]","previouslyFormattedCitation":"[17]"},"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[17]</w:t>
            </w:r>
            <w:r w:rsidRPr="00DB19C7">
              <w:rPr>
                <w:color w:val="auto"/>
                <w:sz w:val="18"/>
                <w:szCs w:val="18"/>
                <w:lang w:eastAsia="en-GB" w:bidi="ar-SA"/>
              </w:rPr>
              <w:fldChar w:fldCharType="end"/>
            </w:r>
          </w:p>
        </w:tc>
      </w:tr>
      <w:tr w:rsidR="00DB19C7" w:rsidRPr="00DB19C7" w14:paraId="16096D0C" w14:textId="23271A68"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5998E85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21</w:t>
            </w:r>
          </w:p>
        </w:tc>
        <w:tc>
          <w:tcPr>
            <w:tcW w:w="1746" w:type="dxa"/>
            <w:tcBorders>
              <w:top w:val="nil"/>
              <w:left w:val="nil"/>
              <w:bottom w:val="single" w:sz="4" w:space="0" w:color="auto"/>
              <w:right w:val="single" w:sz="4" w:space="0" w:color="auto"/>
            </w:tcBorders>
            <w:shd w:val="clear" w:color="auto" w:fill="auto"/>
            <w:noWrap/>
            <w:vAlign w:val="center"/>
            <w:hideMark/>
          </w:tcPr>
          <w:p w14:paraId="5A15186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Norway spruce (</w:t>
            </w:r>
            <w:proofErr w:type="spellStart"/>
            <w:r w:rsidRPr="00DB19C7">
              <w:rPr>
                <w:color w:val="auto"/>
                <w:sz w:val="18"/>
                <w:szCs w:val="18"/>
                <w:lang w:eastAsia="en-GB" w:bidi="ar-SA"/>
              </w:rPr>
              <w:t>Picea</w:t>
            </w:r>
            <w:proofErr w:type="spellEnd"/>
            <w:r w:rsidRPr="00DB19C7">
              <w:rPr>
                <w:color w:val="auto"/>
                <w:sz w:val="18"/>
                <w:szCs w:val="18"/>
                <w:lang w:eastAsia="en-GB" w:bidi="ar-SA"/>
              </w:rPr>
              <w:t xml:space="preserve"> </w:t>
            </w:r>
            <w:proofErr w:type="spellStart"/>
            <w:r w:rsidRPr="00DB19C7">
              <w:rPr>
                <w:color w:val="auto"/>
                <w:sz w:val="18"/>
                <w:szCs w:val="18"/>
                <w:lang w:eastAsia="en-GB" w:bidi="ar-SA"/>
              </w:rPr>
              <w:t>abies</w:t>
            </w:r>
            <w:proofErr w:type="spellEnd"/>
            <w:r w:rsidRPr="00DB19C7">
              <w:rPr>
                <w:color w:val="auto"/>
                <w:sz w:val="18"/>
                <w:szCs w:val="18"/>
                <w:lang w:eastAsia="en-GB" w:bidi="ar-SA"/>
              </w:rPr>
              <w:t>)</w:t>
            </w:r>
          </w:p>
        </w:tc>
        <w:tc>
          <w:tcPr>
            <w:tcW w:w="767" w:type="dxa"/>
            <w:tcBorders>
              <w:top w:val="nil"/>
              <w:left w:val="nil"/>
              <w:bottom w:val="single" w:sz="4" w:space="0" w:color="auto"/>
              <w:right w:val="single" w:sz="4" w:space="0" w:color="auto"/>
            </w:tcBorders>
            <w:shd w:val="clear" w:color="auto" w:fill="auto"/>
            <w:noWrap/>
            <w:vAlign w:val="center"/>
            <w:hideMark/>
          </w:tcPr>
          <w:p w14:paraId="765540D7"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28.4</w:t>
            </w:r>
          </w:p>
        </w:tc>
        <w:tc>
          <w:tcPr>
            <w:tcW w:w="767" w:type="dxa"/>
            <w:tcBorders>
              <w:top w:val="nil"/>
              <w:left w:val="nil"/>
              <w:bottom w:val="single" w:sz="4" w:space="0" w:color="auto"/>
              <w:right w:val="single" w:sz="4" w:space="0" w:color="auto"/>
            </w:tcBorders>
            <w:shd w:val="clear" w:color="auto" w:fill="auto"/>
            <w:noWrap/>
            <w:vAlign w:val="center"/>
            <w:hideMark/>
          </w:tcPr>
          <w:p w14:paraId="3FA55EC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148.5</w:t>
            </w:r>
          </w:p>
        </w:tc>
        <w:tc>
          <w:tcPr>
            <w:tcW w:w="1018" w:type="dxa"/>
            <w:tcBorders>
              <w:top w:val="nil"/>
              <w:left w:val="nil"/>
              <w:bottom w:val="single" w:sz="4" w:space="0" w:color="auto"/>
              <w:right w:val="single" w:sz="4" w:space="0" w:color="auto"/>
            </w:tcBorders>
            <w:shd w:val="clear" w:color="auto" w:fill="auto"/>
            <w:noWrap/>
            <w:vAlign w:val="center"/>
            <w:hideMark/>
          </w:tcPr>
          <w:p w14:paraId="46310C9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602.7</w:t>
            </w:r>
          </w:p>
        </w:tc>
        <w:tc>
          <w:tcPr>
            <w:tcW w:w="1096" w:type="dxa"/>
            <w:tcBorders>
              <w:top w:val="nil"/>
              <w:left w:val="nil"/>
              <w:bottom w:val="single" w:sz="4" w:space="0" w:color="auto"/>
              <w:right w:val="single" w:sz="4" w:space="0" w:color="auto"/>
            </w:tcBorders>
            <w:shd w:val="clear" w:color="auto" w:fill="auto"/>
            <w:noWrap/>
            <w:hideMark/>
          </w:tcPr>
          <w:p w14:paraId="62BE08ED" w14:textId="12E8A589"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w:t>
            </w:r>
          </w:p>
        </w:tc>
        <w:tc>
          <w:tcPr>
            <w:tcW w:w="767" w:type="dxa"/>
            <w:tcBorders>
              <w:top w:val="nil"/>
              <w:left w:val="nil"/>
              <w:bottom w:val="single" w:sz="4" w:space="0" w:color="auto"/>
              <w:right w:val="single" w:sz="4" w:space="0" w:color="auto"/>
            </w:tcBorders>
            <w:shd w:val="clear" w:color="auto" w:fill="auto"/>
            <w:noWrap/>
            <w:vAlign w:val="center"/>
            <w:hideMark/>
          </w:tcPr>
          <w:p w14:paraId="2F694BC8"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239</w:t>
            </w:r>
          </w:p>
        </w:tc>
        <w:tc>
          <w:tcPr>
            <w:tcW w:w="765" w:type="dxa"/>
            <w:tcBorders>
              <w:top w:val="nil"/>
              <w:left w:val="nil"/>
              <w:bottom w:val="single" w:sz="4" w:space="0" w:color="auto"/>
              <w:right w:val="single" w:sz="4" w:space="0" w:color="auto"/>
            </w:tcBorders>
            <w:shd w:val="clear" w:color="auto" w:fill="auto"/>
            <w:noWrap/>
            <w:vAlign w:val="center"/>
            <w:hideMark/>
          </w:tcPr>
          <w:p w14:paraId="758D0FC5"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71</w:t>
            </w:r>
          </w:p>
        </w:tc>
        <w:tc>
          <w:tcPr>
            <w:tcW w:w="1199" w:type="dxa"/>
            <w:tcBorders>
              <w:top w:val="nil"/>
              <w:left w:val="nil"/>
              <w:bottom w:val="single" w:sz="4" w:space="0" w:color="auto"/>
              <w:right w:val="single" w:sz="4" w:space="0" w:color="auto"/>
            </w:tcBorders>
            <w:shd w:val="clear" w:color="auto" w:fill="auto"/>
            <w:noWrap/>
            <w:vAlign w:val="center"/>
            <w:hideMark/>
          </w:tcPr>
          <w:p w14:paraId="3FA2E9C9" w14:textId="37A22E66"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0.7</w:t>
            </w:r>
          </w:p>
        </w:tc>
        <w:tc>
          <w:tcPr>
            <w:tcW w:w="1137" w:type="dxa"/>
            <w:tcBorders>
              <w:top w:val="nil"/>
              <w:left w:val="nil"/>
              <w:bottom w:val="single" w:sz="4" w:space="0" w:color="auto"/>
              <w:right w:val="single" w:sz="4" w:space="0" w:color="auto"/>
            </w:tcBorders>
            <w:shd w:val="clear" w:color="auto" w:fill="auto"/>
            <w:noWrap/>
            <w:vAlign w:val="center"/>
            <w:hideMark/>
          </w:tcPr>
          <w:p w14:paraId="67EF892D"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 - SEM</w:t>
            </w:r>
          </w:p>
        </w:tc>
        <w:tc>
          <w:tcPr>
            <w:tcW w:w="567" w:type="dxa"/>
            <w:tcBorders>
              <w:top w:val="nil"/>
              <w:left w:val="nil"/>
              <w:bottom w:val="single" w:sz="4" w:space="0" w:color="auto"/>
              <w:right w:val="single" w:sz="4" w:space="0" w:color="auto"/>
            </w:tcBorders>
            <w:shd w:val="clear" w:color="auto" w:fill="auto"/>
            <w:noWrap/>
            <w:vAlign w:val="center"/>
            <w:hideMark/>
          </w:tcPr>
          <w:p w14:paraId="6B6E7649" w14:textId="5267EF7F"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07BCC0CA"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6F3CB901"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5.8</w:t>
            </w:r>
          </w:p>
        </w:tc>
        <w:tc>
          <w:tcPr>
            <w:tcW w:w="737" w:type="dxa"/>
            <w:tcBorders>
              <w:top w:val="nil"/>
              <w:left w:val="nil"/>
              <w:bottom w:val="single" w:sz="4" w:space="0" w:color="auto"/>
              <w:right w:val="single" w:sz="4" w:space="0" w:color="auto"/>
            </w:tcBorders>
            <w:shd w:val="clear" w:color="auto" w:fill="auto"/>
            <w:noWrap/>
            <w:vAlign w:val="center"/>
            <w:hideMark/>
          </w:tcPr>
          <w:p w14:paraId="07926157"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79</w:t>
            </w:r>
          </w:p>
        </w:tc>
        <w:tc>
          <w:tcPr>
            <w:tcW w:w="737" w:type="dxa"/>
            <w:tcBorders>
              <w:top w:val="nil"/>
              <w:left w:val="nil"/>
              <w:bottom w:val="single" w:sz="4" w:space="0" w:color="auto"/>
              <w:right w:val="single" w:sz="4" w:space="0" w:color="auto"/>
            </w:tcBorders>
            <w:shd w:val="clear" w:color="auto" w:fill="auto"/>
            <w:noWrap/>
            <w:vAlign w:val="center"/>
            <w:hideMark/>
          </w:tcPr>
          <w:p w14:paraId="15ACF164"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4.1</w:t>
            </w:r>
          </w:p>
        </w:tc>
        <w:tc>
          <w:tcPr>
            <w:tcW w:w="737" w:type="dxa"/>
            <w:tcBorders>
              <w:top w:val="nil"/>
              <w:left w:val="nil"/>
              <w:bottom w:val="single" w:sz="4" w:space="0" w:color="auto"/>
              <w:right w:val="single" w:sz="4" w:space="0" w:color="auto"/>
            </w:tcBorders>
            <w:shd w:val="clear" w:color="auto" w:fill="auto"/>
            <w:noWrap/>
            <w:vAlign w:val="center"/>
            <w:hideMark/>
          </w:tcPr>
          <w:p w14:paraId="26B5584E"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11.1</w:t>
            </w:r>
          </w:p>
        </w:tc>
        <w:tc>
          <w:tcPr>
            <w:tcW w:w="617" w:type="dxa"/>
            <w:tcBorders>
              <w:top w:val="single" w:sz="4" w:space="0" w:color="auto"/>
              <w:left w:val="nil"/>
              <w:bottom w:val="single" w:sz="4" w:space="0" w:color="auto"/>
              <w:right w:val="single" w:sz="4" w:space="0" w:color="auto"/>
            </w:tcBorders>
            <w:vAlign w:val="center"/>
          </w:tcPr>
          <w:p w14:paraId="4CE7F5D2" w14:textId="14C0D72C"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{"citationItems":[{"id":"ITEM-1","itemData":{"DOI":"10.1016/j.jlp.2014.12.009","ISSN":"0950-4230","abstract":"Pulverised biomass is increasingly being used for power generation in 100% biomass plants or mixed with coal as a way of reducing greenhouse gas emissions. The fire and explosion hazards of pulverised wood and other agricultural waste materials have been recognised for some time. However, safety data for biomass are very scarce in the public literature, and non-existent for upgraded biomass products such as torrefied biomass. This is largely due to the challenges that biomass poses for explosion characterisation in the standard methods (1 m3 ISO vessel or 20 L sphere). The authors have developed and calibrated a new system for the 1 m3 ISO vessel that overcomes these challenges. In this work we present the first data in the open literature for the explosion characteristics of torrefied biomass. Results for untreated Norway spruce wood and Kellingley coal are also included for comparison. Flame speeds and post-explosion residue analysis results are also presented. Torrefied spruce wood was found to be more reactive than Kellingley coal and slightly more reactive than its parent material in terms of KSt, Pmax and flame speed. The differences between coal and biomass samples highlight that it should not be assumed that safety systems for coal can be applied to torrefied or raw wood materials without suitable modifications.","author":[{"dropping-particle":"","family":"Huéscar Medina","given":"Clara","non-dropping-particle":"","parse-names":false,"suffix":""},{"dropping-particle":"","family":"Sattar","given":"Hamed","non-dropping-particle":"","parse-names":false,"suffix":""},{"dropping-particle":"","family":"Phylaktou","given":"Herodotos N","non-dropping-particle":"","parse-names":false,"suffix":""},{"dropping-particle":"","family":"Andrews","given":"Gordon E","non-dropping-particle":"","parse-names":false,"suffix":""},{"dropping-particle":"","family":"Gibbs","given":"Bernard M","non-dropping-particle":"","parse-names":false,"suffix":""}],"container-title":"Journal of Loss Prevention in the Process Industries","id":"ITEM-1","issued":{"date-parts":[["2015"]]},"page":"287-295","title":"Explosion reactivity characterisation of pulverised torrefied spruce wood","type":"article-journal","volume":"36"},"uris":["http://www.mendeley.com/documents/?uuid=0f4b7f7c-9c65-4eb5-a48e-d77f7a31cef8"]}],"mendeley":{"formattedCitation":"[148]","plainTextFormattedCitation":"[148]","previouslyFormattedCitation":"[148]"},"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[148]</w:t>
            </w:r>
            <w:r w:rsidRPr="00DB19C7">
              <w:rPr>
                <w:color w:val="auto"/>
                <w:sz w:val="18"/>
                <w:szCs w:val="18"/>
                <w:lang w:eastAsia="en-GB" w:bidi="ar-SA"/>
              </w:rPr>
              <w:fldChar w:fldCharType="end"/>
            </w:r>
          </w:p>
        </w:tc>
      </w:tr>
      <w:tr w:rsidR="00DB19C7" w:rsidRPr="00DB19C7" w14:paraId="114489F7" w14:textId="07042E8A"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02A92E7E"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22</w:t>
            </w:r>
          </w:p>
        </w:tc>
        <w:tc>
          <w:tcPr>
            <w:tcW w:w="1746" w:type="dxa"/>
            <w:tcBorders>
              <w:top w:val="nil"/>
              <w:left w:val="nil"/>
              <w:bottom w:val="single" w:sz="4" w:space="0" w:color="auto"/>
              <w:right w:val="single" w:sz="4" w:space="0" w:color="auto"/>
            </w:tcBorders>
            <w:shd w:val="clear" w:color="auto" w:fill="auto"/>
            <w:noWrap/>
            <w:vAlign w:val="center"/>
            <w:hideMark/>
          </w:tcPr>
          <w:p w14:paraId="2F69560A"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Oakwood</w:t>
            </w:r>
          </w:p>
        </w:tc>
        <w:tc>
          <w:tcPr>
            <w:tcW w:w="767" w:type="dxa"/>
            <w:tcBorders>
              <w:top w:val="nil"/>
              <w:left w:val="nil"/>
              <w:bottom w:val="single" w:sz="4" w:space="0" w:color="auto"/>
              <w:right w:val="single" w:sz="4" w:space="0" w:color="auto"/>
            </w:tcBorders>
            <w:shd w:val="clear" w:color="auto" w:fill="auto"/>
            <w:noWrap/>
            <w:vAlign w:val="center"/>
            <w:hideMark/>
          </w:tcPr>
          <w:p w14:paraId="7716954C" w14:textId="785BB246" w:rsidR="002B4066" w:rsidRPr="00DB19C7" w:rsidRDefault="002B4066" w:rsidP="002B4066">
            <w:pPr>
              <w:adjustRightInd/>
              <w:snapToGrid/>
              <w:spacing w:line="240" w:lineRule="auto"/>
              <w:jc w:val="center"/>
              <w:rPr>
                <w:color w:val="auto"/>
                <w:sz w:val="18"/>
                <w:szCs w:val="18"/>
                <w:lang w:eastAsia="en-GB" w:bidi="ar-SA"/>
              </w:rPr>
            </w:pPr>
          </w:p>
        </w:tc>
        <w:tc>
          <w:tcPr>
            <w:tcW w:w="767" w:type="dxa"/>
            <w:tcBorders>
              <w:top w:val="nil"/>
              <w:left w:val="nil"/>
              <w:bottom w:val="single" w:sz="4" w:space="0" w:color="auto"/>
              <w:right w:val="single" w:sz="4" w:space="0" w:color="auto"/>
            </w:tcBorders>
            <w:shd w:val="clear" w:color="auto" w:fill="auto"/>
            <w:noWrap/>
            <w:vAlign w:val="center"/>
            <w:hideMark/>
          </w:tcPr>
          <w:p w14:paraId="386A896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62.9</w:t>
            </w:r>
          </w:p>
        </w:tc>
        <w:tc>
          <w:tcPr>
            <w:tcW w:w="1018" w:type="dxa"/>
            <w:tcBorders>
              <w:top w:val="nil"/>
              <w:left w:val="nil"/>
              <w:bottom w:val="single" w:sz="4" w:space="0" w:color="auto"/>
              <w:right w:val="single" w:sz="4" w:space="0" w:color="auto"/>
            </w:tcBorders>
            <w:shd w:val="clear" w:color="auto" w:fill="auto"/>
            <w:noWrap/>
            <w:vAlign w:val="center"/>
            <w:hideMark/>
          </w:tcPr>
          <w:p w14:paraId="6A254958" w14:textId="70D33125" w:rsidR="002B4066" w:rsidRPr="00DB19C7" w:rsidRDefault="002B4066" w:rsidP="002B4066">
            <w:pPr>
              <w:adjustRightInd/>
              <w:snapToGrid/>
              <w:spacing w:line="240" w:lineRule="auto"/>
              <w:jc w:val="center"/>
              <w:rPr>
                <w:color w:val="auto"/>
                <w:sz w:val="18"/>
                <w:szCs w:val="18"/>
                <w:lang w:eastAsia="en-GB" w:bidi="ar-SA"/>
              </w:rPr>
            </w:pPr>
          </w:p>
        </w:tc>
        <w:tc>
          <w:tcPr>
            <w:tcW w:w="1096" w:type="dxa"/>
            <w:tcBorders>
              <w:top w:val="nil"/>
              <w:left w:val="nil"/>
              <w:bottom w:val="single" w:sz="4" w:space="0" w:color="auto"/>
              <w:right w:val="single" w:sz="4" w:space="0" w:color="auto"/>
            </w:tcBorders>
            <w:shd w:val="clear" w:color="auto" w:fill="auto"/>
            <w:noWrap/>
            <w:hideMark/>
          </w:tcPr>
          <w:p w14:paraId="337B9F85" w14:textId="1BC6CEA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w:t>
            </w:r>
          </w:p>
        </w:tc>
        <w:tc>
          <w:tcPr>
            <w:tcW w:w="767" w:type="dxa"/>
            <w:tcBorders>
              <w:top w:val="nil"/>
              <w:left w:val="nil"/>
              <w:bottom w:val="single" w:sz="4" w:space="0" w:color="auto"/>
              <w:right w:val="single" w:sz="4" w:space="0" w:color="auto"/>
            </w:tcBorders>
            <w:shd w:val="clear" w:color="auto" w:fill="auto"/>
            <w:noWrap/>
            <w:vAlign w:val="center"/>
            <w:hideMark/>
          </w:tcPr>
          <w:p w14:paraId="28A37008" w14:textId="7111533F"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210DBE05" w14:textId="40B38D00"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273F9ADD" w14:textId="43350F3E"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4E24C9F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567" w:type="dxa"/>
            <w:tcBorders>
              <w:top w:val="nil"/>
              <w:left w:val="nil"/>
              <w:bottom w:val="single" w:sz="4" w:space="0" w:color="auto"/>
              <w:right w:val="single" w:sz="4" w:space="0" w:color="auto"/>
            </w:tcBorders>
            <w:shd w:val="clear" w:color="auto" w:fill="auto"/>
            <w:noWrap/>
            <w:vAlign w:val="center"/>
            <w:hideMark/>
          </w:tcPr>
          <w:p w14:paraId="746576C6" w14:textId="659699FC"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738A8CE7"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254C673E"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7.7</w:t>
            </w:r>
          </w:p>
        </w:tc>
        <w:tc>
          <w:tcPr>
            <w:tcW w:w="737" w:type="dxa"/>
            <w:tcBorders>
              <w:top w:val="nil"/>
              <w:left w:val="nil"/>
              <w:bottom w:val="single" w:sz="4" w:space="0" w:color="auto"/>
              <w:right w:val="single" w:sz="4" w:space="0" w:color="auto"/>
            </w:tcBorders>
            <w:shd w:val="clear" w:color="auto" w:fill="auto"/>
            <w:noWrap/>
            <w:vAlign w:val="center"/>
            <w:hideMark/>
          </w:tcPr>
          <w:p w14:paraId="7F216998" w14:textId="5D9E37EE"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3FDCF5A3" w14:textId="19D48812"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1AC84D27" w14:textId="0974CF84"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76F3BA94" w14:textId="450B608A"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{"citationItems":[{"id":"ITEM-1","itemData":{"DOI":"10.1016/j.psep.2018.10.004","ISSN":"0957-5820","abstract":"This study refers to the minimum ignition energy (MIE) of dusts as determined by means of the Hartmann tube. To do so, six different dust with different particle size and properties are employed. A theoretical model is developed to predict the MIE based upon the physical and chemical properties of the dust. The model clearly shows the relationship between the minimum ignition energy and the minimum ignition temperature of a dust cloud. The model results in a method to calculate the MIE of dusts. Also, the time necessary for ignition can be calculated with the model. The results show that despite some limitations, the model predicts the MIE for dusts rather well. It is proposed that 40–60% energy loss would be considered when applying the model.","author":[{"dropping-particle":"","family":"Hosseinzadeh","given":"Sepideh","non-dropping-particle":"","parse-names":false,"suffix":""},{"dropping-particle":"","family":"Berghmans","given":"Jan","non-dropping-particle":"","parse-names":false,"suffix":""},{"dropping-particle":"","family":"Degreve","given":"Jan","non-dropping-particle":"","parse-names":false,"suffix":""},{"dropping-particle":"","family":"Verplaetsen","given":"Filip","non-dropping-particle":"","parse-names":false,"suffix":""}],"container-title":"Process Safety and Environmental Protection","id":"ITEM-1","issued":{"date-parts":[["2019"]]},"page":"43-49","title":"A model for the minimum ignition energy of dust clouds","type":"article-journal","volume":"121"},"uris":["http://www.mendeley.com/documents/?uuid=4faafa79-2294-4a2b-9d8b-56da644ac719"]}],"mendeley":{"formattedCitation":"[143]","plainTextFormattedCitation":"[143]","previouslyFormattedCitation":"[143]"},"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[143]</w:t>
            </w:r>
            <w:r w:rsidRPr="00DB19C7">
              <w:rPr>
                <w:color w:val="auto"/>
                <w:sz w:val="18"/>
                <w:szCs w:val="18"/>
                <w:lang w:eastAsia="en-GB" w:bidi="ar-SA"/>
              </w:rPr>
              <w:fldChar w:fldCharType="end"/>
            </w:r>
          </w:p>
        </w:tc>
      </w:tr>
      <w:tr w:rsidR="00DB19C7" w:rsidRPr="00DB19C7" w14:paraId="60D53793" w14:textId="52B80690"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0D6D966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23</w:t>
            </w:r>
          </w:p>
        </w:tc>
        <w:tc>
          <w:tcPr>
            <w:tcW w:w="1746" w:type="dxa"/>
            <w:tcBorders>
              <w:top w:val="nil"/>
              <w:left w:val="nil"/>
              <w:bottom w:val="single" w:sz="4" w:space="0" w:color="auto"/>
              <w:right w:val="single" w:sz="4" w:space="0" w:color="auto"/>
            </w:tcBorders>
            <w:shd w:val="clear" w:color="auto" w:fill="auto"/>
            <w:noWrap/>
            <w:vAlign w:val="center"/>
            <w:hideMark/>
          </w:tcPr>
          <w:p w14:paraId="4030E1A9"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Olive pit</w:t>
            </w:r>
          </w:p>
        </w:tc>
        <w:tc>
          <w:tcPr>
            <w:tcW w:w="767" w:type="dxa"/>
            <w:tcBorders>
              <w:top w:val="nil"/>
              <w:left w:val="nil"/>
              <w:bottom w:val="single" w:sz="4" w:space="0" w:color="auto"/>
              <w:right w:val="single" w:sz="4" w:space="0" w:color="auto"/>
            </w:tcBorders>
            <w:shd w:val="clear" w:color="auto" w:fill="auto"/>
            <w:noWrap/>
            <w:vAlign w:val="center"/>
            <w:hideMark/>
          </w:tcPr>
          <w:p w14:paraId="2E4DF938" w14:textId="6149BE89" w:rsidR="002B4066" w:rsidRPr="00DB19C7" w:rsidRDefault="002B4066" w:rsidP="002B4066">
            <w:pPr>
              <w:adjustRightInd/>
              <w:snapToGrid/>
              <w:spacing w:line="240" w:lineRule="auto"/>
              <w:jc w:val="center"/>
              <w:rPr>
                <w:color w:val="auto"/>
                <w:sz w:val="18"/>
                <w:szCs w:val="18"/>
                <w:lang w:eastAsia="en-GB" w:bidi="ar-SA"/>
              </w:rPr>
            </w:pPr>
          </w:p>
        </w:tc>
        <w:tc>
          <w:tcPr>
            <w:tcW w:w="767" w:type="dxa"/>
            <w:tcBorders>
              <w:top w:val="nil"/>
              <w:left w:val="nil"/>
              <w:bottom w:val="single" w:sz="4" w:space="0" w:color="auto"/>
              <w:right w:val="single" w:sz="4" w:space="0" w:color="auto"/>
            </w:tcBorders>
            <w:shd w:val="clear" w:color="auto" w:fill="auto"/>
            <w:noWrap/>
            <w:vAlign w:val="center"/>
            <w:hideMark/>
          </w:tcPr>
          <w:p w14:paraId="005EB79C"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68.2</w:t>
            </w:r>
          </w:p>
        </w:tc>
        <w:tc>
          <w:tcPr>
            <w:tcW w:w="1018" w:type="dxa"/>
            <w:tcBorders>
              <w:top w:val="nil"/>
              <w:left w:val="nil"/>
              <w:bottom w:val="single" w:sz="4" w:space="0" w:color="auto"/>
              <w:right w:val="single" w:sz="4" w:space="0" w:color="auto"/>
            </w:tcBorders>
            <w:shd w:val="clear" w:color="auto" w:fill="auto"/>
            <w:noWrap/>
            <w:vAlign w:val="center"/>
            <w:hideMark/>
          </w:tcPr>
          <w:p w14:paraId="4CB67C1E" w14:textId="651F87D3" w:rsidR="002B4066" w:rsidRPr="00DB19C7" w:rsidRDefault="002B4066" w:rsidP="002B4066">
            <w:pPr>
              <w:adjustRightInd/>
              <w:snapToGrid/>
              <w:spacing w:line="240" w:lineRule="auto"/>
              <w:jc w:val="center"/>
              <w:rPr>
                <w:color w:val="auto"/>
                <w:sz w:val="18"/>
                <w:szCs w:val="18"/>
                <w:lang w:eastAsia="en-GB" w:bidi="ar-SA"/>
              </w:rPr>
            </w:pPr>
          </w:p>
        </w:tc>
        <w:tc>
          <w:tcPr>
            <w:tcW w:w="1096" w:type="dxa"/>
            <w:tcBorders>
              <w:top w:val="nil"/>
              <w:left w:val="nil"/>
              <w:bottom w:val="single" w:sz="4" w:space="0" w:color="auto"/>
              <w:right w:val="single" w:sz="4" w:space="0" w:color="auto"/>
            </w:tcBorders>
            <w:shd w:val="clear" w:color="auto" w:fill="auto"/>
            <w:noWrap/>
            <w:vAlign w:val="center"/>
            <w:hideMark/>
          </w:tcPr>
          <w:p w14:paraId="0FC45754" w14:textId="4DBBD2C2"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7A56FDDD"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90.7</w:t>
            </w:r>
          </w:p>
        </w:tc>
        <w:tc>
          <w:tcPr>
            <w:tcW w:w="765" w:type="dxa"/>
            <w:tcBorders>
              <w:top w:val="nil"/>
              <w:left w:val="nil"/>
              <w:bottom w:val="single" w:sz="4" w:space="0" w:color="auto"/>
              <w:right w:val="single" w:sz="4" w:space="0" w:color="auto"/>
            </w:tcBorders>
            <w:shd w:val="clear" w:color="auto" w:fill="auto"/>
            <w:noWrap/>
            <w:vAlign w:val="center"/>
            <w:hideMark/>
          </w:tcPr>
          <w:p w14:paraId="76560B0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36.7</w:t>
            </w:r>
          </w:p>
        </w:tc>
        <w:tc>
          <w:tcPr>
            <w:tcW w:w="1199" w:type="dxa"/>
            <w:tcBorders>
              <w:top w:val="nil"/>
              <w:left w:val="nil"/>
              <w:bottom w:val="single" w:sz="4" w:space="0" w:color="auto"/>
              <w:right w:val="single" w:sz="4" w:space="0" w:color="auto"/>
            </w:tcBorders>
            <w:shd w:val="clear" w:color="auto" w:fill="auto"/>
            <w:noWrap/>
            <w:vAlign w:val="center"/>
            <w:hideMark/>
          </w:tcPr>
          <w:p w14:paraId="5DF13227" w14:textId="45B14076"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0.155</w:t>
            </w:r>
          </w:p>
        </w:tc>
        <w:tc>
          <w:tcPr>
            <w:tcW w:w="1137" w:type="dxa"/>
            <w:tcBorders>
              <w:top w:val="nil"/>
              <w:left w:val="nil"/>
              <w:bottom w:val="single" w:sz="4" w:space="0" w:color="auto"/>
              <w:right w:val="single" w:sz="4" w:space="0" w:color="auto"/>
            </w:tcBorders>
            <w:shd w:val="clear" w:color="auto" w:fill="auto"/>
            <w:noWrap/>
            <w:vAlign w:val="center"/>
            <w:hideMark/>
          </w:tcPr>
          <w:p w14:paraId="091DE7B3"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567" w:type="dxa"/>
            <w:tcBorders>
              <w:top w:val="nil"/>
              <w:left w:val="nil"/>
              <w:bottom w:val="single" w:sz="4" w:space="0" w:color="auto"/>
              <w:right w:val="single" w:sz="4" w:space="0" w:color="auto"/>
            </w:tcBorders>
            <w:shd w:val="clear" w:color="auto" w:fill="auto"/>
            <w:noWrap/>
            <w:vAlign w:val="center"/>
            <w:hideMark/>
          </w:tcPr>
          <w:p w14:paraId="5B4E7639" w14:textId="05AAA5BD"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6C1A4B63"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47CAF745" w14:textId="7EA4EF57"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507CF7E5" w14:textId="187ED8D7"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653EE042" w14:textId="555169E0"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382E3C89" w14:textId="2F5791F0"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69218056" w14:textId="608378C1"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{"citationItems":[{"id":"ITEM-1","itemData":{"DOI":"10.1007/s10694-018-0782-3","ISSN":"1572-8099","abstract":"Dust layers are present in every industrial facility where solid materials are generated or processed. The emergence of new fuels with still unknown flammability properties generates an increase on the risks related with these facilities that needs to be further studied. Most of these biomasses are susceptible to exothermically react, acting as an ignition source and causing fires and explosions. One of the most common causes of explosions is the ignition of dust layers deposited on the equipment, which could be avoided by a better understanding of the materials. However, the ignitability of these layers depend on several parameters as the particle size and the density of the deposited materials. This paper reports experimental work on hot surface ignition temperatures of layers of different fuels, both biofuels, such as wood or sewage sludge, and fossil fuels, coal and coke. It shows that the common practices that are well-known for fossil fuels cannot be directly extrapolated to new fuels. Unlike fossil fuels, wood-based materials present the same ignition risk in dust and bulk size, so an increase on the particle size does not ensure a safer work space. Furthermore, compacting these materials can increase the ignition risk of these type of layers, contrary to the common practices for fossil fuels storages. These differences point out the need of a complete characterisation of each material to ensure a safe working facility.","author":[{"dropping-particle":"","family":"Fernandez-Anez","given":"Nieves","non-dropping-particle":"","parse-names":false,"suffix":""},{"dropping-particle":"","family":"Garcia-Torrent","given":"Javier","non-dropping-particle":"","parse-names":false,"suffix":""}],"container-title":"Fire Technology","id":"ITEM-1","issue":"1","issued":{"date-parts":[["2019"]]},"page":"175-191","title":"Influence of Particle Size and Density on the Hot Surface Ignition of Solid Fuel Layers","type":"article-journal","volume":"55"},"uris":["http://www.mendeley.com/documents/?uuid=f107a61e-81cb-4767-8f95-3d5cff660de0"]}],"mendeley":{"formattedCitation":"[28]","plainTextFormattedCitation":"[28]","previouslyFormattedCitation":"[28]"},"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[28]</w:t>
            </w:r>
            <w:r w:rsidRPr="00DB19C7">
              <w:rPr>
                <w:color w:val="auto"/>
                <w:sz w:val="18"/>
                <w:szCs w:val="18"/>
                <w:lang w:eastAsia="en-GB" w:bidi="ar-SA"/>
              </w:rPr>
              <w:fldChar w:fldCharType="end"/>
            </w:r>
          </w:p>
        </w:tc>
      </w:tr>
      <w:tr w:rsidR="00DB19C7" w:rsidRPr="00DB19C7" w14:paraId="05E75945" w14:textId="5B747A1B"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6EC1DA24"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24</w:t>
            </w:r>
          </w:p>
        </w:tc>
        <w:tc>
          <w:tcPr>
            <w:tcW w:w="1746" w:type="dxa"/>
            <w:tcBorders>
              <w:top w:val="nil"/>
              <w:left w:val="nil"/>
              <w:bottom w:val="single" w:sz="4" w:space="0" w:color="auto"/>
              <w:right w:val="single" w:sz="4" w:space="0" w:color="auto"/>
            </w:tcBorders>
            <w:shd w:val="clear" w:color="auto" w:fill="auto"/>
            <w:noWrap/>
            <w:vAlign w:val="center"/>
            <w:hideMark/>
          </w:tcPr>
          <w:p w14:paraId="1DDA8BD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Olive pit</w:t>
            </w:r>
          </w:p>
        </w:tc>
        <w:tc>
          <w:tcPr>
            <w:tcW w:w="767" w:type="dxa"/>
            <w:tcBorders>
              <w:top w:val="nil"/>
              <w:left w:val="nil"/>
              <w:bottom w:val="single" w:sz="4" w:space="0" w:color="auto"/>
              <w:right w:val="single" w:sz="4" w:space="0" w:color="auto"/>
            </w:tcBorders>
            <w:shd w:val="clear" w:color="auto" w:fill="auto"/>
            <w:noWrap/>
            <w:vAlign w:val="center"/>
            <w:hideMark/>
          </w:tcPr>
          <w:p w14:paraId="6432AAC3" w14:textId="4D867CAD" w:rsidR="002B4066" w:rsidRPr="00DB19C7" w:rsidRDefault="002B4066" w:rsidP="002B4066">
            <w:pPr>
              <w:adjustRightInd/>
              <w:snapToGrid/>
              <w:spacing w:line="240" w:lineRule="auto"/>
              <w:jc w:val="center"/>
              <w:rPr>
                <w:color w:val="auto"/>
                <w:sz w:val="18"/>
                <w:szCs w:val="18"/>
                <w:lang w:eastAsia="en-GB" w:bidi="ar-SA"/>
              </w:rPr>
            </w:pPr>
          </w:p>
        </w:tc>
        <w:tc>
          <w:tcPr>
            <w:tcW w:w="767" w:type="dxa"/>
            <w:tcBorders>
              <w:top w:val="nil"/>
              <w:left w:val="nil"/>
              <w:bottom w:val="single" w:sz="4" w:space="0" w:color="auto"/>
              <w:right w:val="single" w:sz="4" w:space="0" w:color="auto"/>
            </w:tcBorders>
            <w:shd w:val="clear" w:color="auto" w:fill="auto"/>
            <w:noWrap/>
            <w:vAlign w:val="center"/>
            <w:hideMark/>
          </w:tcPr>
          <w:p w14:paraId="06CDF2E1"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1300</w:t>
            </w:r>
          </w:p>
        </w:tc>
        <w:tc>
          <w:tcPr>
            <w:tcW w:w="1018" w:type="dxa"/>
            <w:tcBorders>
              <w:top w:val="nil"/>
              <w:left w:val="nil"/>
              <w:bottom w:val="single" w:sz="4" w:space="0" w:color="auto"/>
              <w:right w:val="single" w:sz="4" w:space="0" w:color="auto"/>
            </w:tcBorders>
            <w:shd w:val="clear" w:color="auto" w:fill="auto"/>
            <w:noWrap/>
            <w:vAlign w:val="center"/>
            <w:hideMark/>
          </w:tcPr>
          <w:p w14:paraId="25EB54C4" w14:textId="3B69E68B" w:rsidR="002B4066" w:rsidRPr="00DB19C7" w:rsidRDefault="002B4066" w:rsidP="002B4066">
            <w:pPr>
              <w:adjustRightInd/>
              <w:snapToGrid/>
              <w:spacing w:line="240" w:lineRule="auto"/>
              <w:jc w:val="center"/>
              <w:rPr>
                <w:color w:val="auto"/>
                <w:sz w:val="18"/>
                <w:szCs w:val="18"/>
                <w:lang w:eastAsia="en-GB" w:bidi="ar-SA"/>
              </w:rPr>
            </w:pPr>
          </w:p>
        </w:tc>
        <w:tc>
          <w:tcPr>
            <w:tcW w:w="1096" w:type="dxa"/>
            <w:tcBorders>
              <w:top w:val="nil"/>
              <w:left w:val="nil"/>
              <w:bottom w:val="single" w:sz="4" w:space="0" w:color="auto"/>
              <w:right w:val="single" w:sz="4" w:space="0" w:color="auto"/>
            </w:tcBorders>
            <w:shd w:val="clear" w:color="auto" w:fill="auto"/>
            <w:noWrap/>
            <w:vAlign w:val="center"/>
            <w:hideMark/>
          </w:tcPr>
          <w:p w14:paraId="501FB16D" w14:textId="133C6ED5"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6AE694B6" w14:textId="68BE3956"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2AE3FC76" w14:textId="64AA8616"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0758F58A" w14:textId="7CE6DEC4"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7AD06B39"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567" w:type="dxa"/>
            <w:tcBorders>
              <w:top w:val="nil"/>
              <w:left w:val="nil"/>
              <w:bottom w:val="single" w:sz="4" w:space="0" w:color="auto"/>
              <w:right w:val="single" w:sz="4" w:space="0" w:color="auto"/>
            </w:tcBorders>
            <w:shd w:val="clear" w:color="auto" w:fill="auto"/>
            <w:noWrap/>
            <w:vAlign w:val="center"/>
            <w:hideMark/>
          </w:tcPr>
          <w:p w14:paraId="28AE5D79" w14:textId="3FFD112B"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4444B6DC"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Sieves</w:t>
            </w:r>
          </w:p>
        </w:tc>
        <w:tc>
          <w:tcPr>
            <w:tcW w:w="737" w:type="dxa"/>
            <w:tcBorders>
              <w:top w:val="nil"/>
              <w:left w:val="nil"/>
              <w:bottom w:val="single" w:sz="4" w:space="0" w:color="auto"/>
              <w:right w:val="single" w:sz="4" w:space="0" w:color="auto"/>
            </w:tcBorders>
            <w:shd w:val="clear" w:color="auto" w:fill="auto"/>
            <w:noWrap/>
            <w:vAlign w:val="center"/>
            <w:hideMark/>
          </w:tcPr>
          <w:p w14:paraId="1B27EFD7" w14:textId="6A888426"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6628BD61" w14:textId="1242845E"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43F62DDF" w14:textId="1CDCC678"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564A929C" w14:textId="5CB6A589"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01D5E211" w14:textId="2EBC7029"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{"citationItems":[{"id":"ITEM-1","itemData":{"DOI":"10.1007/s10694-018-0782-3","ISSN":"1572-8099","abstract":"Dust layers are present in every industrial facility where solid materials are generated or processed. The emergence of new fuels with still unknown flammability properties generates an increase on the risks related with these facilities that needs to be further studied. Most of these biomasses are susceptible to exothermically react, acting as an ignition source and causing fires and explosions. One of the most common causes of explosions is the ignition of dust layers deposited on the equipment, which could be avoided by a better understanding of the materials. However, the ignitability of these layers depend on several parameters as the particle size and the density of the deposited materials. This paper reports experimental work on hot surface ignition temperatures of layers of different fuels, both biofuels, such as wood or sewage sludge, and fossil fuels, coal and coke. It shows that the common practices that are well-known for fossil fuels cannot be directly extrapolated to new fuels. Unlike fossil fuels, wood-based materials present the same ignition risk in dust and bulk size, so an increase on the particle size does not ensure a safer work space. Furthermore, compacting these materials can increase the ignition risk of these type of layers, contrary to the common practices for fossil fuels storages. These differences point out the need of a complete characterisation of each material to ensure a safe working facility.","author":[{"dropping-particle":"","family":"Fernandez-Anez","given":"Nieves","non-dropping-particle":"","parse-names":false,"suffix":""},{"dropping-particle":"","family":"Garcia-Torrent","given":"Javier","non-dropping-particle":"","parse-names":false,"suffix":""}],"container-title":"Fire Technology","id":"ITEM-1","issue":"1","issued":{"date-parts":[["2019"]]},"page":"175-191","title":"Influence of Particle Size and Density on the Hot Surface Ignition of Solid Fuel Layers","type":"article-journal","volume":"55"},"uris":["http://www.mendeley.com/documents/?uuid=f107a61e-81cb-4767-8f95-3d5cff660de0"]}],"mendeley":{"formattedCitation":"[28]","plainTextFormattedCitation":"[28]","previouslyFormattedCitation":"[28]"},"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[28]</w:t>
            </w:r>
            <w:r w:rsidRPr="00DB19C7">
              <w:rPr>
                <w:color w:val="auto"/>
                <w:sz w:val="18"/>
                <w:szCs w:val="18"/>
                <w:lang w:eastAsia="en-GB" w:bidi="ar-SA"/>
              </w:rPr>
              <w:fldChar w:fldCharType="end"/>
            </w:r>
          </w:p>
        </w:tc>
      </w:tr>
      <w:tr w:rsidR="00DB19C7" w:rsidRPr="00DB19C7" w14:paraId="347EBC26" w14:textId="47E0498B"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17586371"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25</w:t>
            </w:r>
          </w:p>
        </w:tc>
        <w:tc>
          <w:tcPr>
            <w:tcW w:w="1746" w:type="dxa"/>
            <w:tcBorders>
              <w:top w:val="nil"/>
              <w:left w:val="nil"/>
              <w:bottom w:val="single" w:sz="4" w:space="0" w:color="auto"/>
              <w:right w:val="single" w:sz="4" w:space="0" w:color="auto"/>
            </w:tcBorders>
            <w:shd w:val="clear" w:color="auto" w:fill="auto"/>
            <w:noWrap/>
            <w:vAlign w:val="center"/>
            <w:hideMark/>
          </w:tcPr>
          <w:p w14:paraId="34EBA27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 xml:space="preserve">Olive pomace pellets, fraction &lt; 45 </w:t>
            </w:r>
            <w:proofErr w:type="spellStart"/>
            <w:r w:rsidRPr="00DB19C7">
              <w:rPr>
                <w:color w:val="auto"/>
                <w:sz w:val="18"/>
                <w:szCs w:val="18"/>
                <w:lang w:eastAsia="en-GB" w:bidi="ar-SA"/>
              </w:rPr>
              <w:t>μm</w:t>
            </w:r>
            <w:proofErr w:type="spellEnd"/>
          </w:p>
        </w:tc>
        <w:tc>
          <w:tcPr>
            <w:tcW w:w="767" w:type="dxa"/>
            <w:tcBorders>
              <w:top w:val="nil"/>
              <w:left w:val="nil"/>
              <w:bottom w:val="single" w:sz="4" w:space="0" w:color="auto"/>
              <w:right w:val="single" w:sz="4" w:space="0" w:color="auto"/>
            </w:tcBorders>
            <w:shd w:val="clear" w:color="auto" w:fill="auto"/>
            <w:noWrap/>
            <w:vAlign w:val="center"/>
            <w:hideMark/>
          </w:tcPr>
          <w:p w14:paraId="4EC3B253"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9</w:t>
            </w:r>
          </w:p>
        </w:tc>
        <w:tc>
          <w:tcPr>
            <w:tcW w:w="767" w:type="dxa"/>
            <w:tcBorders>
              <w:top w:val="nil"/>
              <w:left w:val="nil"/>
              <w:bottom w:val="single" w:sz="4" w:space="0" w:color="auto"/>
              <w:right w:val="single" w:sz="4" w:space="0" w:color="auto"/>
            </w:tcBorders>
            <w:shd w:val="clear" w:color="auto" w:fill="auto"/>
            <w:noWrap/>
            <w:vAlign w:val="center"/>
            <w:hideMark/>
          </w:tcPr>
          <w:p w14:paraId="449CFBDC"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31</w:t>
            </w:r>
          </w:p>
        </w:tc>
        <w:tc>
          <w:tcPr>
            <w:tcW w:w="1018" w:type="dxa"/>
            <w:tcBorders>
              <w:top w:val="nil"/>
              <w:left w:val="nil"/>
              <w:bottom w:val="single" w:sz="4" w:space="0" w:color="auto"/>
              <w:right w:val="single" w:sz="4" w:space="0" w:color="auto"/>
            </w:tcBorders>
            <w:shd w:val="clear" w:color="auto" w:fill="auto"/>
            <w:noWrap/>
            <w:vAlign w:val="center"/>
            <w:hideMark/>
          </w:tcPr>
          <w:p w14:paraId="5576FB5D"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54</w:t>
            </w:r>
          </w:p>
        </w:tc>
        <w:tc>
          <w:tcPr>
            <w:tcW w:w="1096" w:type="dxa"/>
            <w:tcBorders>
              <w:top w:val="nil"/>
              <w:left w:val="nil"/>
              <w:bottom w:val="single" w:sz="4" w:space="0" w:color="auto"/>
              <w:right w:val="single" w:sz="4" w:space="0" w:color="auto"/>
            </w:tcBorders>
            <w:shd w:val="clear" w:color="auto" w:fill="auto"/>
            <w:noWrap/>
            <w:vAlign w:val="center"/>
            <w:hideMark/>
          </w:tcPr>
          <w:p w14:paraId="509613D3" w14:textId="660BE9DF"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288354DA" w14:textId="65F95E98"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515B08CF" w14:textId="2AAEE7A7"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2C6DD055" w14:textId="12F9C3DE"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0BDE0C46"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 - SEM</w:t>
            </w:r>
          </w:p>
        </w:tc>
        <w:tc>
          <w:tcPr>
            <w:tcW w:w="567" w:type="dxa"/>
            <w:tcBorders>
              <w:top w:val="nil"/>
              <w:left w:val="nil"/>
              <w:bottom w:val="single" w:sz="4" w:space="0" w:color="auto"/>
              <w:right w:val="single" w:sz="4" w:space="0" w:color="auto"/>
            </w:tcBorders>
            <w:shd w:val="clear" w:color="auto" w:fill="auto"/>
            <w:noWrap/>
            <w:vAlign w:val="center"/>
            <w:hideMark/>
          </w:tcPr>
          <w:p w14:paraId="6089802A" w14:textId="12DBD918"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1606C7F1"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1D31259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1.10</w:t>
            </w:r>
          </w:p>
        </w:tc>
        <w:tc>
          <w:tcPr>
            <w:tcW w:w="737" w:type="dxa"/>
            <w:tcBorders>
              <w:top w:val="nil"/>
              <w:left w:val="nil"/>
              <w:bottom w:val="single" w:sz="4" w:space="0" w:color="auto"/>
              <w:right w:val="single" w:sz="4" w:space="0" w:color="auto"/>
            </w:tcBorders>
            <w:shd w:val="clear" w:color="auto" w:fill="auto"/>
            <w:noWrap/>
            <w:vAlign w:val="center"/>
            <w:hideMark/>
          </w:tcPr>
          <w:p w14:paraId="017CF9AA"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74.5</w:t>
            </w:r>
          </w:p>
        </w:tc>
        <w:tc>
          <w:tcPr>
            <w:tcW w:w="737" w:type="dxa"/>
            <w:tcBorders>
              <w:top w:val="nil"/>
              <w:left w:val="nil"/>
              <w:bottom w:val="single" w:sz="4" w:space="0" w:color="auto"/>
              <w:right w:val="single" w:sz="4" w:space="0" w:color="auto"/>
            </w:tcBorders>
            <w:shd w:val="clear" w:color="auto" w:fill="auto"/>
            <w:noWrap/>
            <w:vAlign w:val="center"/>
            <w:hideMark/>
          </w:tcPr>
          <w:p w14:paraId="3282AB6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8.3</w:t>
            </w:r>
          </w:p>
        </w:tc>
        <w:tc>
          <w:tcPr>
            <w:tcW w:w="737" w:type="dxa"/>
            <w:tcBorders>
              <w:top w:val="nil"/>
              <w:left w:val="nil"/>
              <w:bottom w:val="single" w:sz="4" w:space="0" w:color="auto"/>
              <w:right w:val="single" w:sz="4" w:space="0" w:color="auto"/>
            </w:tcBorders>
            <w:shd w:val="clear" w:color="auto" w:fill="auto"/>
            <w:noWrap/>
            <w:vAlign w:val="center"/>
            <w:hideMark/>
          </w:tcPr>
          <w:p w14:paraId="59F559B1"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17.1</w:t>
            </w:r>
          </w:p>
        </w:tc>
        <w:tc>
          <w:tcPr>
            <w:tcW w:w="617" w:type="dxa"/>
            <w:tcBorders>
              <w:top w:val="single" w:sz="4" w:space="0" w:color="auto"/>
              <w:left w:val="nil"/>
              <w:bottom w:val="single" w:sz="4" w:space="0" w:color="auto"/>
              <w:right w:val="single" w:sz="4" w:space="0" w:color="auto"/>
            </w:tcBorders>
            <w:vAlign w:val="center"/>
          </w:tcPr>
          <w:p w14:paraId="3CAE763B" w14:textId="0E27ABE4"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{"citationItems":[{"id":"ITEM-1","itemData":{"DOI":"10.1016/j.jlp.2021.104423","ISSN":"0950-4230","abstract":"The Mediterranean area is responsible for about 98% of the olive oil worldwide production, with 900 million olive trees occupying 10 million hectares. However, the processing of 100 kg of olives leads to the production of 40 kg of wastes, mainly constituted by olive pomace, which is potentially recoverable as energetic or material source. In general, in the past 20 years, the exploitation of olive pomace has increased, but along with it, the need for further information about its chemical-physical characterization and the related hazard in industry. Thus, a risk analysis assessment was conducted. When pelletized or in chunks, olive pomace does not pose any greater hazard than a pile of woody material, but when pulverized, it might become dangerous. Two parallel series of experiments were carried out at Dalhousie University (Lab 1) and at Polytechnic of Turin (Lab 2) using the same olive pomace sample, according to slightly different experimental procedures. Olive pomace dust explosibility and flammability parameters were measured: minimum ignition energy (MIE), minimum ignition temperature (MIT), maximum pressure rise rate ((dP/dt)max and KSt), maximum pressure (Pmax), and minimum explosible concentration (MEC). Moreover, the chemical and physical characterization of olive pomace was carried out: moisture content, particle size analysis, Scanning Electronic Microscope (SEM) investigation, thermo-gravimetric analysis (TGA), solid-state Nuclear Magnetic Resonance (NMR), mass spectrometry, calorific value, and bulk density estimation. Different thermal behaviors were observed according to the sieving/grinding pre-treatment. As concern flammability tests, samples seemed not to be sensitive to electric arc ignition (a value of MIE could not be measured), while coarser samples demonstrated higher ignition sensitivity to hot environment sources (MIT furnace) than finer ones. On the other hand, explosion violence parameters were enhanced by decreasing the particle size, while peak pressures were significantly influenced by the heat of combustion and the moisture content. Finally, a new test was developed to quantify the propensity of the raw material to produce fines by abrasion. It is defined “Abrasion by Rolling Test” (ART). The properties of the fines produced were measured as well.","author":[{"dropping-particle":"","family":"Pietraccini","given":"Matteo","non-dropping-particle":"","parse-names":false,"suffix":""},{"dropping-particle":"","family":"Danzi","given":"Enrico","non-dropping-particle":"","parse-names":false,"suffix":""},{"dropping-particle":"","family":"Marmo","given":"Luca","non-dropping-particle":"","parse-names":false,"suffix":""},{"dropping-particle":"","family":"Addo","given":"Albert","non-dropping-particle":"","parse-names":false,"suffix":""},{"dropping-particle":"","family":"Amyotte","given":"Paul","non-dropping-particle":"","parse-names":false,"suffix":""}],"container-title":"Journal of Loss Prevention in the Process Industries","id":"ITEM-1","issued":{"date-parts":[["2021"]]},"page":"104423","title":"Effect of particle size distribution, drying and milling technique on explosibility behavior of olive pomace waste","type":"article-journal","volume":"71"},"uris":["http://www.mendeley.com/documents/?uuid=15688500-ed2f-4ca9-be97-f4bf56a59d8a"]}],"mendeley":{"formattedCitation":"[120]","plainTextFormattedCitation":"[120]","previouslyFormattedCitation":"[120]"},"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[120]</w:t>
            </w:r>
            <w:r w:rsidRPr="00DB19C7">
              <w:rPr>
                <w:color w:val="auto"/>
                <w:sz w:val="18"/>
                <w:szCs w:val="18"/>
                <w:lang w:eastAsia="en-GB" w:bidi="ar-SA"/>
              </w:rPr>
              <w:fldChar w:fldCharType="end"/>
            </w:r>
          </w:p>
        </w:tc>
      </w:tr>
      <w:tr w:rsidR="00DB19C7" w:rsidRPr="00DB19C7" w14:paraId="5CF29925" w14:textId="6F98D966"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7D04BBB1"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26</w:t>
            </w:r>
          </w:p>
        </w:tc>
        <w:tc>
          <w:tcPr>
            <w:tcW w:w="1746" w:type="dxa"/>
            <w:tcBorders>
              <w:top w:val="nil"/>
              <w:left w:val="nil"/>
              <w:bottom w:val="single" w:sz="4" w:space="0" w:color="auto"/>
              <w:right w:val="single" w:sz="4" w:space="0" w:color="auto"/>
            </w:tcBorders>
            <w:shd w:val="clear" w:color="auto" w:fill="auto"/>
            <w:noWrap/>
            <w:vAlign w:val="center"/>
            <w:hideMark/>
          </w:tcPr>
          <w:p w14:paraId="39A176DA"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 xml:space="preserve">Olive pomace pellets, fraction 212-75 </w:t>
            </w:r>
            <w:proofErr w:type="spellStart"/>
            <w:r w:rsidRPr="00DB19C7">
              <w:rPr>
                <w:color w:val="auto"/>
                <w:sz w:val="18"/>
                <w:szCs w:val="18"/>
                <w:lang w:eastAsia="en-GB" w:bidi="ar-SA"/>
              </w:rPr>
              <w:t>μm</w:t>
            </w:r>
            <w:proofErr w:type="spellEnd"/>
          </w:p>
        </w:tc>
        <w:tc>
          <w:tcPr>
            <w:tcW w:w="767" w:type="dxa"/>
            <w:tcBorders>
              <w:top w:val="nil"/>
              <w:left w:val="nil"/>
              <w:bottom w:val="single" w:sz="4" w:space="0" w:color="auto"/>
              <w:right w:val="single" w:sz="4" w:space="0" w:color="auto"/>
            </w:tcBorders>
            <w:shd w:val="clear" w:color="auto" w:fill="auto"/>
            <w:noWrap/>
            <w:vAlign w:val="center"/>
            <w:hideMark/>
          </w:tcPr>
          <w:p w14:paraId="02596549"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38</w:t>
            </w:r>
          </w:p>
        </w:tc>
        <w:tc>
          <w:tcPr>
            <w:tcW w:w="767" w:type="dxa"/>
            <w:tcBorders>
              <w:top w:val="nil"/>
              <w:left w:val="nil"/>
              <w:bottom w:val="single" w:sz="4" w:space="0" w:color="auto"/>
              <w:right w:val="single" w:sz="4" w:space="0" w:color="auto"/>
            </w:tcBorders>
            <w:shd w:val="clear" w:color="auto" w:fill="auto"/>
            <w:noWrap/>
            <w:vAlign w:val="center"/>
            <w:hideMark/>
          </w:tcPr>
          <w:p w14:paraId="3A8F5E1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162</w:t>
            </w:r>
          </w:p>
        </w:tc>
        <w:tc>
          <w:tcPr>
            <w:tcW w:w="1018" w:type="dxa"/>
            <w:tcBorders>
              <w:top w:val="nil"/>
              <w:left w:val="nil"/>
              <w:bottom w:val="single" w:sz="4" w:space="0" w:color="auto"/>
              <w:right w:val="single" w:sz="4" w:space="0" w:color="auto"/>
            </w:tcBorders>
            <w:shd w:val="clear" w:color="auto" w:fill="auto"/>
            <w:noWrap/>
            <w:vAlign w:val="center"/>
            <w:hideMark/>
          </w:tcPr>
          <w:p w14:paraId="29185CAA"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254</w:t>
            </w:r>
          </w:p>
        </w:tc>
        <w:tc>
          <w:tcPr>
            <w:tcW w:w="1096" w:type="dxa"/>
            <w:tcBorders>
              <w:top w:val="nil"/>
              <w:left w:val="nil"/>
              <w:bottom w:val="single" w:sz="4" w:space="0" w:color="auto"/>
              <w:right w:val="single" w:sz="4" w:space="0" w:color="auto"/>
            </w:tcBorders>
            <w:shd w:val="clear" w:color="auto" w:fill="auto"/>
            <w:noWrap/>
            <w:vAlign w:val="center"/>
            <w:hideMark/>
          </w:tcPr>
          <w:p w14:paraId="26A7AFDD" w14:textId="1DEB59E8"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0A127D6A" w14:textId="17241F19"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026213F8" w14:textId="5FC9D075"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07A4B703" w14:textId="5C4EF231"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550D9E1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 - SEM</w:t>
            </w:r>
          </w:p>
        </w:tc>
        <w:tc>
          <w:tcPr>
            <w:tcW w:w="567" w:type="dxa"/>
            <w:tcBorders>
              <w:top w:val="nil"/>
              <w:left w:val="nil"/>
              <w:bottom w:val="single" w:sz="4" w:space="0" w:color="auto"/>
              <w:right w:val="single" w:sz="4" w:space="0" w:color="auto"/>
            </w:tcBorders>
            <w:shd w:val="clear" w:color="auto" w:fill="auto"/>
            <w:noWrap/>
            <w:vAlign w:val="center"/>
            <w:hideMark/>
          </w:tcPr>
          <w:p w14:paraId="0677E64B" w14:textId="5BAE2BE6"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40CA8A09"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351E5D5A"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1.00</w:t>
            </w:r>
          </w:p>
        </w:tc>
        <w:tc>
          <w:tcPr>
            <w:tcW w:w="737" w:type="dxa"/>
            <w:tcBorders>
              <w:top w:val="nil"/>
              <w:left w:val="nil"/>
              <w:bottom w:val="single" w:sz="4" w:space="0" w:color="auto"/>
              <w:right w:val="single" w:sz="4" w:space="0" w:color="auto"/>
            </w:tcBorders>
            <w:shd w:val="clear" w:color="auto" w:fill="auto"/>
            <w:noWrap/>
            <w:vAlign w:val="center"/>
            <w:hideMark/>
          </w:tcPr>
          <w:p w14:paraId="68F0169E"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79.3</w:t>
            </w:r>
          </w:p>
        </w:tc>
        <w:tc>
          <w:tcPr>
            <w:tcW w:w="737" w:type="dxa"/>
            <w:tcBorders>
              <w:top w:val="nil"/>
              <w:left w:val="nil"/>
              <w:bottom w:val="single" w:sz="4" w:space="0" w:color="auto"/>
              <w:right w:val="single" w:sz="4" w:space="0" w:color="auto"/>
            </w:tcBorders>
            <w:shd w:val="clear" w:color="auto" w:fill="auto"/>
            <w:noWrap/>
            <w:vAlign w:val="center"/>
            <w:hideMark/>
          </w:tcPr>
          <w:p w14:paraId="5DA08BD4"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14</w:t>
            </w:r>
          </w:p>
        </w:tc>
        <w:tc>
          <w:tcPr>
            <w:tcW w:w="737" w:type="dxa"/>
            <w:tcBorders>
              <w:top w:val="nil"/>
              <w:left w:val="nil"/>
              <w:bottom w:val="single" w:sz="4" w:space="0" w:color="auto"/>
              <w:right w:val="single" w:sz="4" w:space="0" w:color="auto"/>
            </w:tcBorders>
            <w:shd w:val="clear" w:color="auto" w:fill="auto"/>
            <w:noWrap/>
            <w:vAlign w:val="center"/>
            <w:hideMark/>
          </w:tcPr>
          <w:p w14:paraId="73213B73"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6.7</w:t>
            </w:r>
          </w:p>
        </w:tc>
        <w:tc>
          <w:tcPr>
            <w:tcW w:w="617" w:type="dxa"/>
            <w:tcBorders>
              <w:top w:val="single" w:sz="4" w:space="0" w:color="auto"/>
              <w:left w:val="nil"/>
              <w:bottom w:val="single" w:sz="4" w:space="0" w:color="auto"/>
              <w:right w:val="single" w:sz="4" w:space="0" w:color="auto"/>
            </w:tcBorders>
            <w:vAlign w:val="center"/>
          </w:tcPr>
          <w:p w14:paraId="4A7501AE" w14:textId="22F9F8E3"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{"citationItems":[{"id":"ITEM-1","itemData":{"DOI":"10.1016/j.jlp.2021.104423","ISSN":"0950-4230","abstract":"The Mediterranean area is responsible for about 98% of the olive oil worldwide production, with 900 million olive trees occupying 10 million hectares. However, the processing of 100 kg of olives leads to the production of 40 kg of wastes, mainly constituted by olive pomace, which is potentially recoverable as energetic or material source. In general, in the past 20 years, the exploitation of olive pomace has increased, but along with it, the need for further information about its chemical-physical characterization and the related hazard in industry. Thus, a risk analysis assessment was conducted. When pelletized or in chunks, olive pomace does not pose any greater hazard than a pile of woody material, but when pulverized, it might become dangerous. Two parallel series of experiments were carried out at Dalhousie University (Lab 1) and at Polytechnic of Turin (Lab 2) using the same olive pomace sample, according to slightly different experimental procedures. Olive pomace dust explosibility and flammability parameters were measured: minimum ignition energy (MIE), minimum ignition temperature (MIT), maximum pressure rise rate ((dP/dt)max and KSt), maximum pressure (Pmax), and minimum explosible concentration (MEC). Moreover, the chemical and physical characterization of olive pomace was carried out: moisture content, particle size analysis, Scanning Electronic Microscope (SEM) investigation, thermo-gravimetric analysis (TGA), solid-state Nuclear Magnetic Resonance (NMR), mass spectrometry, calorific value, and bulk density estimation. Different thermal behaviors were observed according to the sieving/grinding pre-treatment. As concern flammability tests, samples seemed not to be sensitive to electric arc ignition (a value of MIE could not be measured), while coarser samples demonstrated higher ignition sensitivity to hot environment sources (MIT furnace) than finer ones. On the other hand, explosion violence parameters were enhanced by decreasing the particle size, while peak pressures were significantly influenced by the heat of combustion and the moisture content. Finally, a new test was developed to quantify the propensity of the raw material to produce fines by abrasion. It is defined “Abrasion by Rolling Test” (ART). The properties of the fines produced were measured as well.","author":[{"dropping-particle":"","family":"Pietraccini","given":"Matteo","non-dropping-particle":"","parse-names":false,"suffix":""},{"dropping-particle":"","family":"Danzi","given":"Enrico","non-dropping-particle":"","parse-names":false,"suffix":""},{"dropping-particle":"","family":"Marmo","given":"Luca","non-dropping-particle":"","parse-names":false,"suffix":""},{"dropping-particle":"","family":"Addo","given":"Albert","non-dropping-particle":"","parse-names":false,"suffix":""},{"dropping-particle":"","family":"Amyotte","given":"Paul","non-dropping-particle":"","parse-names":false,"suffix":""}],"container-title":"Journal of Loss Prevention in the Process Industries","id":"ITEM-1","issued":{"date-parts":[["2021"]]},"page":"104423","title":"Effect of particle size distribution, drying and milling technique on explosibility behavior of olive pomace waste","type":"article-journal","volume":"71"},"uris":["http://www.mendeley.com/documents/?uuid=15688500-ed2f-4ca9-be97-f4bf56a59d8a"]}],"mendeley":{"formattedCitation":"[120]","plainTextFormattedCitation":"[120]","previouslyFormattedCitation":"[120]"},"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[120]</w:t>
            </w:r>
            <w:r w:rsidRPr="00DB19C7">
              <w:rPr>
                <w:color w:val="auto"/>
                <w:sz w:val="18"/>
                <w:szCs w:val="18"/>
                <w:lang w:eastAsia="en-GB" w:bidi="ar-SA"/>
              </w:rPr>
              <w:fldChar w:fldCharType="end"/>
            </w:r>
          </w:p>
        </w:tc>
      </w:tr>
      <w:tr w:rsidR="00DB19C7" w:rsidRPr="00DB19C7" w14:paraId="45E9BB43" w14:textId="026E150E"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61EA0FB5"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27</w:t>
            </w:r>
          </w:p>
        </w:tc>
        <w:tc>
          <w:tcPr>
            <w:tcW w:w="1746" w:type="dxa"/>
            <w:tcBorders>
              <w:top w:val="nil"/>
              <w:left w:val="nil"/>
              <w:bottom w:val="single" w:sz="4" w:space="0" w:color="auto"/>
              <w:right w:val="single" w:sz="4" w:space="0" w:color="auto"/>
            </w:tcBorders>
            <w:shd w:val="clear" w:color="auto" w:fill="auto"/>
            <w:noWrap/>
            <w:vAlign w:val="center"/>
            <w:hideMark/>
          </w:tcPr>
          <w:p w14:paraId="6B6988D7"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 xml:space="preserve">Olive pomace pellets, fraction 425-212 </w:t>
            </w:r>
            <w:proofErr w:type="spellStart"/>
            <w:r w:rsidRPr="00DB19C7">
              <w:rPr>
                <w:color w:val="auto"/>
                <w:sz w:val="18"/>
                <w:szCs w:val="18"/>
                <w:lang w:eastAsia="en-GB" w:bidi="ar-SA"/>
              </w:rPr>
              <w:t>μm</w:t>
            </w:r>
            <w:proofErr w:type="spellEnd"/>
          </w:p>
        </w:tc>
        <w:tc>
          <w:tcPr>
            <w:tcW w:w="767" w:type="dxa"/>
            <w:tcBorders>
              <w:top w:val="nil"/>
              <w:left w:val="nil"/>
              <w:bottom w:val="single" w:sz="4" w:space="0" w:color="auto"/>
              <w:right w:val="single" w:sz="4" w:space="0" w:color="auto"/>
            </w:tcBorders>
            <w:shd w:val="clear" w:color="auto" w:fill="auto"/>
            <w:noWrap/>
            <w:vAlign w:val="center"/>
            <w:hideMark/>
          </w:tcPr>
          <w:p w14:paraId="4AB3842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162</w:t>
            </w:r>
          </w:p>
        </w:tc>
        <w:tc>
          <w:tcPr>
            <w:tcW w:w="767" w:type="dxa"/>
            <w:tcBorders>
              <w:top w:val="nil"/>
              <w:left w:val="nil"/>
              <w:bottom w:val="single" w:sz="4" w:space="0" w:color="auto"/>
              <w:right w:val="single" w:sz="4" w:space="0" w:color="auto"/>
            </w:tcBorders>
            <w:shd w:val="clear" w:color="auto" w:fill="auto"/>
            <w:noWrap/>
            <w:vAlign w:val="center"/>
            <w:hideMark/>
          </w:tcPr>
          <w:p w14:paraId="63E0F91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388</w:t>
            </w:r>
          </w:p>
        </w:tc>
        <w:tc>
          <w:tcPr>
            <w:tcW w:w="1018" w:type="dxa"/>
            <w:tcBorders>
              <w:top w:val="nil"/>
              <w:left w:val="nil"/>
              <w:bottom w:val="single" w:sz="4" w:space="0" w:color="auto"/>
              <w:right w:val="single" w:sz="4" w:space="0" w:color="auto"/>
            </w:tcBorders>
            <w:shd w:val="clear" w:color="auto" w:fill="auto"/>
            <w:noWrap/>
            <w:vAlign w:val="center"/>
            <w:hideMark/>
          </w:tcPr>
          <w:p w14:paraId="48C016E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615</w:t>
            </w:r>
          </w:p>
        </w:tc>
        <w:tc>
          <w:tcPr>
            <w:tcW w:w="1096" w:type="dxa"/>
            <w:tcBorders>
              <w:top w:val="nil"/>
              <w:left w:val="nil"/>
              <w:bottom w:val="single" w:sz="4" w:space="0" w:color="auto"/>
              <w:right w:val="single" w:sz="4" w:space="0" w:color="auto"/>
            </w:tcBorders>
            <w:shd w:val="clear" w:color="auto" w:fill="auto"/>
            <w:noWrap/>
            <w:vAlign w:val="center"/>
            <w:hideMark/>
          </w:tcPr>
          <w:p w14:paraId="0C3AB2CC" w14:textId="3124CB62"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42E9F5A8" w14:textId="43D6F830"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2481F4B1" w14:textId="28FC16EA"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2894E8CB" w14:textId="6A07E1CD"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73B379F3"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 - SEM</w:t>
            </w:r>
          </w:p>
        </w:tc>
        <w:tc>
          <w:tcPr>
            <w:tcW w:w="567" w:type="dxa"/>
            <w:tcBorders>
              <w:top w:val="nil"/>
              <w:left w:val="nil"/>
              <w:bottom w:val="single" w:sz="4" w:space="0" w:color="auto"/>
              <w:right w:val="single" w:sz="4" w:space="0" w:color="auto"/>
            </w:tcBorders>
            <w:shd w:val="clear" w:color="auto" w:fill="auto"/>
            <w:noWrap/>
            <w:vAlign w:val="center"/>
            <w:hideMark/>
          </w:tcPr>
          <w:p w14:paraId="475A670C" w14:textId="4B6E6AA9"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7230164A"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39D41A68"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0.60</w:t>
            </w:r>
          </w:p>
        </w:tc>
        <w:tc>
          <w:tcPr>
            <w:tcW w:w="737" w:type="dxa"/>
            <w:tcBorders>
              <w:top w:val="nil"/>
              <w:left w:val="nil"/>
              <w:bottom w:val="single" w:sz="4" w:space="0" w:color="auto"/>
              <w:right w:val="single" w:sz="4" w:space="0" w:color="auto"/>
            </w:tcBorders>
            <w:shd w:val="clear" w:color="auto" w:fill="auto"/>
            <w:noWrap/>
            <w:vAlign w:val="center"/>
            <w:hideMark/>
          </w:tcPr>
          <w:p w14:paraId="1905D5A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66</w:t>
            </w:r>
          </w:p>
        </w:tc>
        <w:tc>
          <w:tcPr>
            <w:tcW w:w="737" w:type="dxa"/>
            <w:tcBorders>
              <w:top w:val="nil"/>
              <w:left w:val="nil"/>
              <w:bottom w:val="single" w:sz="4" w:space="0" w:color="auto"/>
              <w:right w:val="single" w:sz="4" w:space="0" w:color="auto"/>
            </w:tcBorders>
            <w:shd w:val="clear" w:color="auto" w:fill="auto"/>
            <w:noWrap/>
            <w:vAlign w:val="center"/>
            <w:hideMark/>
          </w:tcPr>
          <w:p w14:paraId="0FE17721"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8.5</w:t>
            </w:r>
          </w:p>
        </w:tc>
        <w:tc>
          <w:tcPr>
            <w:tcW w:w="737" w:type="dxa"/>
            <w:tcBorders>
              <w:top w:val="nil"/>
              <w:left w:val="nil"/>
              <w:bottom w:val="single" w:sz="4" w:space="0" w:color="auto"/>
              <w:right w:val="single" w:sz="4" w:space="0" w:color="auto"/>
            </w:tcBorders>
            <w:shd w:val="clear" w:color="auto" w:fill="auto"/>
            <w:noWrap/>
            <w:vAlign w:val="center"/>
            <w:hideMark/>
          </w:tcPr>
          <w:p w14:paraId="57A3E735"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25.5</w:t>
            </w:r>
          </w:p>
        </w:tc>
        <w:tc>
          <w:tcPr>
            <w:tcW w:w="617" w:type="dxa"/>
            <w:tcBorders>
              <w:top w:val="single" w:sz="4" w:space="0" w:color="auto"/>
              <w:left w:val="nil"/>
              <w:bottom w:val="single" w:sz="4" w:space="0" w:color="auto"/>
              <w:right w:val="single" w:sz="4" w:space="0" w:color="auto"/>
            </w:tcBorders>
            <w:vAlign w:val="center"/>
          </w:tcPr>
          <w:p w14:paraId="69CE9788" w14:textId="6ACDD2A3"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{"citationItems":[{"id":"ITEM-1","itemData":{"DOI":"10.1016/j.jlp.2021.104423","ISSN":"0950-4230","abstract":"The Mediterranean area is responsible for about 98% of the olive oil worldwide production, with 900 million olive trees occupying 10 million hectares. However, the processing of 100 kg of olives leads to the production of 40 kg of wastes, mainly constituted by olive pomace, which is potentially recoverable as energetic or material source. In general, in the past 20 years, the exploitation of olive pomace has increased, but along with it, the need for further information about its chemical-physical characterization and the related hazard in industry. Thus, a risk analysis assessment was conducted. When pelletized or in chunks, olive pomace does not pose any greater hazard than a pile of woody material, but when pulverized, it might become dangerous. Two parallel series of experiments were carried out at Dalhousie University (Lab 1) and at Polytechnic of Turin (Lab 2) using the same olive pomace sample, according to slightly different experimental procedures. Olive pomace dust explosibility and flammability parameters were measured: minimum ignition energy (MIE), minimum ignition temperature (MIT), maximum pressure rise rate ((dP/dt)max and KSt), maximum pressure (Pmax), and minimum explosible concentration (MEC). Moreover, the chemical and physical characterization of olive pomace was carried out: moisture content, particle size analysis, Scanning Electronic Microscope (SEM) investigation, thermo-gravimetric analysis (TGA), solid-state Nuclear Magnetic Resonance (NMR), mass spectrometry, calorific value, and bulk density estimation. Different thermal behaviors were observed according to the sieving/grinding pre-treatment. As concern flammability tests, samples seemed not to be sensitive to electric arc ignition (a value of MIE could not be measured), while coarser samples demonstrated higher ignition sensitivity to hot environment sources (MIT furnace) than finer ones. On the other hand, explosion violence parameters were enhanced by decreasing the particle size, while peak pressures were significantly influenced by the heat of combustion and the moisture content. Finally, a new test was developed to quantify the propensity of the raw material to produce fines by abrasion. It is defined “Abrasion by Rolling Test” (ART). The properties of the fines produced were measured as well.","author":[{"dropping-particle":"","family":"Pietraccini","given":"Matteo","non-dropping-particle":"","parse-names":false,"suffix":""},{"dropping-particle":"","family":"Danzi","given":"Enrico","non-dropping-particle":"","parse-names":false,"suffix":""},{"dropping-particle":"","family":"Marmo","given":"Luca","non-dropping-particle":"","parse-names":false,"suffix":""},{"dropping-particle":"","family":"Addo","given":"Albert","non-dropping-particle":"","parse-names":false,"suffix":""},{"dropping-particle":"","family":"Amyotte","given":"Paul","non-dropping-particle":"","parse-names":false,"suffix":""}],"container-title":"Journal of Loss Prevention in the Process Industries","id":"ITEM-1","issued":{"date-parts":[["2021"]]},"page":"104423","title":"Effect of particle size distribution, drying and milling technique on explosibility behavior of olive pomace waste","type":"article-journal","volume":"71"},"uris":["http://www.mendeley.com/documents/?uuid=15688500-ed2f-4ca9-be97-f4bf56a59d8a"]}],"mendeley":{"formattedCitation":"[120]","plainTextFormattedCitation":"[120]","previouslyFormattedCitation":"[120]"},"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[120]</w:t>
            </w:r>
            <w:r w:rsidRPr="00DB19C7">
              <w:rPr>
                <w:color w:val="auto"/>
                <w:sz w:val="18"/>
                <w:szCs w:val="18"/>
                <w:lang w:eastAsia="en-GB" w:bidi="ar-SA"/>
              </w:rPr>
              <w:fldChar w:fldCharType="end"/>
            </w:r>
          </w:p>
        </w:tc>
      </w:tr>
      <w:tr w:rsidR="00DB19C7" w:rsidRPr="00DB19C7" w14:paraId="79B9F92F" w14:textId="7C9A0963"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32C1DF78"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28</w:t>
            </w:r>
          </w:p>
        </w:tc>
        <w:tc>
          <w:tcPr>
            <w:tcW w:w="1746" w:type="dxa"/>
            <w:tcBorders>
              <w:top w:val="nil"/>
              <w:left w:val="nil"/>
              <w:bottom w:val="single" w:sz="4" w:space="0" w:color="auto"/>
              <w:right w:val="single" w:sz="4" w:space="0" w:color="auto"/>
            </w:tcBorders>
            <w:shd w:val="clear" w:color="auto" w:fill="auto"/>
            <w:noWrap/>
            <w:vAlign w:val="center"/>
            <w:hideMark/>
          </w:tcPr>
          <w:p w14:paraId="52A6C82C"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 xml:space="preserve">Olive pomace pellets, fraction 75-45 </w:t>
            </w:r>
            <w:proofErr w:type="spellStart"/>
            <w:r w:rsidRPr="00DB19C7">
              <w:rPr>
                <w:color w:val="auto"/>
                <w:sz w:val="18"/>
                <w:szCs w:val="18"/>
                <w:lang w:eastAsia="en-GB" w:bidi="ar-SA"/>
              </w:rPr>
              <w:t>μm</w:t>
            </w:r>
            <w:proofErr w:type="spellEnd"/>
          </w:p>
        </w:tc>
        <w:tc>
          <w:tcPr>
            <w:tcW w:w="767" w:type="dxa"/>
            <w:tcBorders>
              <w:top w:val="nil"/>
              <w:left w:val="nil"/>
              <w:bottom w:val="single" w:sz="4" w:space="0" w:color="auto"/>
              <w:right w:val="single" w:sz="4" w:space="0" w:color="auto"/>
            </w:tcBorders>
            <w:shd w:val="clear" w:color="auto" w:fill="auto"/>
            <w:noWrap/>
            <w:vAlign w:val="center"/>
            <w:hideMark/>
          </w:tcPr>
          <w:p w14:paraId="635A280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19</w:t>
            </w:r>
          </w:p>
        </w:tc>
        <w:tc>
          <w:tcPr>
            <w:tcW w:w="767" w:type="dxa"/>
            <w:tcBorders>
              <w:top w:val="nil"/>
              <w:left w:val="nil"/>
              <w:bottom w:val="single" w:sz="4" w:space="0" w:color="auto"/>
              <w:right w:val="single" w:sz="4" w:space="0" w:color="auto"/>
            </w:tcBorders>
            <w:shd w:val="clear" w:color="auto" w:fill="auto"/>
            <w:noWrap/>
            <w:vAlign w:val="center"/>
            <w:hideMark/>
          </w:tcPr>
          <w:p w14:paraId="14BFACC1"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62</w:t>
            </w:r>
          </w:p>
        </w:tc>
        <w:tc>
          <w:tcPr>
            <w:tcW w:w="1018" w:type="dxa"/>
            <w:tcBorders>
              <w:top w:val="nil"/>
              <w:left w:val="nil"/>
              <w:bottom w:val="single" w:sz="4" w:space="0" w:color="auto"/>
              <w:right w:val="single" w:sz="4" w:space="0" w:color="auto"/>
            </w:tcBorders>
            <w:shd w:val="clear" w:color="auto" w:fill="auto"/>
            <w:noWrap/>
            <w:vAlign w:val="center"/>
            <w:hideMark/>
          </w:tcPr>
          <w:p w14:paraId="185331C5"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117</w:t>
            </w:r>
          </w:p>
        </w:tc>
        <w:tc>
          <w:tcPr>
            <w:tcW w:w="1096" w:type="dxa"/>
            <w:tcBorders>
              <w:top w:val="nil"/>
              <w:left w:val="nil"/>
              <w:bottom w:val="single" w:sz="4" w:space="0" w:color="auto"/>
              <w:right w:val="single" w:sz="4" w:space="0" w:color="auto"/>
            </w:tcBorders>
            <w:shd w:val="clear" w:color="auto" w:fill="auto"/>
            <w:noWrap/>
            <w:vAlign w:val="center"/>
            <w:hideMark/>
          </w:tcPr>
          <w:p w14:paraId="4AA91B3F" w14:textId="40229E1E"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54872111" w14:textId="65FEB287"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5F0C7991" w14:textId="7713DCC6"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7CA09B32" w14:textId="5009A22C"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386EC01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 - SEM</w:t>
            </w:r>
          </w:p>
        </w:tc>
        <w:tc>
          <w:tcPr>
            <w:tcW w:w="567" w:type="dxa"/>
            <w:tcBorders>
              <w:top w:val="nil"/>
              <w:left w:val="nil"/>
              <w:bottom w:val="single" w:sz="4" w:space="0" w:color="auto"/>
              <w:right w:val="single" w:sz="4" w:space="0" w:color="auto"/>
            </w:tcBorders>
            <w:shd w:val="clear" w:color="auto" w:fill="auto"/>
            <w:noWrap/>
            <w:vAlign w:val="center"/>
            <w:hideMark/>
          </w:tcPr>
          <w:p w14:paraId="0BCC97DD" w14:textId="1C9F50C5"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42EABAC6"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420C0E54"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1.00</w:t>
            </w:r>
          </w:p>
        </w:tc>
        <w:tc>
          <w:tcPr>
            <w:tcW w:w="737" w:type="dxa"/>
            <w:tcBorders>
              <w:top w:val="nil"/>
              <w:left w:val="nil"/>
              <w:bottom w:val="single" w:sz="4" w:space="0" w:color="auto"/>
              <w:right w:val="single" w:sz="4" w:space="0" w:color="auto"/>
            </w:tcBorders>
            <w:shd w:val="clear" w:color="auto" w:fill="auto"/>
            <w:noWrap/>
            <w:vAlign w:val="center"/>
            <w:hideMark/>
          </w:tcPr>
          <w:p w14:paraId="638E8288"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76</w:t>
            </w:r>
          </w:p>
        </w:tc>
        <w:tc>
          <w:tcPr>
            <w:tcW w:w="737" w:type="dxa"/>
            <w:tcBorders>
              <w:top w:val="nil"/>
              <w:left w:val="nil"/>
              <w:bottom w:val="single" w:sz="4" w:space="0" w:color="auto"/>
              <w:right w:val="single" w:sz="4" w:space="0" w:color="auto"/>
            </w:tcBorders>
            <w:shd w:val="clear" w:color="auto" w:fill="auto"/>
            <w:noWrap/>
            <w:vAlign w:val="center"/>
            <w:hideMark/>
          </w:tcPr>
          <w:p w14:paraId="6D328953"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10.7</w:t>
            </w:r>
          </w:p>
        </w:tc>
        <w:tc>
          <w:tcPr>
            <w:tcW w:w="737" w:type="dxa"/>
            <w:tcBorders>
              <w:top w:val="nil"/>
              <w:left w:val="nil"/>
              <w:bottom w:val="single" w:sz="4" w:space="0" w:color="auto"/>
              <w:right w:val="single" w:sz="4" w:space="0" w:color="auto"/>
            </w:tcBorders>
            <w:shd w:val="clear" w:color="auto" w:fill="auto"/>
            <w:noWrap/>
            <w:vAlign w:val="center"/>
            <w:hideMark/>
          </w:tcPr>
          <w:p w14:paraId="46CB20E6"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13.3</w:t>
            </w:r>
          </w:p>
        </w:tc>
        <w:tc>
          <w:tcPr>
            <w:tcW w:w="617" w:type="dxa"/>
            <w:tcBorders>
              <w:top w:val="single" w:sz="4" w:space="0" w:color="auto"/>
              <w:left w:val="nil"/>
              <w:bottom w:val="single" w:sz="4" w:space="0" w:color="auto"/>
              <w:right w:val="single" w:sz="4" w:space="0" w:color="auto"/>
            </w:tcBorders>
            <w:vAlign w:val="center"/>
          </w:tcPr>
          <w:p w14:paraId="6E36C1A1" w14:textId="75169D90"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{"citationItems":[{"id":"ITEM-1","itemData":{"DOI":"10.1016/j.jlp.2021.104423","ISSN":"0950-4230","abstract":"The Mediterranean area is responsible for about 98% of the olive oil worldwide production, with 900 million olive trees occupying 10 million hectares. However, the processing of 100 kg of olives leads to the production of 40 kg of wastes, mainly constituted by olive pomace, which is potentially recoverable as energetic or material source. In general, in the past 20 years, the exploitation of olive pomace has increased, but along with it, the need for further information about its chemical-physical characterization and the related hazard in industry. Thus, a risk analysis assessment was conducted. When pelletized or in chunks, olive pomace does not pose any greater hazard than a pile of woody material, but when pulverized, it might become dangerous. Two parallel series of experiments were carried out at Dalhousie University (Lab 1) and at Polytechnic of Turin (Lab 2) using the same olive pomace sample, according to slightly different experimental procedures. Olive pomace dust explosibility and flammability parameters were measured: minimum ignition energy (MIE), minimum ignition temperature (MIT), maximum pressure rise rate ((dP/dt)max and KSt), maximum pressure (Pmax), and minimum explosible concentration (MEC). Moreover, the chemical and physical characterization of olive pomace was carried out: moisture content, particle size analysis, Scanning Electronic Microscope (SEM) investigation, thermo-gravimetric analysis (TGA), solid-state Nuclear Magnetic Resonance (NMR), mass spectrometry, calorific value, and bulk density estimation. Different thermal behaviors were observed according to the sieving/grinding pre-treatment. As concern flammability tests, samples seemed not to be sensitive to electric arc ignition (a value of MIE could not be measured), while coarser samples demonstrated higher ignition sensitivity to hot environment sources (MIT furnace) than finer ones. On the other hand, explosion violence parameters were enhanced by decreasing the particle size, while peak pressures were significantly influenced by the heat of combustion and the moisture content. Finally, a new test was developed to quantify the propensity of the raw material to produce fines by abrasion. It is defined “Abrasion by Rolling Test” (ART). The properties of the fines produced were measured as well.","author":[{"dropping-particle":"","family":"Pietraccini","given":"Matteo","non-dropping-particle":"","parse-names":false,"suffix":""},{"dropping-particle":"","family":"Danzi","given":"Enrico","non-dropping-particle":"","parse-names":false,"suffix":""},{"dropping-particle":"","family":"Marmo","given":"Luca","non-dropping-particle":"","parse-names":false,"suffix":""},{"dropping-particle":"","family":"Addo","given":"Albert","non-dropping-particle":"","parse-names":false,"suffix":""},{"dropping-particle":"","family":"Amyotte","given":"Paul","non-dropping-particle":"","parse-names":false,"suffix":""}],"container-title":"Journal of Loss Prevention in the Process Industries","id":"ITEM-1","issued":{"date-parts":[["2021"]]},"page":"104423","title":"Effect of particle size distribution, drying and milling technique on explosibility behavior of olive pomace waste","type":"article-journal","volume":"71"},"uris":["http://www.mendeley.com/documents/?uuid=15688500-ed2f-4ca9-be97-f4bf56a59d8a"]}],"mendeley":{"formattedCitation":"[120]","plainTextFormattedCitation":"[120]","previouslyFormattedCitation":"[120]"},"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[120]</w:t>
            </w:r>
            <w:r w:rsidRPr="00DB19C7">
              <w:rPr>
                <w:color w:val="auto"/>
                <w:sz w:val="18"/>
                <w:szCs w:val="18"/>
                <w:lang w:eastAsia="en-GB" w:bidi="ar-SA"/>
              </w:rPr>
              <w:fldChar w:fldCharType="end"/>
            </w:r>
          </w:p>
        </w:tc>
      </w:tr>
      <w:tr w:rsidR="00DB19C7" w:rsidRPr="00DB19C7" w14:paraId="0E23B0D4" w14:textId="5884A9A5"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6E9973E9"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29</w:t>
            </w:r>
          </w:p>
        </w:tc>
        <w:tc>
          <w:tcPr>
            <w:tcW w:w="1746" w:type="dxa"/>
            <w:tcBorders>
              <w:top w:val="nil"/>
              <w:left w:val="nil"/>
              <w:bottom w:val="single" w:sz="4" w:space="0" w:color="auto"/>
              <w:right w:val="single" w:sz="4" w:space="0" w:color="auto"/>
            </w:tcBorders>
            <w:shd w:val="clear" w:color="auto" w:fill="auto"/>
            <w:noWrap/>
            <w:vAlign w:val="center"/>
            <w:hideMark/>
          </w:tcPr>
          <w:p w14:paraId="1000AAF5"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Orange peel</w:t>
            </w:r>
          </w:p>
        </w:tc>
        <w:tc>
          <w:tcPr>
            <w:tcW w:w="767" w:type="dxa"/>
            <w:tcBorders>
              <w:top w:val="nil"/>
              <w:left w:val="nil"/>
              <w:bottom w:val="single" w:sz="4" w:space="0" w:color="auto"/>
              <w:right w:val="single" w:sz="4" w:space="0" w:color="auto"/>
            </w:tcBorders>
            <w:shd w:val="clear" w:color="auto" w:fill="auto"/>
            <w:noWrap/>
            <w:vAlign w:val="center"/>
            <w:hideMark/>
          </w:tcPr>
          <w:p w14:paraId="04AB2F7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62.4</w:t>
            </w:r>
          </w:p>
        </w:tc>
        <w:tc>
          <w:tcPr>
            <w:tcW w:w="767" w:type="dxa"/>
            <w:tcBorders>
              <w:top w:val="nil"/>
              <w:left w:val="nil"/>
              <w:bottom w:val="single" w:sz="4" w:space="0" w:color="auto"/>
              <w:right w:val="single" w:sz="4" w:space="0" w:color="auto"/>
            </w:tcBorders>
            <w:shd w:val="clear" w:color="auto" w:fill="auto"/>
            <w:noWrap/>
            <w:vAlign w:val="center"/>
            <w:hideMark/>
          </w:tcPr>
          <w:p w14:paraId="3649372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226.6</w:t>
            </w:r>
          </w:p>
        </w:tc>
        <w:tc>
          <w:tcPr>
            <w:tcW w:w="1018" w:type="dxa"/>
            <w:tcBorders>
              <w:top w:val="nil"/>
              <w:left w:val="nil"/>
              <w:bottom w:val="single" w:sz="4" w:space="0" w:color="auto"/>
              <w:right w:val="single" w:sz="4" w:space="0" w:color="auto"/>
            </w:tcBorders>
            <w:shd w:val="clear" w:color="auto" w:fill="auto"/>
            <w:noWrap/>
            <w:vAlign w:val="center"/>
            <w:hideMark/>
          </w:tcPr>
          <w:p w14:paraId="31D6D413"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549.7</w:t>
            </w:r>
          </w:p>
        </w:tc>
        <w:tc>
          <w:tcPr>
            <w:tcW w:w="1096" w:type="dxa"/>
            <w:tcBorders>
              <w:top w:val="nil"/>
              <w:left w:val="nil"/>
              <w:bottom w:val="single" w:sz="4" w:space="0" w:color="auto"/>
              <w:right w:val="single" w:sz="4" w:space="0" w:color="auto"/>
            </w:tcBorders>
            <w:shd w:val="clear" w:color="auto" w:fill="auto"/>
            <w:noWrap/>
            <w:vAlign w:val="center"/>
            <w:hideMark/>
          </w:tcPr>
          <w:p w14:paraId="1992BA1E" w14:textId="50629E6F"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2CFAC2E1" w14:textId="26EA66CA"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2B12EB23" w14:textId="09762954"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0FD35670" w14:textId="151C3C1B"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39A7CD6C"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567" w:type="dxa"/>
            <w:tcBorders>
              <w:top w:val="nil"/>
              <w:left w:val="nil"/>
              <w:bottom w:val="single" w:sz="4" w:space="0" w:color="auto"/>
              <w:right w:val="single" w:sz="4" w:space="0" w:color="auto"/>
            </w:tcBorders>
            <w:shd w:val="clear" w:color="auto" w:fill="auto"/>
            <w:noWrap/>
            <w:vAlign w:val="center"/>
            <w:hideMark/>
          </w:tcPr>
          <w:p w14:paraId="75806DB1"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2.15</w:t>
            </w:r>
          </w:p>
        </w:tc>
        <w:tc>
          <w:tcPr>
            <w:tcW w:w="1134" w:type="dxa"/>
            <w:tcBorders>
              <w:top w:val="nil"/>
              <w:left w:val="nil"/>
              <w:bottom w:val="single" w:sz="4" w:space="0" w:color="auto"/>
              <w:right w:val="single" w:sz="4" w:space="0" w:color="auto"/>
            </w:tcBorders>
            <w:shd w:val="clear" w:color="auto" w:fill="auto"/>
            <w:noWrap/>
            <w:vAlign w:val="center"/>
            <w:hideMark/>
          </w:tcPr>
          <w:p w14:paraId="5AFD07C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381F32A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7</w:t>
            </w:r>
          </w:p>
        </w:tc>
        <w:tc>
          <w:tcPr>
            <w:tcW w:w="737" w:type="dxa"/>
            <w:tcBorders>
              <w:top w:val="nil"/>
              <w:left w:val="nil"/>
              <w:bottom w:val="single" w:sz="4" w:space="0" w:color="auto"/>
              <w:right w:val="single" w:sz="4" w:space="0" w:color="auto"/>
            </w:tcBorders>
            <w:shd w:val="clear" w:color="auto" w:fill="auto"/>
            <w:noWrap/>
            <w:vAlign w:val="center"/>
            <w:hideMark/>
          </w:tcPr>
          <w:p w14:paraId="1FE8269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73.1</w:t>
            </w:r>
          </w:p>
        </w:tc>
        <w:tc>
          <w:tcPr>
            <w:tcW w:w="737" w:type="dxa"/>
            <w:tcBorders>
              <w:top w:val="nil"/>
              <w:left w:val="nil"/>
              <w:bottom w:val="single" w:sz="4" w:space="0" w:color="auto"/>
              <w:right w:val="single" w:sz="4" w:space="0" w:color="auto"/>
            </w:tcBorders>
            <w:shd w:val="clear" w:color="auto" w:fill="auto"/>
            <w:noWrap/>
            <w:vAlign w:val="center"/>
            <w:hideMark/>
          </w:tcPr>
          <w:p w14:paraId="281C24A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9.8</w:t>
            </w:r>
          </w:p>
        </w:tc>
        <w:tc>
          <w:tcPr>
            <w:tcW w:w="737" w:type="dxa"/>
            <w:tcBorders>
              <w:top w:val="nil"/>
              <w:left w:val="nil"/>
              <w:bottom w:val="single" w:sz="4" w:space="0" w:color="auto"/>
              <w:right w:val="single" w:sz="4" w:space="0" w:color="auto"/>
            </w:tcBorders>
            <w:shd w:val="clear" w:color="auto" w:fill="auto"/>
            <w:noWrap/>
            <w:vAlign w:val="center"/>
            <w:hideMark/>
          </w:tcPr>
          <w:p w14:paraId="5AB5DE7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10.1</w:t>
            </w:r>
          </w:p>
        </w:tc>
        <w:tc>
          <w:tcPr>
            <w:tcW w:w="617" w:type="dxa"/>
            <w:tcBorders>
              <w:top w:val="single" w:sz="4" w:space="0" w:color="auto"/>
              <w:left w:val="nil"/>
              <w:bottom w:val="single" w:sz="4" w:space="0" w:color="auto"/>
              <w:right w:val="single" w:sz="4" w:space="0" w:color="auto"/>
            </w:tcBorders>
            <w:vAlign w:val="center"/>
          </w:tcPr>
          <w:p w14:paraId="3DD27B0E" w14:textId="7FA7A24F"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w:instrText>
            </w:r>
            <w:r w:rsidRPr="00DB19C7">
              <w:rPr>
                <w:color w:val="auto"/>
                <w:sz w:val="18"/>
                <w:szCs w:val="18"/>
                <w:lang w:val="it-IT" w:eastAsia="en-GB" w:bidi="ar-SA"/>
              </w:rPr>
              <w:instrText>":{"DOI":"10.1016/j.fuel.2016.07.045","ISSN":"00162361","abstract":"Biomasses are materials highly demanded nowadays for energy production. One of the main features of these materials is that they present a great variability in terms of chemical composition and physical behavior (O/C and H/C ratios, granulometric structure, ash content…). Nowadays, there is a lack of information concerning its characterization to determine its flammability and explosibility behavior. The objective of this study is to provide flammability and explosibility data as well as some parameters to assess the spontaneous combustion tendency of these products and to relate this thermal susceptibility with the composition. Initial results showed that risk assessments based on the activation energy were not effective for biomass as it is for coals, and that a greater tendency to self-ignition was observed in those biomasses having higher H/C ratios, on the contrary than in coals. This behavior can be explained because the most important stage for coals is the beginning of the self-heating reaction, which present a different resistance (activation energy) depending on its ranking, while biomasses present an initial stage easily achievable even at moderate temperatures, so the differentiation for biomasses should be found in the ability to spread this incipient reaction.","author":[{"dropping-particle":"","family":"García Torrent","given":"Javier","non-dropping-particle":"","parse-names":false,"suffix":""},{"dropping-particle":"","family":"Ramírez-Gómez","given":"Álvaro","non-dropping-particle":"","parse-names":false,"suffix":""},{"dropping-particle":"","family":"Fernandez-Anez","given":"Nieves","non-dropping-particle":"","parse-names":false,"suffix":""},{"dropping-particle":"","family":"Medic Pejic","given":"Ljiljana","non-dropping-particle":"","parse-names":false,"suffix":""},{"dropping-particle":"","family":"Tascón","given":"Alberto","non-dropping-particle":"","parse-names":false,"suffix":""}],"container-title":"Fuel","id":"ITEM-1","issued":{"date-parts":[["2016"]]},"page":"503-511","title":"Influence of the composition of solid biomass in the flammability and susceptibility to spontaneous combustion","type":"article-journal","volume":"184"},"uris":["http://www.mendeley.com/documents/?uuid=9fcb7e1d-bebe-4dfb-9ee6-81a5efa6af83"]}],"mendeley":{"formattedCitation":"[142]","plainTextFormattedCitation":"[142]","previouslyFormattedCitation":"[142]"},"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[142]</w:t>
            </w:r>
            <w:r w:rsidRPr="00DB19C7">
              <w:rPr>
                <w:color w:val="auto"/>
                <w:sz w:val="18"/>
                <w:szCs w:val="18"/>
                <w:lang w:eastAsia="en-GB" w:bidi="ar-SA"/>
              </w:rPr>
              <w:fldChar w:fldCharType="end"/>
            </w:r>
          </w:p>
        </w:tc>
      </w:tr>
      <w:tr w:rsidR="00DB19C7" w:rsidRPr="00DB19C7" w14:paraId="5F5CB0B8" w14:textId="167960D6"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0A4380B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30</w:t>
            </w:r>
          </w:p>
        </w:tc>
        <w:tc>
          <w:tcPr>
            <w:tcW w:w="1746" w:type="dxa"/>
            <w:tcBorders>
              <w:top w:val="nil"/>
              <w:left w:val="nil"/>
              <w:bottom w:val="single" w:sz="4" w:space="0" w:color="auto"/>
              <w:right w:val="single" w:sz="4" w:space="0" w:color="auto"/>
            </w:tcBorders>
            <w:shd w:val="clear" w:color="auto" w:fill="auto"/>
            <w:noWrap/>
            <w:vAlign w:val="center"/>
            <w:hideMark/>
          </w:tcPr>
          <w:p w14:paraId="5AACF1AC"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 xml:space="preserve">Peanut shell, fraction &lt; 500 </w:t>
            </w:r>
            <w:proofErr w:type="spellStart"/>
            <w:r w:rsidRPr="00DB19C7">
              <w:rPr>
                <w:color w:val="auto"/>
                <w:sz w:val="18"/>
                <w:szCs w:val="18"/>
                <w:lang w:eastAsia="en-GB" w:bidi="ar-SA"/>
              </w:rPr>
              <w:t>μm</w:t>
            </w:r>
            <w:proofErr w:type="spellEnd"/>
          </w:p>
        </w:tc>
        <w:tc>
          <w:tcPr>
            <w:tcW w:w="767" w:type="dxa"/>
            <w:tcBorders>
              <w:top w:val="nil"/>
              <w:left w:val="nil"/>
              <w:bottom w:val="single" w:sz="4" w:space="0" w:color="auto"/>
              <w:right w:val="single" w:sz="4" w:space="0" w:color="auto"/>
            </w:tcBorders>
            <w:shd w:val="clear" w:color="auto" w:fill="auto"/>
            <w:noWrap/>
            <w:vAlign w:val="center"/>
            <w:hideMark/>
          </w:tcPr>
          <w:p w14:paraId="37C0387D"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24.3</w:t>
            </w:r>
          </w:p>
        </w:tc>
        <w:tc>
          <w:tcPr>
            <w:tcW w:w="767" w:type="dxa"/>
            <w:tcBorders>
              <w:top w:val="nil"/>
              <w:left w:val="nil"/>
              <w:bottom w:val="single" w:sz="4" w:space="0" w:color="auto"/>
              <w:right w:val="single" w:sz="4" w:space="0" w:color="auto"/>
            </w:tcBorders>
            <w:shd w:val="clear" w:color="auto" w:fill="auto"/>
            <w:noWrap/>
            <w:vAlign w:val="center"/>
            <w:hideMark/>
          </w:tcPr>
          <w:p w14:paraId="6443E78E"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176.1</w:t>
            </w:r>
          </w:p>
        </w:tc>
        <w:tc>
          <w:tcPr>
            <w:tcW w:w="1018" w:type="dxa"/>
            <w:tcBorders>
              <w:top w:val="nil"/>
              <w:left w:val="nil"/>
              <w:bottom w:val="single" w:sz="4" w:space="0" w:color="auto"/>
              <w:right w:val="single" w:sz="4" w:space="0" w:color="auto"/>
            </w:tcBorders>
            <w:shd w:val="clear" w:color="auto" w:fill="auto"/>
            <w:noWrap/>
            <w:vAlign w:val="center"/>
            <w:hideMark/>
          </w:tcPr>
          <w:p w14:paraId="1C170BC1"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698.5</w:t>
            </w:r>
          </w:p>
        </w:tc>
        <w:tc>
          <w:tcPr>
            <w:tcW w:w="1096" w:type="dxa"/>
            <w:tcBorders>
              <w:top w:val="nil"/>
              <w:left w:val="nil"/>
              <w:bottom w:val="single" w:sz="4" w:space="0" w:color="auto"/>
              <w:right w:val="single" w:sz="4" w:space="0" w:color="auto"/>
            </w:tcBorders>
            <w:shd w:val="clear" w:color="auto" w:fill="auto"/>
            <w:noWrap/>
            <w:vAlign w:val="center"/>
            <w:hideMark/>
          </w:tcPr>
          <w:p w14:paraId="3B2AA46F" w14:textId="23E06FF3"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6DF30E70" w14:textId="773AA14F"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207DCFE8"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63.5</w:t>
            </w:r>
          </w:p>
        </w:tc>
        <w:tc>
          <w:tcPr>
            <w:tcW w:w="1199" w:type="dxa"/>
            <w:tcBorders>
              <w:top w:val="nil"/>
              <w:left w:val="nil"/>
              <w:bottom w:val="single" w:sz="4" w:space="0" w:color="auto"/>
              <w:right w:val="single" w:sz="4" w:space="0" w:color="auto"/>
            </w:tcBorders>
            <w:shd w:val="clear" w:color="auto" w:fill="auto"/>
            <w:noWrap/>
            <w:vAlign w:val="center"/>
            <w:hideMark/>
          </w:tcPr>
          <w:p w14:paraId="159DBC71" w14:textId="1F4B5B2C"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5F5307A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 - SEM</w:t>
            </w:r>
          </w:p>
        </w:tc>
        <w:tc>
          <w:tcPr>
            <w:tcW w:w="567" w:type="dxa"/>
            <w:tcBorders>
              <w:top w:val="nil"/>
              <w:left w:val="nil"/>
              <w:bottom w:val="single" w:sz="4" w:space="0" w:color="auto"/>
              <w:right w:val="single" w:sz="4" w:space="0" w:color="auto"/>
            </w:tcBorders>
            <w:shd w:val="clear" w:color="auto" w:fill="auto"/>
            <w:noWrap/>
            <w:vAlign w:val="center"/>
            <w:hideMark/>
          </w:tcPr>
          <w:p w14:paraId="0F587765" w14:textId="28F56A0C"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4FE9113E"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3B47502A"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7</w:t>
            </w:r>
          </w:p>
        </w:tc>
        <w:tc>
          <w:tcPr>
            <w:tcW w:w="737" w:type="dxa"/>
            <w:tcBorders>
              <w:top w:val="nil"/>
              <w:left w:val="nil"/>
              <w:bottom w:val="single" w:sz="4" w:space="0" w:color="auto"/>
              <w:right w:val="single" w:sz="4" w:space="0" w:color="auto"/>
            </w:tcBorders>
            <w:shd w:val="clear" w:color="auto" w:fill="auto"/>
            <w:noWrap/>
            <w:vAlign w:val="center"/>
            <w:hideMark/>
          </w:tcPr>
          <w:p w14:paraId="39DB3087" w14:textId="59E9DBAC"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 xml:space="preserve">78.1 </w:t>
            </w:r>
            <w:r w:rsidRPr="00DB19C7">
              <w:rPr>
                <w:color w:val="auto"/>
                <w:vertAlign w:val="superscript"/>
              </w:rPr>
              <w:t>d</w:t>
            </w:r>
            <w:r w:rsidRPr="00DB19C7">
              <w:rPr>
                <w:color w:val="auto"/>
                <w:sz w:val="18"/>
                <w:szCs w:val="18"/>
                <w:lang w:eastAsia="en-GB" w:bidi="ar-SA"/>
              </w:rPr>
              <w:t xml:space="preserve"> </w:t>
            </w:r>
          </w:p>
        </w:tc>
        <w:tc>
          <w:tcPr>
            <w:tcW w:w="737" w:type="dxa"/>
            <w:tcBorders>
              <w:top w:val="nil"/>
              <w:left w:val="nil"/>
              <w:bottom w:val="single" w:sz="4" w:space="0" w:color="auto"/>
              <w:right w:val="single" w:sz="4" w:space="0" w:color="auto"/>
            </w:tcBorders>
            <w:shd w:val="clear" w:color="auto" w:fill="auto"/>
            <w:noWrap/>
            <w:vAlign w:val="center"/>
            <w:hideMark/>
          </w:tcPr>
          <w:p w14:paraId="28E179A5" w14:textId="645FCBD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8</w:t>
            </w:r>
          </w:p>
        </w:tc>
        <w:tc>
          <w:tcPr>
            <w:tcW w:w="737" w:type="dxa"/>
            <w:tcBorders>
              <w:top w:val="nil"/>
              <w:left w:val="nil"/>
              <w:bottom w:val="single" w:sz="4" w:space="0" w:color="auto"/>
              <w:right w:val="single" w:sz="4" w:space="0" w:color="auto"/>
            </w:tcBorders>
            <w:shd w:val="clear" w:color="auto" w:fill="auto"/>
            <w:noWrap/>
            <w:vAlign w:val="center"/>
            <w:hideMark/>
          </w:tcPr>
          <w:p w14:paraId="6D04772B" w14:textId="2A0E8FDC"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 xml:space="preserve">21.9 </w:t>
            </w:r>
            <w:r w:rsidRPr="00DB19C7">
              <w:rPr>
                <w:color w:val="auto"/>
                <w:vertAlign w:val="superscript"/>
              </w:rPr>
              <w:t>d</w:t>
            </w:r>
          </w:p>
        </w:tc>
        <w:tc>
          <w:tcPr>
            <w:tcW w:w="617" w:type="dxa"/>
            <w:tcBorders>
              <w:top w:val="single" w:sz="4" w:space="0" w:color="auto"/>
              <w:left w:val="nil"/>
              <w:bottom w:val="single" w:sz="4" w:space="0" w:color="auto"/>
              <w:right w:val="single" w:sz="4" w:space="0" w:color="auto"/>
            </w:tcBorders>
            <w:vAlign w:val="center"/>
          </w:tcPr>
          <w:p w14:paraId="59D9A4B1" w14:textId="5D0A9A6C"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{"citationItems":[{"id":"ITEM-1","itemData":{"DOI":"10.1016/J.JLP.2017.03.027","ISSN":"0950-4230","abstract":"Power generation using waste material from the processing of agricultural crops can be a viable biomass energy source. However, there is scant data on their burning properties and this work presents flame speed and explosibility data for two agricultural waste materials: corn cobs (CC) and peanut shells (PS). The parameters were measured on the modified 1 m3 dust explosion equipment. Two coarse size fractions of corn cobs and peanut shells of size less than 500 μm were tested using the Leeds 1 m3 vessel and were compared with two pulverized coal samples. This is typical of the size fraction used in pulverized coal power stations and of pulverized biomass currently used in power generation. The explosion parameters minimum explosible concentration (MEC), rate of pressure rise (dP/dt), deflagration index (Kst), peak to initial pressure rise (Pm/Pi), turbulent and laminar flame speeds were determined using a calibrated hemispherical disperser in the 1 m3 vessel. MEC were measured in the range of 0.6–0.85 (based on 0% ignition probability) in terms of burnt equivalence ratio, Øburnt, which were comparable to the coal samples. The measured Kst (25–60 bar m/s) and turbulent flame speeds (</w:instrText>
            </w:r>
            <w:r w:rsidRPr="00DB19C7">
              <w:rPr>
                <w:rFonts w:ascii="Cambria Math" w:hAnsi="Cambria Math" w:cs="Cambria Math"/>
                <w:color w:val="auto"/>
                <w:sz w:val="18"/>
                <w:szCs w:val="18"/>
                <w:lang w:eastAsia="en-GB" w:bidi="ar-SA"/>
              </w:rPr>
              <w:instrText>∼</w:instrText>
            </w:r>
            <w:r w:rsidRPr="00DB19C7">
              <w:rPr>
                <w:color w:val="auto"/>
                <w:sz w:val="18"/>
                <w:szCs w:val="18"/>
                <w:lang w:eastAsia="en-GB" w:bidi="ar-SA"/>
              </w:rPr>
              <w:instrText>1.3 m/s) were lower than for coal, which was a reflection of the lower calorific value. These results showed that these crop residues are technically feasible power plant fuels to burn alongside coal or as a renewable biofuel on their own.","author":[{"dropping-particle":"","family":"Saeed","given":"Muhammad Azam","non-dropping-particle":"","parse-names":false,"suffix":""},{"dropping-particle":"","family":"Andrews","given":"Gordon E.","non-dropping-particle":"","parse-names":false,"suffix":""},{"dropping-particle":"","family":"Phylaktou","given":"Herodotos N.","non-dropping-particle":"","parse-names":false,"suffix":""},{"dropping-particle":"","family":"Gibbs","given":"Bernard M.","non-dropping-particle":"","parse-names":false,"suffix":""}],"container-title":"Journal of Loss Prevention in the Process Industries","id":"ITEM-1","issued":{"date-parts":[["2017","9","1"]]},"page":"880-887","publisher":"Elsevier","title":"Flame speed and Kst reactivity data for pulverised corn cobs and peanut shells","type":"article-journal","volume":"49"},"uris":["http://www.mendeley.com/documents/?uuid=5e4e6052-43cb-3b29-9e3b-dedf6394b7ea"]}],"mendeley":{"formattedCitation":"[107]","plainTextFormattedCitation":"[107]","previouslyFormattedCitation":"[107]"},"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[107]</w:t>
            </w:r>
            <w:r w:rsidRPr="00DB19C7">
              <w:rPr>
                <w:color w:val="auto"/>
                <w:sz w:val="18"/>
                <w:szCs w:val="18"/>
                <w:lang w:eastAsia="en-GB" w:bidi="ar-SA"/>
              </w:rPr>
              <w:fldChar w:fldCharType="end"/>
            </w:r>
          </w:p>
        </w:tc>
      </w:tr>
      <w:tr w:rsidR="00DB19C7" w:rsidRPr="00DB19C7" w14:paraId="1FEE5508" w14:textId="01BA5BE6"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01F465AE"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31</w:t>
            </w:r>
          </w:p>
        </w:tc>
        <w:tc>
          <w:tcPr>
            <w:tcW w:w="1746" w:type="dxa"/>
            <w:tcBorders>
              <w:top w:val="nil"/>
              <w:left w:val="nil"/>
              <w:bottom w:val="single" w:sz="4" w:space="0" w:color="auto"/>
              <w:right w:val="single" w:sz="4" w:space="0" w:color="auto"/>
            </w:tcBorders>
            <w:shd w:val="clear" w:color="auto" w:fill="auto"/>
            <w:noWrap/>
            <w:vAlign w:val="center"/>
            <w:hideMark/>
          </w:tcPr>
          <w:p w14:paraId="17ED67B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Pine</w:t>
            </w:r>
          </w:p>
        </w:tc>
        <w:tc>
          <w:tcPr>
            <w:tcW w:w="767" w:type="dxa"/>
            <w:tcBorders>
              <w:top w:val="nil"/>
              <w:left w:val="nil"/>
              <w:bottom w:val="single" w:sz="4" w:space="0" w:color="auto"/>
              <w:right w:val="single" w:sz="4" w:space="0" w:color="auto"/>
            </w:tcBorders>
            <w:shd w:val="clear" w:color="auto" w:fill="auto"/>
            <w:noWrap/>
            <w:vAlign w:val="center"/>
            <w:hideMark/>
          </w:tcPr>
          <w:p w14:paraId="09B12829" w14:textId="69F217A3" w:rsidR="002B4066" w:rsidRPr="00DB19C7" w:rsidRDefault="002B4066" w:rsidP="002B4066">
            <w:pPr>
              <w:adjustRightInd/>
              <w:snapToGrid/>
              <w:spacing w:line="240" w:lineRule="auto"/>
              <w:jc w:val="center"/>
              <w:rPr>
                <w:color w:val="auto"/>
                <w:sz w:val="18"/>
                <w:szCs w:val="18"/>
                <w:lang w:eastAsia="en-GB" w:bidi="ar-SA"/>
              </w:rPr>
            </w:pPr>
          </w:p>
        </w:tc>
        <w:tc>
          <w:tcPr>
            <w:tcW w:w="767" w:type="dxa"/>
            <w:tcBorders>
              <w:top w:val="nil"/>
              <w:left w:val="nil"/>
              <w:bottom w:val="single" w:sz="4" w:space="0" w:color="auto"/>
              <w:right w:val="single" w:sz="4" w:space="0" w:color="auto"/>
            </w:tcBorders>
            <w:shd w:val="clear" w:color="auto" w:fill="auto"/>
            <w:noWrap/>
            <w:vAlign w:val="center"/>
            <w:hideMark/>
          </w:tcPr>
          <w:p w14:paraId="6C5E725A" w14:textId="0781BAC9" w:rsidR="002B4066" w:rsidRPr="00DB19C7" w:rsidRDefault="002B4066" w:rsidP="002B4066">
            <w:pPr>
              <w:adjustRightInd/>
              <w:snapToGrid/>
              <w:spacing w:line="240" w:lineRule="auto"/>
              <w:jc w:val="center"/>
              <w:rPr>
                <w:color w:val="auto"/>
                <w:sz w:val="18"/>
                <w:szCs w:val="18"/>
                <w:lang w:eastAsia="en-GB" w:bidi="ar-SA"/>
              </w:rPr>
            </w:pPr>
          </w:p>
        </w:tc>
        <w:tc>
          <w:tcPr>
            <w:tcW w:w="1018" w:type="dxa"/>
            <w:tcBorders>
              <w:top w:val="nil"/>
              <w:left w:val="nil"/>
              <w:bottom w:val="single" w:sz="4" w:space="0" w:color="auto"/>
              <w:right w:val="single" w:sz="4" w:space="0" w:color="auto"/>
            </w:tcBorders>
            <w:shd w:val="clear" w:color="auto" w:fill="auto"/>
            <w:noWrap/>
            <w:vAlign w:val="center"/>
            <w:hideMark/>
          </w:tcPr>
          <w:p w14:paraId="7E55CF24" w14:textId="16E75A15" w:rsidR="002B4066" w:rsidRPr="00DB19C7" w:rsidRDefault="002B4066" w:rsidP="002B4066">
            <w:pPr>
              <w:adjustRightInd/>
              <w:snapToGrid/>
              <w:spacing w:line="240" w:lineRule="auto"/>
              <w:jc w:val="center"/>
              <w:rPr>
                <w:color w:val="auto"/>
                <w:sz w:val="18"/>
                <w:szCs w:val="18"/>
                <w:lang w:eastAsia="en-GB" w:bidi="ar-SA"/>
              </w:rPr>
            </w:pPr>
          </w:p>
        </w:tc>
        <w:tc>
          <w:tcPr>
            <w:tcW w:w="1096" w:type="dxa"/>
            <w:tcBorders>
              <w:top w:val="nil"/>
              <w:left w:val="nil"/>
              <w:bottom w:val="single" w:sz="4" w:space="0" w:color="auto"/>
              <w:right w:val="single" w:sz="4" w:space="0" w:color="auto"/>
            </w:tcBorders>
            <w:shd w:val="clear" w:color="auto" w:fill="auto"/>
            <w:noWrap/>
            <w:vAlign w:val="center"/>
            <w:hideMark/>
          </w:tcPr>
          <w:p w14:paraId="3CF8A060" w14:textId="758D615E"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292D45F0" w14:textId="44779FC9"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48E0D178" w14:textId="3C39B8C9"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73D0B4CB" w14:textId="0D72DDE6"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28B4C589"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567" w:type="dxa"/>
            <w:tcBorders>
              <w:top w:val="nil"/>
              <w:left w:val="nil"/>
              <w:bottom w:val="single" w:sz="4" w:space="0" w:color="auto"/>
              <w:right w:val="single" w:sz="4" w:space="0" w:color="auto"/>
            </w:tcBorders>
            <w:shd w:val="clear" w:color="auto" w:fill="auto"/>
            <w:noWrap/>
            <w:vAlign w:val="center"/>
            <w:hideMark/>
          </w:tcPr>
          <w:p w14:paraId="3A0AE0ED" w14:textId="0AB78318"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4E63BADD"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Sieves</w:t>
            </w:r>
          </w:p>
        </w:tc>
        <w:tc>
          <w:tcPr>
            <w:tcW w:w="737" w:type="dxa"/>
            <w:tcBorders>
              <w:top w:val="nil"/>
              <w:left w:val="nil"/>
              <w:bottom w:val="single" w:sz="4" w:space="0" w:color="auto"/>
              <w:right w:val="single" w:sz="4" w:space="0" w:color="auto"/>
            </w:tcBorders>
            <w:shd w:val="clear" w:color="auto" w:fill="auto"/>
            <w:noWrap/>
            <w:vAlign w:val="center"/>
            <w:hideMark/>
          </w:tcPr>
          <w:p w14:paraId="63049729" w14:textId="3D2CEE96"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4227E8CB" w14:textId="7FC9B32D"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101A98FA" w14:textId="77EBB882"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676B7181" w14:textId="29125A79"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5C5FDD26" w14:textId="7AD30676"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{"citationItems":[{"id":"ITEM-1","itemData":{"DOI":"10.3303/CET1648068","ISBN":"9788895608396","ISSN":"22839216","abstract":"A modified Hartmann tube apparatus was used to study the explosivity properties of dusts from torrefied biomass pellets. The sensitivity of the dusts to explode was assessed by determining the minimum ignition energies (MIE) and the minimum explosible concentrations (MEC). The severity of the explosion was evaluated by flame front velocity (FFV) measurements via a method developed by ECN. A comparison was made with reference materials like white wood and coal dusts. Dust from torrefied biomass pellets presented MIE and MEC values in the same range as the white wood pellets dust, but depending on the material sometimes even higher values were obtained. The severity of an explosion of torrefied biomass dust tends to be lower when compared with white wood dust explosions, especially when comparing the impact effects of moisture, particle size and temperature, as in a real case scenario. However, torrefied biomass materials still present higher explosion reactivity than coals.","author":[{"dropping-particle":"","family":"Abelha","given":"Pedro","non-dropping-particle":"","parse-names":false,"suffix":""},{"dropping-particle":"","family":"Carbo","given":"Michiel","non-dropping-particle":"","parse-names":false,"suffix":""},{"dropping-particle":"","family":"Cieplik","given":"Mariusz","non-dropping-particle":"","parse-names":false,"suffix":""}],"container-title":"Chemical Engineering Transactions","id":"ITEM-1","issued":{"date-parts":[["2016"]]},"page":"403-408","title":"Explosivity properties of dusts from torrefied biomass pellets","type":"article-journal","volume":"48"},"uris":["http://www.mendeley.com/documents/?uuid=d999869f-fa92-40ae-93de-b15e34a53595"]}],"mendeley":{"formattedCitation":"[106]","plainTextFormattedCitation":"[106]","previouslyFormattedCitation":"[106]"},"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[106]</w:t>
            </w:r>
            <w:r w:rsidRPr="00DB19C7">
              <w:rPr>
                <w:color w:val="auto"/>
                <w:sz w:val="18"/>
                <w:szCs w:val="18"/>
                <w:lang w:eastAsia="en-GB" w:bidi="ar-SA"/>
              </w:rPr>
              <w:fldChar w:fldCharType="end"/>
            </w:r>
          </w:p>
        </w:tc>
      </w:tr>
      <w:tr w:rsidR="00DB19C7" w:rsidRPr="00DB19C7" w14:paraId="166A17BA" w14:textId="4FA32722"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1540CE5A"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32</w:t>
            </w:r>
          </w:p>
        </w:tc>
        <w:tc>
          <w:tcPr>
            <w:tcW w:w="1746" w:type="dxa"/>
            <w:tcBorders>
              <w:top w:val="nil"/>
              <w:left w:val="nil"/>
              <w:bottom w:val="single" w:sz="4" w:space="0" w:color="auto"/>
              <w:right w:val="single" w:sz="4" w:space="0" w:color="auto"/>
            </w:tcBorders>
            <w:shd w:val="clear" w:color="auto" w:fill="auto"/>
            <w:noWrap/>
            <w:vAlign w:val="center"/>
            <w:hideMark/>
          </w:tcPr>
          <w:p w14:paraId="7239203E"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Pine cone</w:t>
            </w:r>
          </w:p>
        </w:tc>
        <w:tc>
          <w:tcPr>
            <w:tcW w:w="767" w:type="dxa"/>
            <w:tcBorders>
              <w:top w:val="nil"/>
              <w:left w:val="nil"/>
              <w:bottom w:val="single" w:sz="4" w:space="0" w:color="auto"/>
              <w:right w:val="single" w:sz="4" w:space="0" w:color="auto"/>
            </w:tcBorders>
            <w:shd w:val="clear" w:color="auto" w:fill="auto"/>
            <w:noWrap/>
            <w:vAlign w:val="center"/>
            <w:hideMark/>
          </w:tcPr>
          <w:p w14:paraId="1496EAA7"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27</w:t>
            </w:r>
          </w:p>
        </w:tc>
        <w:tc>
          <w:tcPr>
            <w:tcW w:w="767" w:type="dxa"/>
            <w:tcBorders>
              <w:top w:val="nil"/>
              <w:left w:val="nil"/>
              <w:bottom w:val="single" w:sz="4" w:space="0" w:color="auto"/>
              <w:right w:val="single" w:sz="4" w:space="0" w:color="auto"/>
            </w:tcBorders>
            <w:shd w:val="clear" w:color="auto" w:fill="auto"/>
            <w:noWrap/>
            <w:vAlign w:val="center"/>
            <w:hideMark/>
          </w:tcPr>
          <w:p w14:paraId="7CB4D385"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105</w:t>
            </w:r>
          </w:p>
        </w:tc>
        <w:tc>
          <w:tcPr>
            <w:tcW w:w="1018" w:type="dxa"/>
            <w:tcBorders>
              <w:top w:val="nil"/>
              <w:left w:val="nil"/>
              <w:bottom w:val="single" w:sz="4" w:space="0" w:color="auto"/>
              <w:right w:val="single" w:sz="4" w:space="0" w:color="auto"/>
            </w:tcBorders>
            <w:shd w:val="clear" w:color="auto" w:fill="auto"/>
            <w:noWrap/>
            <w:vAlign w:val="center"/>
            <w:hideMark/>
          </w:tcPr>
          <w:p w14:paraId="402380C4"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211</w:t>
            </w:r>
          </w:p>
        </w:tc>
        <w:tc>
          <w:tcPr>
            <w:tcW w:w="1096" w:type="dxa"/>
            <w:tcBorders>
              <w:top w:val="nil"/>
              <w:left w:val="nil"/>
              <w:bottom w:val="single" w:sz="4" w:space="0" w:color="auto"/>
              <w:right w:val="single" w:sz="4" w:space="0" w:color="auto"/>
            </w:tcBorders>
            <w:shd w:val="clear" w:color="auto" w:fill="auto"/>
            <w:noWrap/>
            <w:vAlign w:val="center"/>
            <w:hideMark/>
          </w:tcPr>
          <w:p w14:paraId="2D0FA4F6" w14:textId="02FC0AA8"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4C384F54" w14:textId="4025A88D"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27481AD1" w14:textId="7FC005D5"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14397A7A" w14:textId="04ACA9B4"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7C1C56C9"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567" w:type="dxa"/>
            <w:tcBorders>
              <w:top w:val="nil"/>
              <w:left w:val="nil"/>
              <w:bottom w:val="single" w:sz="4" w:space="0" w:color="auto"/>
              <w:right w:val="single" w:sz="4" w:space="0" w:color="auto"/>
            </w:tcBorders>
            <w:shd w:val="clear" w:color="auto" w:fill="auto"/>
            <w:noWrap/>
            <w:vAlign w:val="center"/>
            <w:hideMark/>
          </w:tcPr>
          <w:p w14:paraId="663A4D43"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1.75</w:t>
            </w:r>
          </w:p>
        </w:tc>
        <w:tc>
          <w:tcPr>
            <w:tcW w:w="1134" w:type="dxa"/>
            <w:tcBorders>
              <w:top w:val="nil"/>
              <w:left w:val="nil"/>
              <w:bottom w:val="single" w:sz="4" w:space="0" w:color="auto"/>
              <w:right w:val="single" w:sz="4" w:space="0" w:color="auto"/>
            </w:tcBorders>
            <w:shd w:val="clear" w:color="auto" w:fill="auto"/>
            <w:noWrap/>
            <w:vAlign w:val="center"/>
            <w:hideMark/>
          </w:tcPr>
          <w:p w14:paraId="65B2E113"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1A7178A9"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6.7</w:t>
            </w:r>
          </w:p>
        </w:tc>
        <w:tc>
          <w:tcPr>
            <w:tcW w:w="737" w:type="dxa"/>
            <w:tcBorders>
              <w:top w:val="nil"/>
              <w:left w:val="nil"/>
              <w:bottom w:val="single" w:sz="4" w:space="0" w:color="auto"/>
              <w:right w:val="single" w:sz="4" w:space="0" w:color="auto"/>
            </w:tcBorders>
            <w:shd w:val="clear" w:color="auto" w:fill="auto"/>
            <w:noWrap/>
            <w:vAlign w:val="center"/>
            <w:hideMark/>
          </w:tcPr>
          <w:p w14:paraId="0E2EAE4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75.54</w:t>
            </w:r>
          </w:p>
        </w:tc>
        <w:tc>
          <w:tcPr>
            <w:tcW w:w="737" w:type="dxa"/>
            <w:tcBorders>
              <w:top w:val="nil"/>
              <w:left w:val="nil"/>
              <w:bottom w:val="single" w:sz="4" w:space="0" w:color="auto"/>
              <w:right w:val="single" w:sz="4" w:space="0" w:color="auto"/>
            </w:tcBorders>
            <w:shd w:val="clear" w:color="auto" w:fill="auto"/>
            <w:noWrap/>
            <w:vAlign w:val="center"/>
            <w:hideMark/>
          </w:tcPr>
          <w:p w14:paraId="2FE1C80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7.83</w:t>
            </w:r>
          </w:p>
        </w:tc>
        <w:tc>
          <w:tcPr>
            <w:tcW w:w="737" w:type="dxa"/>
            <w:tcBorders>
              <w:top w:val="nil"/>
              <w:left w:val="nil"/>
              <w:bottom w:val="single" w:sz="4" w:space="0" w:color="auto"/>
              <w:right w:val="single" w:sz="4" w:space="0" w:color="auto"/>
            </w:tcBorders>
            <w:shd w:val="clear" w:color="auto" w:fill="auto"/>
            <w:noWrap/>
            <w:vAlign w:val="center"/>
            <w:hideMark/>
          </w:tcPr>
          <w:p w14:paraId="03C4227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9.93</w:t>
            </w:r>
          </w:p>
        </w:tc>
        <w:tc>
          <w:tcPr>
            <w:tcW w:w="617" w:type="dxa"/>
            <w:tcBorders>
              <w:top w:val="single" w:sz="4" w:space="0" w:color="auto"/>
              <w:left w:val="nil"/>
              <w:bottom w:val="single" w:sz="4" w:space="0" w:color="auto"/>
              <w:right w:val="single" w:sz="4" w:space="0" w:color="auto"/>
            </w:tcBorders>
            <w:vAlign w:val="center"/>
          </w:tcPr>
          <w:p w14:paraId="594B5237" w14:textId="0CABC5EC"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{"citationItems":[{"id":"ITEM-1","itemData":{"DOI":"10.1016/j.fuel.2016.07.045","ISSN":"00162361","abstract":"Biomasses are materials highly demanded nowadays for energy production. One of the main features of these materials is that they present a great variability in terms of chemical composition and physical behavior (O/C and H/C ratios, granulometric structure, ash content…). Nowadays, there is a lack of information concerning its characterization to determine its flammability and explosibility behavior. The objective of this study is to provide flammability and explosibility data as well as some parameters to assess the spontaneous combustion tendency of these products and to relate this thermal susceptibility with the composition. Initial results showed that risk assessments based on the activation energy were not effective for biomass as it is for coals, and that a greater tendency to self-ignition was observed in those biomasses having higher H/C ratios, on the contrary than in coals. This behavior can be explained because the most important stage for coals is the beginning of the self-heating reaction, which present a different resistance (activation energy) depending on its ranking, while biomasses present an initial stage easily achievable even at moderate temperatures, so the differentiation for biomasses should be found in the ability to spread this incipient reaction.","author":[{"dropping-particle":"","family":"García Torrent","given":"Javier","non-dropping-particle":"","parse-names":false,"suffix":""},{"dropping-particle":"","family":"Ramírez-Gómez","given":"Álvaro","non-dropping-particle":"","parse-names":false,"suffix":""},{"dropping-particle":"","family":"Fernandez-Anez","given":"Nieves","non-dropping-particle":"","parse-names":false,"suffix":""},{"dropping-particle":"","family":"Medic Pejic","given":"Ljiljana","non-dropping-particle":"","parse-names":false,"suffix":""},{"dropping-particle":"","family":"Tascón","given":"Alberto","non-dropping-particle":"","parse-names":false,"suffix":""}],"container-title":"Fuel","id":"ITEM-1","issued":{"date-parts":[["2016"]]},"page":"503-511","title":"Influence of the composition of solid biomass in the flammability and susceptibility to spontaneous combustion","type":"article-journal","volume":"184"},"uris":["http://www.mendeley.com/documents/?uuid=9fcb7e1d-bebe-4dfb-9ee6-81a5efa6af83"]}],"mendeley":{"formattedCitation":"[142]","plainTextFormattedCitation":"[142]","previouslyFormattedCitation":"[142]"},"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[142]</w:t>
            </w:r>
            <w:r w:rsidRPr="00DB19C7">
              <w:rPr>
                <w:color w:val="auto"/>
                <w:sz w:val="18"/>
                <w:szCs w:val="18"/>
                <w:lang w:eastAsia="en-GB" w:bidi="ar-SA"/>
              </w:rPr>
              <w:fldChar w:fldCharType="end"/>
            </w:r>
          </w:p>
        </w:tc>
      </w:tr>
      <w:tr w:rsidR="00DB19C7" w:rsidRPr="00DB19C7" w14:paraId="5388B77A" w14:textId="305AFC1A"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7F1D09C4"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lastRenderedPageBreak/>
              <w:t>33</w:t>
            </w:r>
          </w:p>
        </w:tc>
        <w:tc>
          <w:tcPr>
            <w:tcW w:w="1746" w:type="dxa"/>
            <w:tcBorders>
              <w:top w:val="nil"/>
              <w:left w:val="nil"/>
              <w:bottom w:val="single" w:sz="4" w:space="0" w:color="auto"/>
              <w:right w:val="single" w:sz="4" w:space="0" w:color="auto"/>
            </w:tcBorders>
            <w:shd w:val="clear" w:color="auto" w:fill="auto"/>
            <w:noWrap/>
            <w:vAlign w:val="center"/>
            <w:hideMark/>
          </w:tcPr>
          <w:p w14:paraId="180CA42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Pine nut shells</w:t>
            </w:r>
          </w:p>
        </w:tc>
        <w:tc>
          <w:tcPr>
            <w:tcW w:w="767" w:type="dxa"/>
            <w:tcBorders>
              <w:top w:val="nil"/>
              <w:left w:val="nil"/>
              <w:bottom w:val="single" w:sz="4" w:space="0" w:color="auto"/>
              <w:right w:val="single" w:sz="4" w:space="0" w:color="auto"/>
            </w:tcBorders>
            <w:shd w:val="clear" w:color="auto" w:fill="auto"/>
            <w:noWrap/>
            <w:vAlign w:val="center"/>
            <w:hideMark/>
          </w:tcPr>
          <w:p w14:paraId="38035BD8"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9.51</w:t>
            </w:r>
          </w:p>
        </w:tc>
        <w:tc>
          <w:tcPr>
            <w:tcW w:w="767" w:type="dxa"/>
            <w:tcBorders>
              <w:top w:val="nil"/>
              <w:left w:val="nil"/>
              <w:bottom w:val="single" w:sz="4" w:space="0" w:color="auto"/>
              <w:right w:val="single" w:sz="4" w:space="0" w:color="auto"/>
            </w:tcBorders>
            <w:shd w:val="clear" w:color="auto" w:fill="auto"/>
            <w:noWrap/>
            <w:vAlign w:val="center"/>
            <w:hideMark/>
          </w:tcPr>
          <w:p w14:paraId="73E72CD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46.88</w:t>
            </w:r>
          </w:p>
        </w:tc>
        <w:tc>
          <w:tcPr>
            <w:tcW w:w="1018" w:type="dxa"/>
            <w:tcBorders>
              <w:top w:val="nil"/>
              <w:left w:val="nil"/>
              <w:bottom w:val="single" w:sz="4" w:space="0" w:color="auto"/>
              <w:right w:val="single" w:sz="4" w:space="0" w:color="auto"/>
            </w:tcBorders>
            <w:shd w:val="clear" w:color="auto" w:fill="auto"/>
            <w:noWrap/>
            <w:vAlign w:val="center"/>
            <w:hideMark/>
          </w:tcPr>
          <w:p w14:paraId="06B0C107"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439.19</w:t>
            </w:r>
          </w:p>
        </w:tc>
        <w:tc>
          <w:tcPr>
            <w:tcW w:w="1096" w:type="dxa"/>
            <w:tcBorders>
              <w:top w:val="nil"/>
              <w:left w:val="nil"/>
              <w:bottom w:val="single" w:sz="4" w:space="0" w:color="auto"/>
              <w:right w:val="single" w:sz="4" w:space="0" w:color="auto"/>
            </w:tcBorders>
            <w:shd w:val="clear" w:color="auto" w:fill="auto"/>
            <w:noWrap/>
            <w:vAlign w:val="center"/>
            <w:hideMark/>
          </w:tcPr>
          <w:p w14:paraId="45E9D992" w14:textId="772F34FF"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374CA07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134.64</w:t>
            </w:r>
          </w:p>
        </w:tc>
        <w:tc>
          <w:tcPr>
            <w:tcW w:w="765" w:type="dxa"/>
            <w:tcBorders>
              <w:top w:val="nil"/>
              <w:left w:val="nil"/>
              <w:bottom w:val="single" w:sz="4" w:space="0" w:color="auto"/>
              <w:right w:val="single" w:sz="4" w:space="0" w:color="auto"/>
            </w:tcBorders>
            <w:shd w:val="clear" w:color="auto" w:fill="auto"/>
            <w:noWrap/>
            <w:vAlign w:val="center"/>
            <w:hideMark/>
          </w:tcPr>
          <w:p w14:paraId="11B3BFD5"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17.47</w:t>
            </w:r>
          </w:p>
        </w:tc>
        <w:tc>
          <w:tcPr>
            <w:tcW w:w="1199" w:type="dxa"/>
            <w:tcBorders>
              <w:top w:val="nil"/>
              <w:left w:val="nil"/>
              <w:bottom w:val="single" w:sz="4" w:space="0" w:color="auto"/>
              <w:right w:val="single" w:sz="4" w:space="0" w:color="auto"/>
            </w:tcBorders>
            <w:shd w:val="clear" w:color="auto" w:fill="auto"/>
            <w:noWrap/>
            <w:vAlign w:val="center"/>
            <w:hideMark/>
          </w:tcPr>
          <w:p w14:paraId="37D30B5F" w14:textId="6EF71277"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36680FC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 - SEM</w:t>
            </w:r>
          </w:p>
        </w:tc>
        <w:tc>
          <w:tcPr>
            <w:tcW w:w="567" w:type="dxa"/>
            <w:tcBorders>
              <w:top w:val="nil"/>
              <w:left w:val="nil"/>
              <w:bottom w:val="single" w:sz="4" w:space="0" w:color="auto"/>
              <w:right w:val="single" w:sz="4" w:space="0" w:color="auto"/>
            </w:tcBorders>
            <w:shd w:val="clear" w:color="auto" w:fill="auto"/>
            <w:noWrap/>
            <w:vAlign w:val="center"/>
            <w:hideMark/>
          </w:tcPr>
          <w:p w14:paraId="513338F0" w14:textId="178C424A"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351C26A1"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1402C75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5.4</w:t>
            </w:r>
          </w:p>
        </w:tc>
        <w:tc>
          <w:tcPr>
            <w:tcW w:w="737" w:type="dxa"/>
            <w:tcBorders>
              <w:top w:val="nil"/>
              <w:left w:val="nil"/>
              <w:bottom w:val="single" w:sz="4" w:space="0" w:color="auto"/>
              <w:right w:val="single" w:sz="4" w:space="0" w:color="auto"/>
            </w:tcBorders>
            <w:shd w:val="clear" w:color="auto" w:fill="auto"/>
            <w:noWrap/>
            <w:vAlign w:val="center"/>
            <w:hideMark/>
          </w:tcPr>
          <w:p w14:paraId="49A6B1DE"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73.2</w:t>
            </w:r>
          </w:p>
        </w:tc>
        <w:tc>
          <w:tcPr>
            <w:tcW w:w="737" w:type="dxa"/>
            <w:tcBorders>
              <w:top w:val="nil"/>
              <w:left w:val="nil"/>
              <w:bottom w:val="single" w:sz="4" w:space="0" w:color="auto"/>
              <w:right w:val="single" w:sz="4" w:space="0" w:color="auto"/>
            </w:tcBorders>
            <w:shd w:val="clear" w:color="auto" w:fill="auto"/>
            <w:noWrap/>
            <w:vAlign w:val="center"/>
            <w:hideMark/>
          </w:tcPr>
          <w:p w14:paraId="1B027A4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9.8</w:t>
            </w:r>
          </w:p>
        </w:tc>
        <w:tc>
          <w:tcPr>
            <w:tcW w:w="737" w:type="dxa"/>
            <w:tcBorders>
              <w:top w:val="nil"/>
              <w:left w:val="nil"/>
              <w:bottom w:val="single" w:sz="4" w:space="0" w:color="auto"/>
              <w:right w:val="single" w:sz="4" w:space="0" w:color="auto"/>
            </w:tcBorders>
            <w:shd w:val="clear" w:color="auto" w:fill="auto"/>
            <w:noWrap/>
            <w:vAlign w:val="center"/>
            <w:hideMark/>
          </w:tcPr>
          <w:p w14:paraId="4918B29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11.7</w:t>
            </w:r>
          </w:p>
        </w:tc>
        <w:tc>
          <w:tcPr>
            <w:tcW w:w="617" w:type="dxa"/>
            <w:tcBorders>
              <w:top w:val="single" w:sz="4" w:space="0" w:color="auto"/>
              <w:left w:val="nil"/>
              <w:bottom w:val="single" w:sz="4" w:space="0" w:color="auto"/>
              <w:right w:val="single" w:sz="4" w:space="0" w:color="auto"/>
            </w:tcBorders>
            <w:vAlign w:val="center"/>
          </w:tcPr>
          <w:p w14:paraId="3A33ABCD" w14:textId="34D49553"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{"citationItems":[{"id":"ITEM-1","itemData":{"author":[{"dropping-particle":"","family":"Sattar","given":"Hamed","non-dropping-particle":"","parse-names":false,"suffix":""},{"dropping-particle":"","family":"Phylaktou","given":"Herodotos N.","non-dropping-particle":"","parse-names":false,"suffix":""},{"dropping-particle":"","family":"Andrews","given":"Gordon E.","non-dropping-particle":"","parse-names":false,"suffix":""},{"dropping-particle":"","family":"Gibbs","given":"Bernard M.","non-dropping-particle":"","parse-names":false,"suffix":""}],"container-title":"ISHPMIE","id":"ITEM-1","issued":{"date-parts":[["2012"]]},"publisher-place":"Krakow","title":"Explosions and Flame Propagation in Nut-shell Biomass Powders","type":"paper-conference"},"uris":["http://www.mendeley.com/documents/?uuid=ac2f9135-c048-4366-9ea5-0066f9cbf002"]}],"mendeley":{"formattedCitation":"[109]","plainTextFormattedCitation":"[109]","previouslyFormattedCitation":"[109]"},"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[109]</w:t>
            </w:r>
            <w:r w:rsidRPr="00DB19C7">
              <w:rPr>
                <w:color w:val="auto"/>
                <w:sz w:val="18"/>
                <w:szCs w:val="18"/>
                <w:lang w:eastAsia="en-GB" w:bidi="ar-SA"/>
              </w:rPr>
              <w:fldChar w:fldCharType="end"/>
            </w:r>
          </w:p>
        </w:tc>
      </w:tr>
      <w:tr w:rsidR="00DB19C7" w:rsidRPr="00DB19C7" w14:paraId="4634808C" w14:textId="109648A4"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3EF3B4FD"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34</w:t>
            </w:r>
          </w:p>
        </w:tc>
        <w:tc>
          <w:tcPr>
            <w:tcW w:w="1746" w:type="dxa"/>
            <w:tcBorders>
              <w:top w:val="nil"/>
              <w:left w:val="nil"/>
              <w:bottom w:val="single" w:sz="4" w:space="0" w:color="auto"/>
              <w:right w:val="single" w:sz="4" w:space="0" w:color="auto"/>
            </w:tcBorders>
            <w:shd w:val="clear" w:color="auto" w:fill="auto"/>
            <w:noWrap/>
            <w:vAlign w:val="center"/>
            <w:hideMark/>
          </w:tcPr>
          <w:p w14:paraId="26731671"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pine sawdust</w:t>
            </w:r>
          </w:p>
        </w:tc>
        <w:tc>
          <w:tcPr>
            <w:tcW w:w="767" w:type="dxa"/>
            <w:tcBorders>
              <w:top w:val="nil"/>
              <w:left w:val="nil"/>
              <w:bottom w:val="single" w:sz="4" w:space="0" w:color="auto"/>
              <w:right w:val="single" w:sz="4" w:space="0" w:color="auto"/>
            </w:tcBorders>
            <w:shd w:val="clear" w:color="auto" w:fill="auto"/>
            <w:noWrap/>
            <w:vAlign w:val="center"/>
            <w:hideMark/>
          </w:tcPr>
          <w:p w14:paraId="2830C04C" w14:textId="28025930"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 xml:space="preserve">3.99 </w:t>
            </w:r>
            <w:r w:rsidRPr="00DB19C7">
              <w:rPr>
                <w:color w:val="auto"/>
                <w:vertAlign w:val="superscript"/>
              </w:rPr>
              <w:t>b</w:t>
            </w:r>
          </w:p>
        </w:tc>
        <w:tc>
          <w:tcPr>
            <w:tcW w:w="767" w:type="dxa"/>
            <w:tcBorders>
              <w:top w:val="nil"/>
              <w:left w:val="nil"/>
              <w:bottom w:val="single" w:sz="4" w:space="0" w:color="auto"/>
              <w:right w:val="single" w:sz="4" w:space="0" w:color="auto"/>
            </w:tcBorders>
            <w:shd w:val="clear" w:color="auto" w:fill="auto"/>
            <w:noWrap/>
            <w:vAlign w:val="center"/>
            <w:hideMark/>
          </w:tcPr>
          <w:p w14:paraId="714DF5E1"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36.57</w:t>
            </w:r>
          </w:p>
        </w:tc>
        <w:tc>
          <w:tcPr>
            <w:tcW w:w="1018" w:type="dxa"/>
            <w:tcBorders>
              <w:top w:val="nil"/>
              <w:left w:val="nil"/>
              <w:bottom w:val="single" w:sz="4" w:space="0" w:color="auto"/>
              <w:right w:val="single" w:sz="4" w:space="0" w:color="auto"/>
            </w:tcBorders>
            <w:shd w:val="clear" w:color="auto" w:fill="auto"/>
            <w:noWrap/>
            <w:vAlign w:val="center"/>
            <w:hideMark/>
          </w:tcPr>
          <w:p w14:paraId="56DEA383" w14:textId="7280CFA9"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 xml:space="preserve">100.62 </w:t>
            </w:r>
            <w:r w:rsidRPr="00DB19C7">
              <w:rPr>
                <w:color w:val="auto"/>
                <w:vertAlign w:val="superscript"/>
              </w:rPr>
              <w:t>b</w:t>
            </w:r>
          </w:p>
        </w:tc>
        <w:tc>
          <w:tcPr>
            <w:tcW w:w="1096" w:type="dxa"/>
            <w:tcBorders>
              <w:top w:val="nil"/>
              <w:left w:val="nil"/>
              <w:bottom w:val="single" w:sz="4" w:space="0" w:color="auto"/>
              <w:right w:val="single" w:sz="4" w:space="0" w:color="auto"/>
            </w:tcBorders>
            <w:shd w:val="clear" w:color="auto" w:fill="auto"/>
            <w:noWrap/>
            <w:vAlign w:val="center"/>
            <w:hideMark/>
          </w:tcPr>
          <w:p w14:paraId="3633AC49" w14:textId="4C34AA69"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7765423C" w14:textId="7AD7C973"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02AAF036" w14:textId="4358464D"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72CDF732" w14:textId="2C8DC5D3"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6291201E"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567" w:type="dxa"/>
            <w:tcBorders>
              <w:top w:val="nil"/>
              <w:left w:val="nil"/>
              <w:bottom w:val="single" w:sz="4" w:space="0" w:color="auto"/>
              <w:right w:val="single" w:sz="4" w:space="0" w:color="auto"/>
            </w:tcBorders>
            <w:shd w:val="clear" w:color="auto" w:fill="auto"/>
            <w:noWrap/>
            <w:vAlign w:val="center"/>
            <w:hideMark/>
          </w:tcPr>
          <w:p w14:paraId="7489FF7A" w14:textId="55EAFEED"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6D1AF0B1"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3D909C6E" w14:textId="3342AAAE"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6FCDF19D" w14:textId="1F9AB439"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4ABB0314" w14:textId="0D00AE79"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0371F79A" w14:textId="6E322189"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1ABB05D0" w14:textId="5A715988"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{"citationItems":[{"id":"ITEM-1","itemData":{"DOI":"10.1016/j.biortech.2019.122168","ISSN":"0960-8524","abstract":"In this study, a 20-L spherical explosion vessel, hot plate apparatus, Godbert-Greenwald furnace apparatus, and TG-FTIR were used to investigate the explosion and combustion characteristics of three biomass dusts: dalbergia cochinchinensis (DC), pine sawdust (PS), and cupressus funebris (CF). DC with lower minimum explosible concentration (70–80 g/m3), larger maximum explosion pressure (0.742 MPa) and larger maximum explosion pressure rise rate (80.14 MPa/s) had the greatest explosion hazard in three biomass dusts. The apparent activation energy of DC and CF were lower than that of PS, and the main gas products of three samples included CO2, CO, CH3COOH, and H2O. The volatile matter content of DC characterized by the weight loss and the number of gas products of combustion process was higher than those of PS and CF, showing that the volatile matter content of biomass dust was one of the main factors affecting combustion and explosion hazard.","author":[{"dropping-particle":"","family":"Liu","given":"Aihua","non-dropping-particle":"","parse-names":false,"suffix":""},{"dropping-particle":"","family":"Chen","given":"Jieyun","non-dropping-particle":"","parse-names":false,"suffix":""},{"dropping-particle":"","family":"Huang","given":"Xiaofei","non-dropping-particle":"","parse-names":false,"suffix":""},{"dropping-particle":"","family":"Lin","given":"Junjiang","non-dropping-particle":"","parse-names":false,"suffix":""},{"dropping-particle":"","family":"Zhang","given":"Xiaochun","non-dropping-particle":"","parse-names":false,"suffix":""},{"dropping-particle":"","family":"Xu","given":"Wenbin","non-dropping-particle":"","parse-names":false,"suffix":""}],"container-title":"Bioresource Technology","id":"ITEM-1","issued":{"date-parts":[["2019"]]},"page":"122168","title":"Explosion parameters and combustion kinetics of biomass dust","type":"article-journal","volume":"294"},"uris":["http://www.mendeley.com/documents/?uuid=215e7a2c-b1cb-4f2c-a642-9b17d2f32d2e"]}],"mendeley":{"formattedCitation":"[145]","plainTextFormattedCitation":"[145]","previouslyFormattedCitation":"[145]"},"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[145]</w:t>
            </w:r>
            <w:r w:rsidRPr="00DB19C7">
              <w:rPr>
                <w:color w:val="auto"/>
                <w:sz w:val="18"/>
                <w:szCs w:val="18"/>
                <w:lang w:eastAsia="en-GB" w:bidi="ar-SA"/>
              </w:rPr>
              <w:fldChar w:fldCharType="end"/>
            </w:r>
          </w:p>
        </w:tc>
      </w:tr>
      <w:tr w:rsidR="00DB19C7" w:rsidRPr="00DB19C7" w14:paraId="0B20E42B" w14:textId="2FDD2E2F" w:rsidTr="00B365E2">
        <w:trPr>
          <w:trHeight w:val="300"/>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67345E23"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35</w:t>
            </w:r>
          </w:p>
        </w:tc>
        <w:tc>
          <w:tcPr>
            <w:tcW w:w="1746" w:type="dxa"/>
            <w:tcBorders>
              <w:top w:val="nil"/>
              <w:left w:val="nil"/>
              <w:bottom w:val="single" w:sz="4" w:space="0" w:color="auto"/>
              <w:right w:val="single" w:sz="4" w:space="0" w:color="auto"/>
            </w:tcBorders>
            <w:shd w:val="clear" w:color="auto" w:fill="auto"/>
            <w:noWrap/>
            <w:vAlign w:val="center"/>
            <w:hideMark/>
          </w:tcPr>
          <w:p w14:paraId="5F0C5867" w14:textId="77777777" w:rsidR="002B4066" w:rsidRPr="00DB19C7" w:rsidRDefault="002B4066" w:rsidP="002B4066">
            <w:pPr>
              <w:adjustRightInd/>
              <w:snapToGrid/>
              <w:spacing w:line="240" w:lineRule="auto"/>
              <w:jc w:val="center"/>
              <w:rPr>
                <w:color w:val="auto"/>
                <w:sz w:val="18"/>
                <w:szCs w:val="18"/>
                <w:lang w:eastAsia="en-GB" w:bidi="ar-SA"/>
              </w:rPr>
            </w:pPr>
            <w:proofErr w:type="spellStart"/>
            <w:r w:rsidRPr="00DB19C7">
              <w:rPr>
                <w:color w:val="auto"/>
                <w:sz w:val="18"/>
                <w:szCs w:val="18"/>
                <w:lang w:eastAsia="en-GB" w:bidi="ar-SA"/>
              </w:rPr>
              <w:t>Pinus</w:t>
            </w:r>
            <w:proofErr w:type="spellEnd"/>
            <w:r w:rsidRPr="00DB19C7">
              <w:rPr>
                <w:color w:val="auto"/>
                <w:sz w:val="18"/>
                <w:szCs w:val="18"/>
                <w:lang w:eastAsia="en-GB" w:bidi="ar-SA"/>
              </w:rPr>
              <w:t xml:space="preserve"> </w:t>
            </w:r>
            <w:proofErr w:type="spellStart"/>
            <w:r w:rsidRPr="00DB19C7">
              <w:rPr>
                <w:color w:val="auto"/>
                <w:sz w:val="18"/>
                <w:szCs w:val="18"/>
                <w:lang w:eastAsia="en-GB" w:bidi="ar-SA"/>
              </w:rPr>
              <w:t>massoniana</w:t>
            </w:r>
            <w:proofErr w:type="spellEnd"/>
            <w:r w:rsidRPr="00DB19C7">
              <w:rPr>
                <w:color w:val="auto"/>
                <w:sz w:val="18"/>
                <w:szCs w:val="18"/>
                <w:lang w:eastAsia="en-GB" w:bidi="ar-SA"/>
              </w:rPr>
              <w:t xml:space="preserve">, fraction 0-63 </w:t>
            </w:r>
            <w:proofErr w:type="spellStart"/>
            <w:r w:rsidRPr="00DB19C7">
              <w:rPr>
                <w:color w:val="auto"/>
                <w:sz w:val="18"/>
                <w:szCs w:val="18"/>
                <w:lang w:eastAsia="en-GB" w:bidi="ar-SA"/>
              </w:rPr>
              <w:t>μm</w:t>
            </w:r>
            <w:proofErr w:type="spellEnd"/>
          </w:p>
        </w:tc>
        <w:tc>
          <w:tcPr>
            <w:tcW w:w="767" w:type="dxa"/>
            <w:tcBorders>
              <w:top w:val="nil"/>
              <w:left w:val="nil"/>
              <w:bottom w:val="single" w:sz="4" w:space="0" w:color="auto"/>
              <w:right w:val="single" w:sz="4" w:space="0" w:color="auto"/>
            </w:tcBorders>
            <w:shd w:val="clear" w:color="auto" w:fill="auto"/>
            <w:noWrap/>
            <w:vAlign w:val="center"/>
            <w:hideMark/>
          </w:tcPr>
          <w:p w14:paraId="77A852A3"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12.77</w:t>
            </w:r>
          </w:p>
        </w:tc>
        <w:tc>
          <w:tcPr>
            <w:tcW w:w="767" w:type="dxa"/>
            <w:tcBorders>
              <w:top w:val="nil"/>
              <w:left w:val="nil"/>
              <w:bottom w:val="single" w:sz="4" w:space="0" w:color="auto"/>
              <w:right w:val="single" w:sz="4" w:space="0" w:color="auto"/>
            </w:tcBorders>
            <w:shd w:val="clear" w:color="auto" w:fill="auto"/>
            <w:noWrap/>
            <w:vAlign w:val="center"/>
            <w:hideMark/>
          </w:tcPr>
          <w:p w14:paraId="0F7734A6"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34.16</w:t>
            </w:r>
          </w:p>
        </w:tc>
        <w:tc>
          <w:tcPr>
            <w:tcW w:w="1018" w:type="dxa"/>
            <w:tcBorders>
              <w:top w:val="nil"/>
              <w:left w:val="nil"/>
              <w:bottom w:val="single" w:sz="4" w:space="0" w:color="auto"/>
              <w:right w:val="single" w:sz="4" w:space="0" w:color="auto"/>
            </w:tcBorders>
            <w:shd w:val="clear" w:color="auto" w:fill="auto"/>
            <w:noWrap/>
            <w:vAlign w:val="center"/>
            <w:hideMark/>
          </w:tcPr>
          <w:p w14:paraId="6B2B7A7A"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77.9</w:t>
            </w:r>
          </w:p>
        </w:tc>
        <w:tc>
          <w:tcPr>
            <w:tcW w:w="1096" w:type="dxa"/>
            <w:tcBorders>
              <w:top w:val="nil"/>
              <w:left w:val="nil"/>
              <w:bottom w:val="single" w:sz="4" w:space="0" w:color="auto"/>
              <w:right w:val="single" w:sz="4" w:space="0" w:color="auto"/>
            </w:tcBorders>
            <w:shd w:val="clear" w:color="auto" w:fill="auto"/>
            <w:noWrap/>
            <w:vAlign w:val="center"/>
            <w:hideMark/>
          </w:tcPr>
          <w:p w14:paraId="7E0680A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 xml:space="preserve">Yes - fraction 0-500 </w:t>
            </w:r>
            <w:proofErr w:type="spellStart"/>
            <w:r w:rsidRPr="00DB19C7">
              <w:rPr>
                <w:color w:val="auto"/>
                <w:sz w:val="18"/>
                <w:szCs w:val="18"/>
                <w:lang w:eastAsia="en-GB" w:bidi="ar-SA"/>
              </w:rPr>
              <w:t>μm</w:t>
            </w:r>
            <w:proofErr w:type="spellEnd"/>
          </w:p>
        </w:tc>
        <w:tc>
          <w:tcPr>
            <w:tcW w:w="767" w:type="dxa"/>
            <w:tcBorders>
              <w:top w:val="nil"/>
              <w:left w:val="nil"/>
              <w:bottom w:val="single" w:sz="4" w:space="0" w:color="auto"/>
              <w:right w:val="single" w:sz="4" w:space="0" w:color="auto"/>
            </w:tcBorders>
            <w:shd w:val="clear" w:color="auto" w:fill="auto"/>
            <w:noWrap/>
            <w:vAlign w:val="center"/>
            <w:hideMark/>
          </w:tcPr>
          <w:p w14:paraId="5A83251E" w14:textId="143D6CD9"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7433D99F" w14:textId="13857FDA"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04308DEB" w14:textId="31278798"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0.28</w:t>
            </w:r>
          </w:p>
        </w:tc>
        <w:tc>
          <w:tcPr>
            <w:tcW w:w="1137" w:type="dxa"/>
            <w:tcBorders>
              <w:top w:val="nil"/>
              <w:left w:val="nil"/>
              <w:bottom w:val="single" w:sz="4" w:space="0" w:color="auto"/>
              <w:right w:val="single" w:sz="4" w:space="0" w:color="auto"/>
            </w:tcBorders>
            <w:shd w:val="clear" w:color="auto" w:fill="auto"/>
            <w:noWrap/>
            <w:vAlign w:val="center"/>
            <w:hideMark/>
          </w:tcPr>
          <w:p w14:paraId="55C12C3D"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 - Polarized light microscopy</w:t>
            </w:r>
          </w:p>
        </w:tc>
        <w:tc>
          <w:tcPr>
            <w:tcW w:w="567" w:type="dxa"/>
            <w:tcBorders>
              <w:top w:val="nil"/>
              <w:left w:val="nil"/>
              <w:bottom w:val="single" w:sz="4" w:space="0" w:color="auto"/>
              <w:right w:val="single" w:sz="4" w:space="0" w:color="auto"/>
            </w:tcBorders>
            <w:shd w:val="clear" w:color="auto" w:fill="auto"/>
            <w:noWrap/>
            <w:vAlign w:val="center"/>
            <w:hideMark/>
          </w:tcPr>
          <w:p w14:paraId="6ECAFF04" w14:textId="03867875"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7CA63B01"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vAlign w:val="center"/>
            <w:hideMark/>
          </w:tcPr>
          <w:p w14:paraId="10328DA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 5%</w:t>
            </w:r>
          </w:p>
        </w:tc>
        <w:tc>
          <w:tcPr>
            <w:tcW w:w="737" w:type="dxa"/>
            <w:tcBorders>
              <w:top w:val="nil"/>
              <w:left w:val="nil"/>
              <w:bottom w:val="single" w:sz="4" w:space="0" w:color="auto"/>
              <w:right w:val="single" w:sz="4" w:space="0" w:color="auto"/>
            </w:tcBorders>
            <w:shd w:val="clear" w:color="auto" w:fill="auto"/>
            <w:noWrap/>
            <w:vAlign w:val="center"/>
            <w:hideMark/>
          </w:tcPr>
          <w:p w14:paraId="7E6FFB21" w14:textId="58C7E510"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2902102F" w14:textId="07AB785F"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4F33A3D4" w14:textId="58359B05"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57A70DB6" w14:textId="4984A214"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{"citationItems":[{"id":"ITEM-1","itemData":{"DOI":"10.15376/biores.14.2.3182-3199","ISSN":"19302126","abstract":"Wood dust samples with different particle sizes were used to investigate the explosion characteristics of wood dust. The dust samples came from Populus alba L., Pinus massoniana Lamb., and Cinnamonum camphora (L.) Pres., species that are commonly utilized in medium density fiberboard production in China. The thermogravimetric characteristics, element composition, and morphology of dust samples were analyzed to help explain the explosion phenomena in a 20 L sphere. The analysis showed that both the maximum explosion pressure and explosion index of wood dust presented a decreasing trend with increasing particle size, and the maximum explosion pressure values were in the range of 7 to 9 bar, regardless of species. For both explosion pressure and explosion index values, the wood dust with similar particle sizes were different, which are ranked as Populus alba &gt; Cinnamonum camphora &gt; Pinus massoniana. In addition, for the explosion pressure of wood dust with similar particle size, the dust concentration had threshold values. Additionally, the particle size and dust concentration had a synergistic effect on the explosion pressure and explosion index. Wood dust with a smaller particle size is more likely to explode at the threshold of concentration.","author":[{"dropping-particle":"","family":"Guo","given":"Lu","non-dropping-particle":"","parse-names":false,"suffix":""},{"dropping-particle":"","family":"Xiao","given":"Qiuping","non-dropping-particle":"","parse-names":false,"suffix":""},{"dropping-particle":"","family":"Zhu","given":"Nanfeng","non-dropping-particle":"","parse-names":false,"suffix":""},{"dropping-particle":"","family":"Wang","given":"Yao","non-dropping-particle":"","parse-names":false,"suffix":""},{"dropping-particle":"","family":"Chen","given":"Xiulan","non-dropping-particle":"","parse-names":false,"suffix":""},{"dropping-particle":"","family":"Xu","given":"Changyan","non-dropping-particle":"","parse-names":false,"suffix":""}],"container-title":"BioResources","id":"ITEM-1","issue":"2","issued":{"date-parts":[["2019"]]},"page":"3182-3199","title":"Comparative studies on the explosion severity of different wood dusts from fiberboard production","type":"article-journal","volume":"14"},"uris":["http://www.mendeley.com/documents/?uuid=dacd87bd-f5eb-4ed5-94b8-717bbe143770"]}],"mendeley":{"formattedCitation":"[112]","plainTextFormattedCitation":"[112]","previouslyFormattedCitation":"[112]"},"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[112]</w:t>
            </w:r>
            <w:r w:rsidRPr="00DB19C7">
              <w:rPr>
                <w:color w:val="auto"/>
                <w:sz w:val="18"/>
                <w:szCs w:val="18"/>
                <w:lang w:eastAsia="en-GB" w:bidi="ar-SA"/>
              </w:rPr>
              <w:fldChar w:fldCharType="end"/>
            </w:r>
          </w:p>
        </w:tc>
      </w:tr>
      <w:tr w:rsidR="00DB19C7" w:rsidRPr="00DB19C7" w14:paraId="047F77B1" w14:textId="14C46CFF"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07DE0B88"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36</w:t>
            </w:r>
          </w:p>
        </w:tc>
        <w:tc>
          <w:tcPr>
            <w:tcW w:w="1746" w:type="dxa"/>
            <w:tcBorders>
              <w:top w:val="nil"/>
              <w:left w:val="nil"/>
              <w:bottom w:val="single" w:sz="4" w:space="0" w:color="auto"/>
              <w:right w:val="single" w:sz="4" w:space="0" w:color="auto"/>
            </w:tcBorders>
            <w:shd w:val="clear" w:color="auto" w:fill="auto"/>
            <w:noWrap/>
            <w:vAlign w:val="center"/>
            <w:hideMark/>
          </w:tcPr>
          <w:p w14:paraId="6C6D25F0" w14:textId="77777777" w:rsidR="002B4066" w:rsidRPr="00DB19C7" w:rsidRDefault="002B4066" w:rsidP="002B4066">
            <w:pPr>
              <w:adjustRightInd/>
              <w:snapToGrid/>
              <w:spacing w:line="240" w:lineRule="auto"/>
              <w:jc w:val="center"/>
              <w:rPr>
                <w:color w:val="auto"/>
                <w:sz w:val="18"/>
                <w:szCs w:val="18"/>
                <w:lang w:eastAsia="en-GB" w:bidi="ar-SA"/>
              </w:rPr>
            </w:pPr>
            <w:proofErr w:type="spellStart"/>
            <w:r w:rsidRPr="00DB19C7">
              <w:rPr>
                <w:color w:val="auto"/>
                <w:sz w:val="18"/>
                <w:szCs w:val="18"/>
                <w:lang w:eastAsia="en-GB" w:bidi="ar-SA"/>
              </w:rPr>
              <w:t>Pinus</w:t>
            </w:r>
            <w:proofErr w:type="spellEnd"/>
            <w:r w:rsidRPr="00DB19C7">
              <w:rPr>
                <w:color w:val="auto"/>
                <w:sz w:val="18"/>
                <w:szCs w:val="18"/>
                <w:lang w:eastAsia="en-GB" w:bidi="ar-SA"/>
              </w:rPr>
              <w:t xml:space="preserve"> </w:t>
            </w:r>
            <w:proofErr w:type="spellStart"/>
            <w:r w:rsidRPr="00DB19C7">
              <w:rPr>
                <w:color w:val="auto"/>
                <w:sz w:val="18"/>
                <w:szCs w:val="18"/>
                <w:lang w:eastAsia="en-GB" w:bidi="ar-SA"/>
              </w:rPr>
              <w:t>massoniana</w:t>
            </w:r>
            <w:proofErr w:type="spellEnd"/>
            <w:r w:rsidRPr="00DB19C7">
              <w:rPr>
                <w:color w:val="auto"/>
                <w:sz w:val="18"/>
                <w:szCs w:val="18"/>
                <w:lang w:eastAsia="en-GB" w:bidi="ar-SA"/>
              </w:rPr>
              <w:t xml:space="preserve">, fraction 125-250 </w:t>
            </w:r>
            <w:proofErr w:type="spellStart"/>
            <w:r w:rsidRPr="00DB19C7">
              <w:rPr>
                <w:color w:val="auto"/>
                <w:sz w:val="18"/>
                <w:szCs w:val="18"/>
                <w:lang w:eastAsia="en-GB" w:bidi="ar-SA"/>
              </w:rPr>
              <w:t>μm</w:t>
            </w:r>
            <w:proofErr w:type="spellEnd"/>
          </w:p>
        </w:tc>
        <w:tc>
          <w:tcPr>
            <w:tcW w:w="767" w:type="dxa"/>
            <w:tcBorders>
              <w:top w:val="nil"/>
              <w:left w:val="nil"/>
              <w:bottom w:val="single" w:sz="4" w:space="0" w:color="auto"/>
              <w:right w:val="single" w:sz="4" w:space="0" w:color="auto"/>
            </w:tcBorders>
            <w:shd w:val="clear" w:color="auto" w:fill="auto"/>
            <w:noWrap/>
            <w:vAlign w:val="center"/>
            <w:hideMark/>
          </w:tcPr>
          <w:p w14:paraId="3255579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29.78</w:t>
            </w:r>
          </w:p>
        </w:tc>
        <w:tc>
          <w:tcPr>
            <w:tcW w:w="767" w:type="dxa"/>
            <w:tcBorders>
              <w:top w:val="nil"/>
              <w:left w:val="nil"/>
              <w:bottom w:val="single" w:sz="4" w:space="0" w:color="auto"/>
              <w:right w:val="single" w:sz="4" w:space="0" w:color="auto"/>
            </w:tcBorders>
            <w:shd w:val="clear" w:color="auto" w:fill="auto"/>
            <w:noWrap/>
            <w:vAlign w:val="center"/>
            <w:hideMark/>
          </w:tcPr>
          <w:p w14:paraId="0F0EB30C"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120.09</w:t>
            </w:r>
          </w:p>
        </w:tc>
        <w:tc>
          <w:tcPr>
            <w:tcW w:w="1018" w:type="dxa"/>
            <w:tcBorders>
              <w:top w:val="nil"/>
              <w:left w:val="nil"/>
              <w:bottom w:val="single" w:sz="4" w:space="0" w:color="auto"/>
              <w:right w:val="single" w:sz="4" w:space="0" w:color="auto"/>
            </w:tcBorders>
            <w:shd w:val="clear" w:color="auto" w:fill="auto"/>
            <w:noWrap/>
            <w:vAlign w:val="center"/>
            <w:hideMark/>
          </w:tcPr>
          <w:p w14:paraId="41F78FC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279.06</w:t>
            </w:r>
          </w:p>
        </w:tc>
        <w:tc>
          <w:tcPr>
            <w:tcW w:w="1096" w:type="dxa"/>
            <w:tcBorders>
              <w:top w:val="nil"/>
              <w:left w:val="nil"/>
              <w:bottom w:val="single" w:sz="4" w:space="0" w:color="auto"/>
              <w:right w:val="single" w:sz="4" w:space="0" w:color="auto"/>
            </w:tcBorders>
            <w:shd w:val="clear" w:color="auto" w:fill="auto"/>
            <w:noWrap/>
            <w:vAlign w:val="center"/>
            <w:hideMark/>
          </w:tcPr>
          <w:p w14:paraId="5152A206"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 xml:space="preserve">Yes - fraction 0-500 </w:t>
            </w:r>
            <w:proofErr w:type="spellStart"/>
            <w:r w:rsidRPr="00DB19C7">
              <w:rPr>
                <w:color w:val="auto"/>
                <w:sz w:val="18"/>
                <w:szCs w:val="18"/>
                <w:lang w:eastAsia="en-GB" w:bidi="ar-SA"/>
              </w:rPr>
              <w:t>μm</w:t>
            </w:r>
            <w:proofErr w:type="spellEnd"/>
          </w:p>
        </w:tc>
        <w:tc>
          <w:tcPr>
            <w:tcW w:w="767" w:type="dxa"/>
            <w:tcBorders>
              <w:top w:val="nil"/>
              <w:left w:val="nil"/>
              <w:bottom w:val="single" w:sz="4" w:space="0" w:color="auto"/>
              <w:right w:val="single" w:sz="4" w:space="0" w:color="auto"/>
            </w:tcBorders>
            <w:shd w:val="clear" w:color="auto" w:fill="auto"/>
            <w:noWrap/>
            <w:vAlign w:val="center"/>
            <w:hideMark/>
          </w:tcPr>
          <w:p w14:paraId="6A1EA1E2" w14:textId="1B88E5BC"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343555E9" w14:textId="6DE22BBF"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7D2D9A51" w14:textId="3DEE6BE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0.1</w:t>
            </w:r>
          </w:p>
        </w:tc>
        <w:tc>
          <w:tcPr>
            <w:tcW w:w="1137" w:type="dxa"/>
            <w:tcBorders>
              <w:top w:val="nil"/>
              <w:left w:val="nil"/>
              <w:bottom w:val="single" w:sz="4" w:space="0" w:color="auto"/>
              <w:right w:val="single" w:sz="4" w:space="0" w:color="auto"/>
            </w:tcBorders>
            <w:shd w:val="clear" w:color="auto" w:fill="auto"/>
            <w:noWrap/>
            <w:vAlign w:val="center"/>
            <w:hideMark/>
          </w:tcPr>
          <w:p w14:paraId="59860AFD"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 - Polarized light microscopy</w:t>
            </w:r>
          </w:p>
        </w:tc>
        <w:tc>
          <w:tcPr>
            <w:tcW w:w="567" w:type="dxa"/>
            <w:tcBorders>
              <w:top w:val="nil"/>
              <w:left w:val="nil"/>
              <w:bottom w:val="single" w:sz="4" w:space="0" w:color="auto"/>
              <w:right w:val="single" w:sz="4" w:space="0" w:color="auto"/>
            </w:tcBorders>
            <w:shd w:val="clear" w:color="auto" w:fill="auto"/>
            <w:noWrap/>
            <w:vAlign w:val="center"/>
            <w:hideMark/>
          </w:tcPr>
          <w:p w14:paraId="0660659A" w14:textId="18B51F0C"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3B2688AE"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vAlign w:val="center"/>
            <w:hideMark/>
          </w:tcPr>
          <w:p w14:paraId="50565CD8"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 5%</w:t>
            </w:r>
          </w:p>
        </w:tc>
        <w:tc>
          <w:tcPr>
            <w:tcW w:w="737" w:type="dxa"/>
            <w:tcBorders>
              <w:top w:val="nil"/>
              <w:left w:val="nil"/>
              <w:bottom w:val="single" w:sz="4" w:space="0" w:color="auto"/>
              <w:right w:val="single" w:sz="4" w:space="0" w:color="auto"/>
            </w:tcBorders>
            <w:shd w:val="clear" w:color="auto" w:fill="auto"/>
            <w:noWrap/>
            <w:vAlign w:val="center"/>
            <w:hideMark/>
          </w:tcPr>
          <w:p w14:paraId="1C3497F2" w14:textId="7774CF1F"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28B5F1B6" w14:textId="573AC834"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6706A1F1" w14:textId="051F5B1F"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0AF0992A" w14:textId="004AB3C9"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{"citationItems":[{"id":"ITEM-1","itemData":{"DOI":"10.15376/biores.14.2.3182-3199","ISSN":"19302126","abstract":"Wood dust samples with different particle sizes were used to investigate the explosion characteristics of wood dust. The dust samples came from Populus alba L., Pinus massoniana Lamb., and Cinnamonum camphora (L.) Pres., species that are commonly utilized in medium density fiberboard production in China. The thermogravimetric characteristics, element composition, and morphology of dust samples were analyzed to help explain the explosion phenomena in a 20 L sphere. The analysis showed that both the maximum explosion pressure and explosion index of wood dust presented a decreasing trend with increasing particle size, and the maximum explosion pressure values were in the range of 7 to 9 bar, regardless of species. For both explosion pressure and explosion index values, the wood dust with similar particle sizes were different, which are ranked as Populus alba &gt; Cinnamonum camphora &gt; Pinus massoniana. In addition, for the explosion pressure of wood dust with similar particle size, the dust concentration had threshold values. Additionally, the particle size and dust concentration had a synergistic effect on the explosion pressure and explosion index. Wood dust with a smaller particle size is more likely to explode at the threshold of concentration.","author":[{"dropping-particle":"","family":"Guo","given":"Lu","non-dropping-particle":"","parse-names":false,"suffix":""},{"dropping-particle":"","family":"Xiao","given":"Qiuping","non-dropping-particle":"","parse-names":false,"suffix":""},{"dropping-particle":"","family":"Zhu","given":"Nanfeng","non-dropping-particle":"","parse-names":false,"suffix":""},{"dropping-particle":"","family":"Wang","given":"Yao","non-dropping-particle":"","parse-names":false,"suffix":""},{"dropping-particle":"","family":"Chen","given":"Xiulan","non-dropping-particle":"","parse-names":false,"suffix":""},{"dropping-particle":"","family":"Xu","given":"Changyan","non-dropping-particle":"","parse-names":false,"suffix":""}],"container-title":"BioResources","id":"ITEM-1","issue":"2","issued":{"date-parts":[["2019"]]},"page":"3182-3199","title":"Comparative studies on the explosion severity of different wood dusts from fiberboard production","type":"article-journal","volume":"14"},"uris":["http://www.mendeley.com/documents/?uuid=dacd87bd-f5eb-4ed5-94b8-717bbe143770"]}],"mendeley":{"formattedCitation":"[112]","plainTextFormattedCitation":"[112]","previouslyFormattedCitation":"[112]"},"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[112]</w:t>
            </w:r>
            <w:r w:rsidRPr="00DB19C7">
              <w:rPr>
                <w:color w:val="auto"/>
                <w:sz w:val="18"/>
                <w:szCs w:val="18"/>
                <w:lang w:eastAsia="en-GB" w:bidi="ar-SA"/>
              </w:rPr>
              <w:fldChar w:fldCharType="end"/>
            </w:r>
          </w:p>
        </w:tc>
      </w:tr>
      <w:tr w:rsidR="00DB19C7" w:rsidRPr="00DB19C7" w14:paraId="538615C7" w14:textId="724F2C0C"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291F6C5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37</w:t>
            </w:r>
          </w:p>
        </w:tc>
        <w:tc>
          <w:tcPr>
            <w:tcW w:w="1746" w:type="dxa"/>
            <w:tcBorders>
              <w:top w:val="nil"/>
              <w:left w:val="nil"/>
              <w:bottom w:val="single" w:sz="4" w:space="0" w:color="auto"/>
              <w:right w:val="single" w:sz="4" w:space="0" w:color="auto"/>
            </w:tcBorders>
            <w:shd w:val="clear" w:color="auto" w:fill="auto"/>
            <w:noWrap/>
            <w:vAlign w:val="center"/>
            <w:hideMark/>
          </w:tcPr>
          <w:p w14:paraId="358AF694" w14:textId="77777777" w:rsidR="002B4066" w:rsidRPr="00DB19C7" w:rsidRDefault="002B4066" w:rsidP="002B4066">
            <w:pPr>
              <w:adjustRightInd/>
              <w:snapToGrid/>
              <w:spacing w:line="240" w:lineRule="auto"/>
              <w:jc w:val="center"/>
              <w:rPr>
                <w:color w:val="auto"/>
                <w:sz w:val="18"/>
                <w:szCs w:val="18"/>
                <w:lang w:eastAsia="en-GB" w:bidi="ar-SA"/>
              </w:rPr>
            </w:pPr>
            <w:proofErr w:type="spellStart"/>
            <w:r w:rsidRPr="00DB19C7">
              <w:rPr>
                <w:color w:val="auto"/>
                <w:sz w:val="18"/>
                <w:szCs w:val="18"/>
                <w:lang w:eastAsia="en-GB" w:bidi="ar-SA"/>
              </w:rPr>
              <w:t>Pinus</w:t>
            </w:r>
            <w:proofErr w:type="spellEnd"/>
            <w:r w:rsidRPr="00DB19C7">
              <w:rPr>
                <w:color w:val="auto"/>
                <w:sz w:val="18"/>
                <w:szCs w:val="18"/>
                <w:lang w:eastAsia="en-GB" w:bidi="ar-SA"/>
              </w:rPr>
              <w:t xml:space="preserve"> </w:t>
            </w:r>
            <w:proofErr w:type="spellStart"/>
            <w:r w:rsidRPr="00DB19C7">
              <w:rPr>
                <w:color w:val="auto"/>
                <w:sz w:val="18"/>
                <w:szCs w:val="18"/>
                <w:lang w:eastAsia="en-GB" w:bidi="ar-SA"/>
              </w:rPr>
              <w:t>massoniana</w:t>
            </w:r>
            <w:proofErr w:type="spellEnd"/>
            <w:r w:rsidRPr="00DB19C7">
              <w:rPr>
                <w:color w:val="auto"/>
                <w:sz w:val="18"/>
                <w:szCs w:val="18"/>
                <w:lang w:eastAsia="en-GB" w:bidi="ar-SA"/>
              </w:rPr>
              <w:t xml:space="preserve">, fraction 250-500 </w:t>
            </w:r>
            <w:proofErr w:type="spellStart"/>
            <w:r w:rsidRPr="00DB19C7">
              <w:rPr>
                <w:color w:val="auto"/>
                <w:sz w:val="18"/>
                <w:szCs w:val="18"/>
                <w:lang w:eastAsia="en-GB" w:bidi="ar-SA"/>
              </w:rPr>
              <w:t>μm</w:t>
            </w:r>
            <w:proofErr w:type="spellEnd"/>
          </w:p>
        </w:tc>
        <w:tc>
          <w:tcPr>
            <w:tcW w:w="767" w:type="dxa"/>
            <w:tcBorders>
              <w:top w:val="nil"/>
              <w:left w:val="nil"/>
              <w:bottom w:val="single" w:sz="4" w:space="0" w:color="auto"/>
              <w:right w:val="single" w:sz="4" w:space="0" w:color="auto"/>
            </w:tcBorders>
            <w:shd w:val="clear" w:color="auto" w:fill="auto"/>
            <w:noWrap/>
            <w:vAlign w:val="center"/>
            <w:hideMark/>
          </w:tcPr>
          <w:p w14:paraId="2F226A7A"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66.67</w:t>
            </w:r>
          </w:p>
        </w:tc>
        <w:tc>
          <w:tcPr>
            <w:tcW w:w="767" w:type="dxa"/>
            <w:tcBorders>
              <w:top w:val="nil"/>
              <w:left w:val="nil"/>
              <w:bottom w:val="single" w:sz="4" w:space="0" w:color="auto"/>
              <w:right w:val="single" w:sz="4" w:space="0" w:color="auto"/>
            </w:tcBorders>
            <w:shd w:val="clear" w:color="auto" w:fill="auto"/>
            <w:noWrap/>
            <w:vAlign w:val="center"/>
            <w:hideMark/>
          </w:tcPr>
          <w:p w14:paraId="565B9493"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219.04</w:t>
            </w:r>
          </w:p>
        </w:tc>
        <w:tc>
          <w:tcPr>
            <w:tcW w:w="1018" w:type="dxa"/>
            <w:tcBorders>
              <w:top w:val="nil"/>
              <w:left w:val="nil"/>
              <w:bottom w:val="single" w:sz="4" w:space="0" w:color="auto"/>
              <w:right w:val="single" w:sz="4" w:space="0" w:color="auto"/>
            </w:tcBorders>
            <w:shd w:val="clear" w:color="auto" w:fill="auto"/>
            <w:noWrap/>
            <w:vAlign w:val="center"/>
            <w:hideMark/>
          </w:tcPr>
          <w:p w14:paraId="125FA578"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459.9</w:t>
            </w:r>
          </w:p>
        </w:tc>
        <w:tc>
          <w:tcPr>
            <w:tcW w:w="1096" w:type="dxa"/>
            <w:tcBorders>
              <w:top w:val="nil"/>
              <w:left w:val="nil"/>
              <w:bottom w:val="single" w:sz="4" w:space="0" w:color="auto"/>
              <w:right w:val="single" w:sz="4" w:space="0" w:color="auto"/>
            </w:tcBorders>
            <w:shd w:val="clear" w:color="auto" w:fill="auto"/>
            <w:noWrap/>
            <w:vAlign w:val="center"/>
            <w:hideMark/>
          </w:tcPr>
          <w:p w14:paraId="7A5BACCE"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 xml:space="preserve">Yes - fraction 0-500 </w:t>
            </w:r>
            <w:proofErr w:type="spellStart"/>
            <w:r w:rsidRPr="00DB19C7">
              <w:rPr>
                <w:color w:val="auto"/>
                <w:sz w:val="18"/>
                <w:szCs w:val="18"/>
                <w:lang w:eastAsia="en-GB" w:bidi="ar-SA"/>
              </w:rPr>
              <w:t>μm</w:t>
            </w:r>
            <w:proofErr w:type="spellEnd"/>
          </w:p>
        </w:tc>
        <w:tc>
          <w:tcPr>
            <w:tcW w:w="767" w:type="dxa"/>
            <w:tcBorders>
              <w:top w:val="nil"/>
              <w:left w:val="nil"/>
              <w:bottom w:val="single" w:sz="4" w:space="0" w:color="auto"/>
              <w:right w:val="single" w:sz="4" w:space="0" w:color="auto"/>
            </w:tcBorders>
            <w:shd w:val="clear" w:color="auto" w:fill="auto"/>
            <w:noWrap/>
            <w:vAlign w:val="center"/>
            <w:hideMark/>
          </w:tcPr>
          <w:p w14:paraId="2A014E3A" w14:textId="1EF75AC7"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0F22D66C" w14:textId="126245B5"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4688AE6C" w14:textId="7EB3BFA2"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0.05</w:t>
            </w:r>
          </w:p>
        </w:tc>
        <w:tc>
          <w:tcPr>
            <w:tcW w:w="1137" w:type="dxa"/>
            <w:tcBorders>
              <w:top w:val="nil"/>
              <w:left w:val="nil"/>
              <w:bottom w:val="single" w:sz="4" w:space="0" w:color="auto"/>
              <w:right w:val="single" w:sz="4" w:space="0" w:color="auto"/>
            </w:tcBorders>
            <w:shd w:val="clear" w:color="auto" w:fill="auto"/>
            <w:noWrap/>
            <w:vAlign w:val="center"/>
            <w:hideMark/>
          </w:tcPr>
          <w:p w14:paraId="0498402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 - Polarized light microscopy</w:t>
            </w:r>
          </w:p>
        </w:tc>
        <w:tc>
          <w:tcPr>
            <w:tcW w:w="567" w:type="dxa"/>
            <w:tcBorders>
              <w:top w:val="nil"/>
              <w:left w:val="nil"/>
              <w:bottom w:val="single" w:sz="4" w:space="0" w:color="auto"/>
              <w:right w:val="single" w:sz="4" w:space="0" w:color="auto"/>
            </w:tcBorders>
            <w:shd w:val="clear" w:color="auto" w:fill="auto"/>
            <w:noWrap/>
            <w:vAlign w:val="center"/>
            <w:hideMark/>
          </w:tcPr>
          <w:p w14:paraId="5FE0CBC3" w14:textId="5F18FA2F"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4DF5E443"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vAlign w:val="center"/>
            <w:hideMark/>
          </w:tcPr>
          <w:p w14:paraId="6D42B1C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 5%</w:t>
            </w:r>
          </w:p>
        </w:tc>
        <w:tc>
          <w:tcPr>
            <w:tcW w:w="737" w:type="dxa"/>
            <w:tcBorders>
              <w:top w:val="nil"/>
              <w:left w:val="nil"/>
              <w:bottom w:val="single" w:sz="4" w:space="0" w:color="auto"/>
              <w:right w:val="single" w:sz="4" w:space="0" w:color="auto"/>
            </w:tcBorders>
            <w:shd w:val="clear" w:color="auto" w:fill="auto"/>
            <w:noWrap/>
            <w:vAlign w:val="center"/>
            <w:hideMark/>
          </w:tcPr>
          <w:p w14:paraId="32AC3960" w14:textId="5C42B736"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1421F65D" w14:textId="067B802B"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75F50322" w14:textId="4AF0942A"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5EC3B6F9" w14:textId="4CDFC351"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{"citationItems":[{"id":"ITEM-1","itemData":{"DOI":"10.15376/biores.14.2.3182-3199","ISSN":"19302126","abstract":"Wood dust samples with different particle sizes were used to investigate the explosion characteristics of wood dust. The dust samples came from Populus alba L., Pinus massoniana Lamb., and Cinnamonum camphora (L.) Pres., species that are commonly utilized in medium density fiberboard production in China. The thermogravimetric characteristics, element composition, and morphology of dust samples were analyzed to help explain the explosion phenomena in a 20 L sphere. The analysis showed that both the maximum explosion pressure and explosion index of wood dust presented a decreasing trend with increasing particle size, and the maximum explosion pressure values were in the range of 7 to 9 bar, regardless of species. For both explosion pressure and explosion index values, the wood dust with similar particle sizes were different, which are ranked as Populus alba &gt; Cinnamonum camphora &gt; Pinus massoniana. In addition, for the explosion pressure of wood dust with similar particle size, the dust concentration had threshold values. Additionally, the particle size and dust concentration had a synergistic effect on the explosion pressure and explosion index. Wood dust with a smaller particle size is more likely to explode at the threshold of concentration.","author":[{"dropping-particle":"","family":"Guo","given":"Lu","non-dropping-particle":"","parse-names":false,"suffix":""},{"dropping-particle":"","family":"Xiao","given":"Qiuping","non-dropping-particle":"","parse-names":false,"suffix":""},{"dropping-particle":"","family":"Zhu","given":"Nanfeng","non-dropping-particle":"","parse-names":false,"suffix":""},{"dropping-particle":"","family":"Wang","given":"Yao","non-dropping-particle":"","parse-names":false,"suffix":""},{"dropping-particle":"","family":"Chen","given":"Xiulan","non-dropping-particle":"","parse-names":false,"suffix":""},{"dropping-particle":"","family":"Xu","given":"Changyan","non-dropping-particle":"","parse-names":false,"suffix":""}],"container-title":"BioResources","id":"ITEM-1","issue":"2","issued":{"date-parts":[["2019"]]},"page":"3182-3199","title":"Comparative studies on the explosion severity of different wood dusts from fiberboard production","type":"article-journal","volume":"14"},"uris":["http://www.mendeley.com/documents/?uuid=dacd87bd-f5eb-4ed5-94b8-717bbe143770"]}],"mendeley":{"formattedCitation":"[112]","plainTextFormattedCitation":"[112]","previouslyFormattedCitation":"[112]"},"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[112]</w:t>
            </w:r>
            <w:r w:rsidRPr="00DB19C7">
              <w:rPr>
                <w:color w:val="auto"/>
                <w:sz w:val="18"/>
                <w:szCs w:val="18"/>
                <w:lang w:eastAsia="en-GB" w:bidi="ar-SA"/>
              </w:rPr>
              <w:fldChar w:fldCharType="end"/>
            </w:r>
          </w:p>
        </w:tc>
      </w:tr>
      <w:tr w:rsidR="00DB19C7" w:rsidRPr="00DB19C7" w14:paraId="3132370A" w14:textId="28CF154E"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59FE58D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38</w:t>
            </w:r>
          </w:p>
        </w:tc>
        <w:tc>
          <w:tcPr>
            <w:tcW w:w="1746" w:type="dxa"/>
            <w:tcBorders>
              <w:top w:val="nil"/>
              <w:left w:val="nil"/>
              <w:bottom w:val="single" w:sz="4" w:space="0" w:color="auto"/>
              <w:right w:val="single" w:sz="4" w:space="0" w:color="auto"/>
            </w:tcBorders>
            <w:shd w:val="clear" w:color="auto" w:fill="auto"/>
            <w:noWrap/>
            <w:vAlign w:val="center"/>
            <w:hideMark/>
          </w:tcPr>
          <w:p w14:paraId="0DA24EDA" w14:textId="77777777" w:rsidR="002B4066" w:rsidRPr="00DB19C7" w:rsidRDefault="002B4066" w:rsidP="002B4066">
            <w:pPr>
              <w:adjustRightInd/>
              <w:snapToGrid/>
              <w:spacing w:line="240" w:lineRule="auto"/>
              <w:jc w:val="center"/>
              <w:rPr>
                <w:color w:val="auto"/>
                <w:sz w:val="18"/>
                <w:szCs w:val="18"/>
                <w:lang w:eastAsia="en-GB" w:bidi="ar-SA"/>
              </w:rPr>
            </w:pPr>
            <w:proofErr w:type="spellStart"/>
            <w:r w:rsidRPr="00DB19C7">
              <w:rPr>
                <w:color w:val="auto"/>
                <w:sz w:val="18"/>
                <w:szCs w:val="18"/>
                <w:lang w:eastAsia="en-GB" w:bidi="ar-SA"/>
              </w:rPr>
              <w:t>Pinus</w:t>
            </w:r>
            <w:proofErr w:type="spellEnd"/>
            <w:r w:rsidRPr="00DB19C7">
              <w:rPr>
                <w:color w:val="auto"/>
                <w:sz w:val="18"/>
                <w:szCs w:val="18"/>
                <w:lang w:eastAsia="en-GB" w:bidi="ar-SA"/>
              </w:rPr>
              <w:t xml:space="preserve"> </w:t>
            </w:r>
            <w:proofErr w:type="spellStart"/>
            <w:r w:rsidRPr="00DB19C7">
              <w:rPr>
                <w:color w:val="auto"/>
                <w:sz w:val="18"/>
                <w:szCs w:val="18"/>
                <w:lang w:eastAsia="en-GB" w:bidi="ar-SA"/>
              </w:rPr>
              <w:t>massoniana</w:t>
            </w:r>
            <w:proofErr w:type="spellEnd"/>
            <w:r w:rsidRPr="00DB19C7">
              <w:rPr>
                <w:color w:val="auto"/>
                <w:sz w:val="18"/>
                <w:szCs w:val="18"/>
                <w:lang w:eastAsia="en-GB" w:bidi="ar-SA"/>
              </w:rPr>
              <w:t xml:space="preserve">, fraction 63-125 </w:t>
            </w:r>
            <w:proofErr w:type="spellStart"/>
            <w:r w:rsidRPr="00DB19C7">
              <w:rPr>
                <w:color w:val="auto"/>
                <w:sz w:val="18"/>
                <w:szCs w:val="18"/>
                <w:lang w:eastAsia="en-GB" w:bidi="ar-SA"/>
              </w:rPr>
              <w:t>μm</w:t>
            </w:r>
            <w:proofErr w:type="spellEnd"/>
          </w:p>
        </w:tc>
        <w:tc>
          <w:tcPr>
            <w:tcW w:w="767" w:type="dxa"/>
            <w:tcBorders>
              <w:top w:val="nil"/>
              <w:left w:val="nil"/>
              <w:bottom w:val="single" w:sz="4" w:space="0" w:color="auto"/>
              <w:right w:val="single" w:sz="4" w:space="0" w:color="auto"/>
            </w:tcBorders>
            <w:shd w:val="clear" w:color="auto" w:fill="auto"/>
            <w:noWrap/>
            <w:vAlign w:val="center"/>
            <w:hideMark/>
          </w:tcPr>
          <w:p w14:paraId="26B7BD84"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18.12</w:t>
            </w:r>
          </w:p>
        </w:tc>
        <w:tc>
          <w:tcPr>
            <w:tcW w:w="767" w:type="dxa"/>
            <w:tcBorders>
              <w:top w:val="nil"/>
              <w:left w:val="nil"/>
              <w:bottom w:val="single" w:sz="4" w:space="0" w:color="auto"/>
              <w:right w:val="single" w:sz="4" w:space="0" w:color="auto"/>
            </w:tcBorders>
            <w:shd w:val="clear" w:color="auto" w:fill="auto"/>
            <w:noWrap/>
            <w:vAlign w:val="center"/>
            <w:hideMark/>
          </w:tcPr>
          <w:p w14:paraId="71EE2CE5"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57.21</w:t>
            </w:r>
          </w:p>
        </w:tc>
        <w:tc>
          <w:tcPr>
            <w:tcW w:w="1018" w:type="dxa"/>
            <w:tcBorders>
              <w:top w:val="nil"/>
              <w:left w:val="nil"/>
              <w:bottom w:val="single" w:sz="4" w:space="0" w:color="auto"/>
              <w:right w:val="single" w:sz="4" w:space="0" w:color="auto"/>
            </w:tcBorders>
            <w:shd w:val="clear" w:color="auto" w:fill="auto"/>
            <w:noWrap/>
            <w:vAlign w:val="center"/>
            <w:hideMark/>
          </w:tcPr>
          <w:p w14:paraId="593D3305"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154.14</w:t>
            </w:r>
          </w:p>
        </w:tc>
        <w:tc>
          <w:tcPr>
            <w:tcW w:w="1096" w:type="dxa"/>
            <w:tcBorders>
              <w:top w:val="nil"/>
              <w:left w:val="nil"/>
              <w:bottom w:val="single" w:sz="4" w:space="0" w:color="auto"/>
              <w:right w:val="single" w:sz="4" w:space="0" w:color="auto"/>
            </w:tcBorders>
            <w:shd w:val="clear" w:color="auto" w:fill="auto"/>
            <w:noWrap/>
            <w:vAlign w:val="center"/>
            <w:hideMark/>
          </w:tcPr>
          <w:p w14:paraId="1BDB1AF7"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 xml:space="preserve">Yes - fraction 0-500 </w:t>
            </w:r>
            <w:proofErr w:type="spellStart"/>
            <w:r w:rsidRPr="00DB19C7">
              <w:rPr>
                <w:color w:val="auto"/>
                <w:sz w:val="18"/>
                <w:szCs w:val="18"/>
                <w:lang w:eastAsia="en-GB" w:bidi="ar-SA"/>
              </w:rPr>
              <w:t>μm</w:t>
            </w:r>
            <w:proofErr w:type="spellEnd"/>
          </w:p>
        </w:tc>
        <w:tc>
          <w:tcPr>
            <w:tcW w:w="767" w:type="dxa"/>
            <w:tcBorders>
              <w:top w:val="nil"/>
              <w:left w:val="nil"/>
              <w:bottom w:val="single" w:sz="4" w:space="0" w:color="auto"/>
              <w:right w:val="single" w:sz="4" w:space="0" w:color="auto"/>
            </w:tcBorders>
            <w:shd w:val="clear" w:color="auto" w:fill="auto"/>
            <w:noWrap/>
            <w:vAlign w:val="center"/>
            <w:hideMark/>
          </w:tcPr>
          <w:p w14:paraId="3FA62888" w14:textId="0A70DEFC"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646DC916" w14:textId="27272737"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62C84F78" w14:textId="2D50CEFA"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0.18</w:t>
            </w:r>
          </w:p>
        </w:tc>
        <w:tc>
          <w:tcPr>
            <w:tcW w:w="1137" w:type="dxa"/>
            <w:tcBorders>
              <w:top w:val="nil"/>
              <w:left w:val="nil"/>
              <w:bottom w:val="single" w:sz="4" w:space="0" w:color="auto"/>
              <w:right w:val="single" w:sz="4" w:space="0" w:color="auto"/>
            </w:tcBorders>
            <w:shd w:val="clear" w:color="auto" w:fill="auto"/>
            <w:noWrap/>
            <w:vAlign w:val="center"/>
            <w:hideMark/>
          </w:tcPr>
          <w:p w14:paraId="399D9FD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 - Polarized light microscopy</w:t>
            </w:r>
          </w:p>
        </w:tc>
        <w:tc>
          <w:tcPr>
            <w:tcW w:w="567" w:type="dxa"/>
            <w:tcBorders>
              <w:top w:val="nil"/>
              <w:left w:val="nil"/>
              <w:bottom w:val="single" w:sz="4" w:space="0" w:color="auto"/>
              <w:right w:val="single" w:sz="4" w:space="0" w:color="auto"/>
            </w:tcBorders>
            <w:shd w:val="clear" w:color="auto" w:fill="auto"/>
            <w:noWrap/>
            <w:vAlign w:val="center"/>
            <w:hideMark/>
          </w:tcPr>
          <w:p w14:paraId="6F08B3A5" w14:textId="24182F44"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3BE0ACEA"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vAlign w:val="center"/>
            <w:hideMark/>
          </w:tcPr>
          <w:p w14:paraId="35565D1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 5%</w:t>
            </w:r>
          </w:p>
        </w:tc>
        <w:tc>
          <w:tcPr>
            <w:tcW w:w="737" w:type="dxa"/>
            <w:tcBorders>
              <w:top w:val="nil"/>
              <w:left w:val="nil"/>
              <w:bottom w:val="single" w:sz="4" w:space="0" w:color="auto"/>
              <w:right w:val="single" w:sz="4" w:space="0" w:color="auto"/>
            </w:tcBorders>
            <w:shd w:val="clear" w:color="auto" w:fill="auto"/>
            <w:noWrap/>
            <w:vAlign w:val="center"/>
            <w:hideMark/>
          </w:tcPr>
          <w:p w14:paraId="4D3EB551" w14:textId="4EDA05B7"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79BEBC77" w14:textId="1D1A184C"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25510B7B" w14:textId="0D22D4C8"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6E4EFE98" w14:textId="3F54D517"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{"citationItems":[{"id":"ITEM-1","itemData":{"DOI":"10.15376/biores.14.2.3182-3199","ISSN":"19302126","abstract":"Wood dust samples with different particle sizes were used to investigate the explosion characteristics of wood dust. The dust samples came from Populus alba L., Pinus massoniana Lamb., and Cinnamonum camphora (L.) Pres., species that are commonly utilized in medium density fiberboard production in China. The thermogravimetric characteristics, element composition, and morphology of dust samples were analyzed to help explain the explosion phenomena in a 20 L sphere. The analysis showed that both the maximum explosion pressure and explosion index of wood dust presented a decreasing trend with increasing particle size, and the maximum explosion pressure values were in the range of 7 to 9 bar, regardless of species. For both explosion pressure and explosion index values, the wood dust with similar particle sizes were different, which are ranked as Populus alba &gt; Cinnamonum camphora &gt; Pinus massoniana. In addition, for the explosion pressure of wood dust with similar particle size, the dust concentration had threshold values. Additionally, the particle size and dust concentration had a synergistic effect on the explosion pressure and explosion index. Wood dust with a smaller particle size is more likely to explode at the threshold of concentration.","author":[{"dropping-particle":"","family":"Guo","given":"Lu","non-dropping-particle":"","parse-names":false,"suffix":""},{"dropping-particle":"","family":"Xiao","given":"Qiuping","non-dropping-particle":"","parse-names":false,"suffix":""},{"dropping-particle":"","family":"Zhu","given":"Nanfeng","non-dropping-particle":"","parse-names":false,"suffix":""},{"dropping-particle":"","family":"Wang","given":"Yao","non-dropping-particle":"","parse-names":false,"suffix":""},{"dropping-particle":"","family":"Chen","given":"Xiulan","non-dropping-particle":"","parse-names":false,"suffix":""},{"dropping-particle":"","family":"Xu","given":"Changyan","non-dropping-particle":"","parse-names":false,"suffix":""}],"container-title":"BioResources","id":"ITEM-1","issue":"2","issued":{"date-parts":[["2019"]]},"page":"3182-3199","title":"Comparative studies on the explosion severity of different wood dusts from fiberboard production","type":"article-journal","volume":"14"},"uris":["http://www.mendeley.com/documents/?uuid=dacd87bd-f5eb-4ed5-94b8-717bbe143770"]}],"mendeley":{"formattedCitation":"[112]","plainTextFormattedCitation":"[112]","previouslyFormattedCitation":"[112]"},"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[112]</w:t>
            </w:r>
            <w:r w:rsidRPr="00DB19C7">
              <w:rPr>
                <w:color w:val="auto"/>
                <w:sz w:val="18"/>
                <w:szCs w:val="18"/>
                <w:lang w:eastAsia="en-GB" w:bidi="ar-SA"/>
              </w:rPr>
              <w:fldChar w:fldCharType="end"/>
            </w:r>
          </w:p>
        </w:tc>
      </w:tr>
      <w:tr w:rsidR="00DB19C7" w:rsidRPr="00DB19C7" w14:paraId="0C0872AF" w14:textId="2AE384F3"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6E764DCD"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39</w:t>
            </w:r>
          </w:p>
        </w:tc>
        <w:tc>
          <w:tcPr>
            <w:tcW w:w="1746" w:type="dxa"/>
            <w:tcBorders>
              <w:top w:val="nil"/>
              <w:left w:val="nil"/>
              <w:bottom w:val="single" w:sz="4" w:space="0" w:color="auto"/>
              <w:right w:val="single" w:sz="4" w:space="0" w:color="auto"/>
            </w:tcBorders>
            <w:shd w:val="clear" w:color="auto" w:fill="auto"/>
            <w:noWrap/>
            <w:vAlign w:val="center"/>
            <w:hideMark/>
          </w:tcPr>
          <w:p w14:paraId="4B93A323"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Pistachio nut shells</w:t>
            </w:r>
          </w:p>
        </w:tc>
        <w:tc>
          <w:tcPr>
            <w:tcW w:w="767" w:type="dxa"/>
            <w:tcBorders>
              <w:top w:val="nil"/>
              <w:left w:val="nil"/>
              <w:bottom w:val="single" w:sz="4" w:space="0" w:color="auto"/>
              <w:right w:val="single" w:sz="4" w:space="0" w:color="auto"/>
            </w:tcBorders>
            <w:shd w:val="clear" w:color="auto" w:fill="auto"/>
            <w:noWrap/>
            <w:vAlign w:val="center"/>
            <w:hideMark/>
          </w:tcPr>
          <w:p w14:paraId="79E664AE"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8.42</w:t>
            </w:r>
          </w:p>
        </w:tc>
        <w:tc>
          <w:tcPr>
            <w:tcW w:w="767" w:type="dxa"/>
            <w:tcBorders>
              <w:top w:val="nil"/>
              <w:left w:val="nil"/>
              <w:bottom w:val="single" w:sz="4" w:space="0" w:color="auto"/>
              <w:right w:val="single" w:sz="4" w:space="0" w:color="auto"/>
            </w:tcBorders>
            <w:shd w:val="clear" w:color="auto" w:fill="auto"/>
            <w:noWrap/>
            <w:vAlign w:val="center"/>
            <w:hideMark/>
          </w:tcPr>
          <w:p w14:paraId="16B167CA"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55.37</w:t>
            </w:r>
          </w:p>
        </w:tc>
        <w:tc>
          <w:tcPr>
            <w:tcW w:w="1018" w:type="dxa"/>
            <w:tcBorders>
              <w:top w:val="nil"/>
              <w:left w:val="nil"/>
              <w:bottom w:val="single" w:sz="4" w:space="0" w:color="auto"/>
              <w:right w:val="single" w:sz="4" w:space="0" w:color="auto"/>
            </w:tcBorders>
            <w:shd w:val="clear" w:color="auto" w:fill="auto"/>
            <w:noWrap/>
            <w:vAlign w:val="center"/>
            <w:hideMark/>
          </w:tcPr>
          <w:p w14:paraId="2EE77E89"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240.49</w:t>
            </w:r>
          </w:p>
        </w:tc>
        <w:tc>
          <w:tcPr>
            <w:tcW w:w="1096" w:type="dxa"/>
            <w:tcBorders>
              <w:top w:val="nil"/>
              <w:left w:val="nil"/>
              <w:bottom w:val="single" w:sz="4" w:space="0" w:color="auto"/>
              <w:right w:val="single" w:sz="4" w:space="0" w:color="auto"/>
            </w:tcBorders>
            <w:shd w:val="clear" w:color="auto" w:fill="auto"/>
            <w:noWrap/>
            <w:vAlign w:val="center"/>
            <w:hideMark/>
          </w:tcPr>
          <w:p w14:paraId="01EE128F" w14:textId="3EA55AB2"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254AA1B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93.98</w:t>
            </w:r>
          </w:p>
        </w:tc>
        <w:tc>
          <w:tcPr>
            <w:tcW w:w="765" w:type="dxa"/>
            <w:tcBorders>
              <w:top w:val="nil"/>
              <w:left w:val="nil"/>
              <w:bottom w:val="single" w:sz="4" w:space="0" w:color="auto"/>
              <w:right w:val="single" w:sz="4" w:space="0" w:color="auto"/>
            </w:tcBorders>
            <w:shd w:val="clear" w:color="auto" w:fill="auto"/>
            <w:noWrap/>
            <w:vAlign w:val="center"/>
            <w:hideMark/>
          </w:tcPr>
          <w:p w14:paraId="3B299716"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16.95</w:t>
            </w:r>
          </w:p>
        </w:tc>
        <w:tc>
          <w:tcPr>
            <w:tcW w:w="1199" w:type="dxa"/>
            <w:tcBorders>
              <w:top w:val="nil"/>
              <w:left w:val="nil"/>
              <w:bottom w:val="single" w:sz="4" w:space="0" w:color="auto"/>
              <w:right w:val="single" w:sz="4" w:space="0" w:color="auto"/>
            </w:tcBorders>
            <w:shd w:val="clear" w:color="auto" w:fill="auto"/>
            <w:noWrap/>
            <w:vAlign w:val="center"/>
            <w:hideMark/>
          </w:tcPr>
          <w:p w14:paraId="4595EFAC" w14:textId="0C49C6D7"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24187AA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567" w:type="dxa"/>
            <w:tcBorders>
              <w:top w:val="nil"/>
              <w:left w:val="nil"/>
              <w:bottom w:val="single" w:sz="4" w:space="0" w:color="auto"/>
              <w:right w:val="single" w:sz="4" w:space="0" w:color="auto"/>
            </w:tcBorders>
            <w:shd w:val="clear" w:color="auto" w:fill="auto"/>
            <w:noWrap/>
            <w:vAlign w:val="center"/>
            <w:hideMark/>
          </w:tcPr>
          <w:p w14:paraId="5A26BC26" w14:textId="055DD2D7"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1B0CE954"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59600817"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2.7</w:t>
            </w:r>
          </w:p>
        </w:tc>
        <w:tc>
          <w:tcPr>
            <w:tcW w:w="737" w:type="dxa"/>
            <w:tcBorders>
              <w:top w:val="nil"/>
              <w:left w:val="nil"/>
              <w:bottom w:val="single" w:sz="4" w:space="0" w:color="auto"/>
              <w:right w:val="single" w:sz="4" w:space="0" w:color="auto"/>
            </w:tcBorders>
            <w:shd w:val="clear" w:color="auto" w:fill="auto"/>
            <w:noWrap/>
            <w:vAlign w:val="center"/>
            <w:hideMark/>
          </w:tcPr>
          <w:p w14:paraId="54234C9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78.4</w:t>
            </w:r>
          </w:p>
        </w:tc>
        <w:tc>
          <w:tcPr>
            <w:tcW w:w="737" w:type="dxa"/>
            <w:tcBorders>
              <w:top w:val="nil"/>
              <w:left w:val="nil"/>
              <w:bottom w:val="single" w:sz="4" w:space="0" w:color="auto"/>
              <w:right w:val="single" w:sz="4" w:space="0" w:color="auto"/>
            </w:tcBorders>
            <w:shd w:val="clear" w:color="auto" w:fill="auto"/>
            <w:noWrap/>
            <w:vAlign w:val="center"/>
            <w:hideMark/>
          </w:tcPr>
          <w:p w14:paraId="693F49AC"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8.3</w:t>
            </w:r>
          </w:p>
        </w:tc>
        <w:tc>
          <w:tcPr>
            <w:tcW w:w="737" w:type="dxa"/>
            <w:tcBorders>
              <w:top w:val="nil"/>
              <w:left w:val="nil"/>
              <w:bottom w:val="single" w:sz="4" w:space="0" w:color="auto"/>
              <w:right w:val="single" w:sz="4" w:space="0" w:color="auto"/>
            </w:tcBorders>
            <w:shd w:val="clear" w:color="auto" w:fill="auto"/>
            <w:noWrap/>
            <w:vAlign w:val="center"/>
            <w:hideMark/>
          </w:tcPr>
          <w:p w14:paraId="3BFA4A7D"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10.7</w:t>
            </w:r>
          </w:p>
        </w:tc>
        <w:tc>
          <w:tcPr>
            <w:tcW w:w="617" w:type="dxa"/>
            <w:tcBorders>
              <w:top w:val="single" w:sz="4" w:space="0" w:color="auto"/>
              <w:left w:val="nil"/>
              <w:bottom w:val="single" w:sz="4" w:space="0" w:color="auto"/>
              <w:right w:val="single" w:sz="4" w:space="0" w:color="auto"/>
            </w:tcBorders>
            <w:vAlign w:val="center"/>
          </w:tcPr>
          <w:p w14:paraId="6F115BFD" w14:textId="347FB357"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{"citationItems":[{"id":"ITEM-1","itemData":{"author":[{"dropping-particle":"","family":"Sattar","given":"Hamed","non-dropping-particle":"","parse-names":false,"suffix":""},{"dropping-particle":"","family":"Phylaktou","given":"Herodotos N.","non-dropping-particle":"","parse-names":false,"suffix":""},{"dropping-particle":"","family":"Andrews","given":"Gordon E.","non-dropping-particle":"","parse-names":false,"suffix":""},{"dropping-particle":"","family":"Gibbs","given":"Bernard M.","non-dropping-particle":"","parse-names":false,"suffix":""}],"container-title":"ISHPMIE","id":"ITEM-1","issued":{"date-parts":[["2012"]]},"publisher-place":"Krakow","title":"Explosions and Flame Propagation in Nut-shell Biomass Powders","type":"paper-conference"},"uris":["http://www.mendeley.com/documents/?uuid=ac2f9135-c048-4366-9ea5-0066f9cbf002"]}],"mendeley":{"formattedCitation":"[109]","plainTextFormattedCitation":"[109]","previouslyFormattedCitation":"[109]"},"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[109]</w:t>
            </w:r>
            <w:r w:rsidRPr="00DB19C7">
              <w:rPr>
                <w:color w:val="auto"/>
                <w:sz w:val="18"/>
                <w:szCs w:val="18"/>
                <w:lang w:eastAsia="en-GB" w:bidi="ar-SA"/>
              </w:rPr>
              <w:fldChar w:fldCharType="end"/>
            </w:r>
          </w:p>
        </w:tc>
      </w:tr>
      <w:tr w:rsidR="00DB19C7" w:rsidRPr="00DB19C7" w14:paraId="70727D1A" w14:textId="6BE696EC"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3B244BD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40</w:t>
            </w:r>
          </w:p>
        </w:tc>
        <w:tc>
          <w:tcPr>
            <w:tcW w:w="1746" w:type="dxa"/>
            <w:tcBorders>
              <w:top w:val="nil"/>
              <w:left w:val="nil"/>
              <w:bottom w:val="single" w:sz="4" w:space="0" w:color="auto"/>
              <w:right w:val="single" w:sz="4" w:space="0" w:color="auto"/>
            </w:tcBorders>
            <w:shd w:val="clear" w:color="auto" w:fill="auto"/>
            <w:noWrap/>
            <w:vAlign w:val="center"/>
            <w:hideMark/>
          </w:tcPr>
          <w:p w14:paraId="7A7D32CA"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Poplar</w:t>
            </w:r>
          </w:p>
        </w:tc>
        <w:tc>
          <w:tcPr>
            <w:tcW w:w="767" w:type="dxa"/>
            <w:tcBorders>
              <w:top w:val="nil"/>
              <w:left w:val="nil"/>
              <w:bottom w:val="single" w:sz="4" w:space="0" w:color="auto"/>
              <w:right w:val="single" w:sz="4" w:space="0" w:color="auto"/>
            </w:tcBorders>
            <w:shd w:val="clear" w:color="auto" w:fill="auto"/>
            <w:noWrap/>
            <w:vAlign w:val="center"/>
            <w:hideMark/>
          </w:tcPr>
          <w:p w14:paraId="3012737C" w14:textId="7B6E4670" w:rsidR="002B4066" w:rsidRPr="00DB19C7" w:rsidRDefault="002B4066" w:rsidP="002B4066">
            <w:pPr>
              <w:adjustRightInd/>
              <w:snapToGrid/>
              <w:spacing w:line="240" w:lineRule="auto"/>
              <w:jc w:val="center"/>
              <w:rPr>
                <w:color w:val="auto"/>
                <w:sz w:val="18"/>
                <w:szCs w:val="18"/>
                <w:lang w:eastAsia="en-GB" w:bidi="ar-SA"/>
              </w:rPr>
            </w:pPr>
          </w:p>
        </w:tc>
        <w:tc>
          <w:tcPr>
            <w:tcW w:w="767" w:type="dxa"/>
            <w:tcBorders>
              <w:top w:val="nil"/>
              <w:left w:val="nil"/>
              <w:bottom w:val="single" w:sz="4" w:space="0" w:color="auto"/>
              <w:right w:val="single" w:sz="4" w:space="0" w:color="auto"/>
            </w:tcBorders>
            <w:shd w:val="clear" w:color="auto" w:fill="auto"/>
            <w:noWrap/>
            <w:vAlign w:val="center"/>
            <w:hideMark/>
          </w:tcPr>
          <w:p w14:paraId="4EE51883" w14:textId="509129B4" w:rsidR="002B4066" w:rsidRPr="00DB19C7" w:rsidRDefault="002B4066" w:rsidP="002B4066">
            <w:pPr>
              <w:adjustRightInd/>
              <w:snapToGrid/>
              <w:spacing w:line="240" w:lineRule="auto"/>
              <w:jc w:val="center"/>
              <w:rPr>
                <w:color w:val="auto"/>
                <w:sz w:val="18"/>
                <w:szCs w:val="18"/>
                <w:lang w:eastAsia="en-GB" w:bidi="ar-SA"/>
              </w:rPr>
            </w:pPr>
          </w:p>
        </w:tc>
        <w:tc>
          <w:tcPr>
            <w:tcW w:w="1018" w:type="dxa"/>
            <w:tcBorders>
              <w:top w:val="nil"/>
              <w:left w:val="nil"/>
              <w:bottom w:val="single" w:sz="4" w:space="0" w:color="auto"/>
              <w:right w:val="single" w:sz="4" w:space="0" w:color="auto"/>
            </w:tcBorders>
            <w:shd w:val="clear" w:color="auto" w:fill="auto"/>
            <w:noWrap/>
            <w:vAlign w:val="center"/>
            <w:hideMark/>
          </w:tcPr>
          <w:p w14:paraId="45EA49D5" w14:textId="6BF9B155" w:rsidR="002B4066" w:rsidRPr="00DB19C7" w:rsidRDefault="002B4066" w:rsidP="002B4066">
            <w:pPr>
              <w:adjustRightInd/>
              <w:snapToGrid/>
              <w:spacing w:line="240" w:lineRule="auto"/>
              <w:jc w:val="center"/>
              <w:rPr>
                <w:color w:val="auto"/>
                <w:sz w:val="18"/>
                <w:szCs w:val="18"/>
                <w:lang w:eastAsia="en-GB" w:bidi="ar-SA"/>
              </w:rPr>
            </w:pPr>
          </w:p>
        </w:tc>
        <w:tc>
          <w:tcPr>
            <w:tcW w:w="1096" w:type="dxa"/>
            <w:tcBorders>
              <w:top w:val="nil"/>
              <w:left w:val="nil"/>
              <w:bottom w:val="single" w:sz="4" w:space="0" w:color="auto"/>
              <w:right w:val="single" w:sz="4" w:space="0" w:color="auto"/>
            </w:tcBorders>
            <w:shd w:val="clear" w:color="auto" w:fill="auto"/>
            <w:noWrap/>
            <w:vAlign w:val="center"/>
            <w:hideMark/>
          </w:tcPr>
          <w:p w14:paraId="481F4DF7" w14:textId="3DDC7319"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73FED18C" w14:textId="65150D00"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11B9D961" w14:textId="73A0B467"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21D518E9" w14:textId="7735D9D6"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07295EBE"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567" w:type="dxa"/>
            <w:tcBorders>
              <w:top w:val="nil"/>
              <w:left w:val="nil"/>
              <w:bottom w:val="single" w:sz="4" w:space="0" w:color="auto"/>
              <w:right w:val="single" w:sz="4" w:space="0" w:color="auto"/>
            </w:tcBorders>
            <w:shd w:val="clear" w:color="auto" w:fill="auto"/>
            <w:noWrap/>
            <w:vAlign w:val="center"/>
            <w:hideMark/>
          </w:tcPr>
          <w:p w14:paraId="5924460F" w14:textId="67F2E1D9"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5FA09FA3"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Sieves</w:t>
            </w:r>
          </w:p>
        </w:tc>
        <w:tc>
          <w:tcPr>
            <w:tcW w:w="737" w:type="dxa"/>
            <w:tcBorders>
              <w:top w:val="nil"/>
              <w:left w:val="nil"/>
              <w:bottom w:val="single" w:sz="4" w:space="0" w:color="auto"/>
              <w:right w:val="single" w:sz="4" w:space="0" w:color="auto"/>
            </w:tcBorders>
            <w:shd w:val="clear" w:color="auto" w:fill="auto"/>
            <w:noWrap/>
            <w:vAlign w:val="center"/>
            <w:hideMark/>
          </w:tcPr>
          <w:p w14:paraId="30192986" w14:textId="6BCF2C74"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505AD671" w14:textId="05E94A31"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47E181F2" w14:textId="61CFEA94"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3142F309" w14:textId="00671320"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6E03C07C" w14:textId="220FDE3C"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{"citationItems":[{"id":"ITEM-1","itemData":{"DOI":"10.3303/CET1648068","ISBN":"9788895608396","ISSN":"22839216","abstract":"A modified Hartmann tube apparatus was used to study the explosivity properties of dusts from torrefied biomass pellets. The sensitivity of the dusts to explode was assessed by determining the minimum ignition energies (MIE) and the minimum explosible concentrations (MEC). The severity of the explosion was evaluated by flame front velocity (FFV) measurements via a method developed by ECN. A comparison was made with reference materials like white wood and coal dusts. Dust from torrefied biomass pellets presented MIE and MEC values in the same range as the white wood pellets dust, but depending on the material sometimes even higher values were obtained. The severity of an explosion of torrefied biomass dust tends to be lower when compared with white wood dust explosions, especially when comparing the impact effects of moisture, particle size and temperature, as in a real case scenario. However, torrefied biomass materials still present higher explosion reactivity than coals.","author":[{"dropping-particle":"","family":"Abelha","given":"Pedro","non-dropping-particle":"","parse-names":false,"suffix":""},{"dropping-particle":"","family":"Carbo","given":"Michiel","non-dropping-particle":"","parse-names":false,"suffix":""},{"dropping-particle":"","family":"Cieplik","given":"Mariusz","non-dropping-particle":"","parse-names":false,"suffix":""}],"container-title":"Chemical Engineering Transactions","id":"ITEM-1","issued":{"date-parts":[["2016"]]},"page":"403-408","title":"Explosivity properties of dusts from torrefied biomass pellets","type":"article-journal","volume":"48"},"uris":["http://www.mendeley.com/documents/?uuid=d999869f-fa92-40ae-93de-b15e34a53595"]}],"mendeley":{"formattedCitation":"[106]","plainTextFormattedCitation":"[106]","previouslyFormattedCitation":"[106]"},"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[106]</w:t>
            </w:r>
            <w:r w:rsidRPr="00DB19C7">
              <w:rPr>
                <w:color w:val="auto"/>
                <w:sz w:val="18"/>
                <w:szCs w:val="18"/>
                <w:lang w:eastAsia="en-GB" w:bidi="ar-SA"/>
              </w:rPr>
              <w:fldChar w:fldCharType="end"/>
            </w:r>
          </w:p>
        </w:tc>
      </w:tr>
      <w:tr w:rsidR="00DB19C7" w:rsidRPr="00DB19C7" w14:paraId="3799B8AE" w14:textId="07DBDDA1"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733650A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41</w:t>
            </w:r>
          </w:p>
        </w:tc>
        <w:tc>
          <w:tcPr>
            <w:tcW w:w="1746" w:type="dxa"/>
            <w:tcBorders>
              <w:top w:val="nil"/>
              <w:left w:val="nil"/>
              <w:bottom w:val="single" w:sz="4" w:space="0" w:color="auto"/>
              <w:right w:val="single" w:sz="4" w:space="0" w:color="auto"/>
            </w:tcBorders>
            <w:shd w:val="clear" w:color="auto" w:fill="auto"/>
            <w:noWrap/>
            <w:vAlign w:val="center"/>
            <w:hideMark/>
          </w:tcPr>
          <w:p w14:paraId="05C1A4A3" w14:textId="77777777" w:rsidR="002B4066" w:rsidRPr="00DB19C7" w:rsidRDefault="002B4066" w:rsidP="002B4066">
            <w:pPr>
              <w:adjustRightInd/>
              <w:snapToGrid/>
              <w:spacing w:line="240" w:lineRule="auto"/>
              <w:jc w:val="center"/>
              <w:rPr>
                <w:color w:val="auto"/>
                <w:sz w:val="18"/>
                <w:szCs w:val="18"/>
                <w:lang w:eastAsia="en-GB" w:bidi="ar-SA"/>
              </w:rPr>
            </w:pPr>
            <w:proofErr w:type="spellStart"/>
            <w:r w:rsidRPr="00DB19C7">
              <w:rPr>
                <w:color w:val="auto"/>
                <w:sz w:val="18"/>
                <w:szCs w:val="18"/>
                <w:lang w:eastAsia="en-GB" w:bidi="ar-SA"/>
              </w:rPr>
              <w:t>Populus</w:t>
            </w:r>
            <w:proofErr w:type="spellEnd"/>
            <w:r w:rsidRPr="00DB19C7">
              <w:rPr>
                <w:color w:val="auto"/>
                <w:sz w:val="18"/>
                <w:szCs w:val="18"/>
                <w:lang w:eastAsia="en-GB" w:bidi="ar-SA"/>
              </w:rPr>
              <w:t xml:space="preserve"> alba, fraction 0-63 </w:t>
            </w:r>
            <w:proofErr w:type="spellStart"/>
            <w:r w:rsidRPr="00DB19C7">
              <w:rPr>
                <w:color w:val="auto"/>
                <w:sz w:val="18"/>
                <w:szCs w:val="18"/>
                <w:lang w:eastAsia="en-GB" w:bidi="ar-SA"/>
              </w:rPr>
              <w:t>μm</w:t>
            </w:r>
            <w:proofErr w:type="spellEnd"/>
          </w:p>
        </w:tc>
        <w:tc>
          <w:tcPr>
            <w:tcW w:w="767" w:type="dxa"/>
            <w:tcBorders>
              <w:top w:val="nil"/>
              <w:left w:val="nil"/>
              <w:bottom w:val="single" w:sz="4" w:space="0" w:color="auto"/>
              <w:right w:val="single" w:sz="4" w:space="0" w:color="auto"/>
            </w:tcBorders>
            <w:shd w:val="clear" w:color="auto" w:fill="auto"/>
            <w:noWrap/>
            <w:vAlign w:val="center"/>
            <w:hideMark/>
          </w:tcPr>
          <w:p w14:paraId="70D5C61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12.91</w:t>
            </w:r>
          </w:p>
        </w:tc>
        <w:tc>
          <w:tcPr>
            <w:tcW w:w="767" w:type="dxa"/>
            <w:tcBorders>
              <w:top w:val="nil"/>
              <w:left w:val="nil"/>
              <w:bottom w:val="single" w:sz="4" w:space="0" w:color="auto"/>
              <w:right w:val="single" w:sz="4" w:space="0" w:color="auto"/>
            </w:tcBorders>
            <w:shd w:val="clear" w:color="auto" w:fill="auto"/>
            <w:noWrap/>
            <w:vAlign w:val="center"/>
            <w:hideMark/>
          </w:tcPr>
          <w:p w14:paraId="541C9DF8"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38.06</w:t>
            </w:r>
          </w:p>
        </w:tc>
        <w:tc>
          <w:tcPr>
            <w:tcW w:w="1018" w:type="dxa"/>
            <w:tcBorders>
              <w:top w:val="nil"/>
              <w:left w:val="nil"/>
              <w:bottom w:val="single" w:sz="4" w:space="0" w:color="auto"/>
              <w:right w:val="single" w:sz="4" w:space="0" w:color="auto"/>
            </w:tcBorders>
            <w:shd w:val="clear" w:color="auto" w:fill="auto"/>
            <w:noWrap/>
            <w:vAlign w:val="center"/>
            <w:hideMark/>
          </w:tcPr>
          <w:p w14:paraId="68E50FA1"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94.91</w:t>
            </w:r>
          </w:p>
        </w:tc>
        <w:tc>
          <w:tcPr>
            <w:tcW w:w="1096" w:type="dxa"/>
            <w:tcBorders>
              <w:top w:val="nil"/>
              <w:left w:val="nil"/>
              <w:bottom w:val="single" w:sz="4" w:space="0" w:color="auto"/>
              <w:right w:val="single" w:sz="4" w:space="0" w:color="auto"/>
            </w:tcBorders>
            <w:shd w:val="clear" w:color="auto" w:fill="auto"/>
            <w:noWrap/>
            <w:vAlign w:val="center"/>
            <w:hideMark/>
          </w:tcPr>
          <w:p w14:paraId="369579D7"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 xml:space="preserve">Yes - fraction 0-500 </w:t>
            </w:r>
            <w:proofErr w:type="spellStart"/>
            <w:r w:rsidRPr="00DB19C7">
              <w:rPr>
                <w:color w:val="auto"/>
                <w:sz w:val="18"/>
                <w:szCs w:val="18"/>
                <w:lang w:eastAsia="en-GB" w:bidi="ar-SA"/>
              </w:rPr>
              <w:t>μm</w:t>
            </w:r>
            <w:proofErr w:type="spellEnd"/>
          </w:p>
        </w:tc>
        <w:tc>
          <w:tcPr>
            <w:tcW w:w="767" w:type="dxa"/>
            <w:tcBorders>
              <w:top w:val="nil"/>
              <w:left w:val="nil"/>
              <w:bottom w:val="single" w:sz="4" w:space="0" w:color="auto"/>
              <w:right w:val="single" w:sz="4" w:space="0" w:color="auto"/>
            </w:tcBorders>
            <w:shd w:val="clear" w:color="auto" w:fill="auto"/>
            <w:noWrap/>
            <w:vAlign w:val="center"/>
            <w:hideMark/>
          </w:tcPr>
          <w:p w14:paraId="1F700B98" w14:textId="0D55608F"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28797B92" w14:textId="1F660EB1"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5786501A" w14:textId="2C09DF03"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0.27</w:t>
            </w:r>
          </w:p>
        </w:tc>
        <w:tc>
          <w:tcPr>
            <w:tcW w:w="1137" w:type="dxa"/>
            <w:tcBorders>
              <w:top w:val="nil"/>
              <w:left w:val="nil"/>
              <w:bottom w:val="single" w:sz="4" w:space="0" w:color="auto"/>
              <w:right w:val="single" w:sz="4" w:space="0" w:color="auto"/>
            </w:tcBorders>
            <w:shd w:val="clear" w:color="auto" w:fill="auto"/>
            <w:noWrap/>
            <w:vAlign w:val="center"/>
            <w:hideMark/>
          </w:tcPr>
          <w:p w14:paraId="56BBDAE6"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 - Polarized light microscopy</w:t>
            </w:r>
          </w:p>
        </w:tc>
        <w:tc>
          <w:tcPr>
            <w:tcW w:w="567" w:type="dxa"/>
            <w:tcBorders>
              <w:top w:val="nil"/>
              <w:left w:val="nil"/>
              <w:bottom w:val="single" w:sz="4" w:space="0" w:color="auto"/>
              <w:right w:val="single" w:sz="4" w:space="0" w:color="auto"/>
            </w:tcBorders>
            <w:shd w:val="clear" w:color="auto" w:fill="auto"/>
            <w:noWrap/>
            <w:vAlign w:val="center"/>
            <w:hideMark/>
          </w:tcPr>
          <w:p w14:paraId="7FC98124" w14:textId="294E5BC2"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706C4F3E"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vAlign w:val="center"/>
            <w:hideMark/>
          </w:tcPr>
          <w:p w14:paraId="0628DF75"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 5%</w:t>
            </w:r>
          </w:p>
        </w:tc>
        <w:tc>
          <w:tcPr>
            <w:tcW w:w="737" w:type="dxa"/>
            <w:tcBorders>
              <w:top w:val="nil"/>
              <w:left w:val="nil"/>
              <w:bottom w:val="single" w:sz="4" w:space="0" w:color="auto"/>
              <w:right w:val="single" w:sz="4" w:space="0" w:color="auto"/>
            </w:tcBorders>
            <w:shd w:val="clear" w:color="auto" w:fill="auto"/>
            <w:noWrap/>
            <w:vAlign w:val="center"/>
            <w:hideMark/>
          </w:tcPr>
          <w:p w14:paraId="69114E90" w14:textId="3E22E64C"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57FFD9F4" w14:textId="5BE9D85F"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0D595836" w14:textId="351EA61B"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494DE800" w14:textId="55CD5E2A"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{"citationItems":[{"id":"ITEM-1","itemData":{"DOI":"10.15376/biores.14.2.3182-3199","ISSN":"19302126","abstract":"Wood dust samples with different particle sizes were used to investigate the explosion characteristics of wood dust. The dust samples came from Populus alba L., Pinus massoniana Lamb., and Cinnamonum camphora (L.) Pres., species that are commonly utilized in medium density fiberboard production in China. The thermogravimetric characteristics, element composition, and morphology of dust samples were analyzed to help explain the explosion phenomena in a 20 L sphere. The analysis showed that both the maximum explosion pressure and explosion index of wood dust presented a decreasing trend with increasing particle size, and the maximum explosion pressure values were in the range of 7 to 9 bar, regardless of species. For both explosion pressure and explosion index values, the wood dust with similar particle sizes were different, which are ranked as Populus alba &gt; Cinnamonum camphora &gt; Pinus massoniana. In addition, for the explosion pressure of wood dust with similar particle size, the dust concentration had threshold values. Additionally, the particle size and dust concentration had a synergistic effect on the explosion pressure and explosion index. Wood dust with a smaller particle size is more likely to explode at the threshold of concentration.","author":[{"dropping-particle":"","family":"Guo","given":"Lu","non-dropping-particle":"","parse-names":false,"suffix":""},{"dropping-particle":"","family":"Xiao","given":"Qiuping","non-dropping-particle":"","parse-names":false,"suffix":""},{"dropping-particle":"","family":"Zhu","given":"Nanfeng","non-dropping-particle":"","parse-names":false,"suffix":""},{"dropping-particle":"","family":"Wang","given":"Yao","non-dropping-particle":"","parse-names":false,"suffix":""},{"dropping-particle":"","family":"Chen","given":"Xiulan","non-dropping-particle":"","parse-names":false,"suffix":""},{"dropping-particle":"","family":"Xu","given":"Changyan","non-dropping-particle":"","parse-names":false,"suffix":""}],"container-title":"BioResources","id":"ITEM-1","issue":"2","issued":{"date-parts":[["2019"]]},"page":"3182-3199","title":"Comparative studies on the explosion severity of different wood dusts from fiberboard production","type":"article-journal","volume":"14"},"uris":["http://www.mendeley.com/documents/?uuid=dacd87bd-f5eb-4ed5-94b8-717bbe143770"]}],"mendeley":{"formattedCitation":"[112]","plainTextFormattedCitation":"[112]","previouslyFormattedCitation":"[112]"},"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[112]</w:t>
            </w:r>
            <w:r w:rsidRPr="00DB19C7">
              <w:rPr>
                <w:color w:val="auto"/>
                <w:sz w:val="18"/>
                <w:szCs w:val="18"/>
                <w:lang w:eastAsia="en-GB" w:bidi="ar-SA"/>
              </w:rPr>
              <w:fldChar w:fldCharType="end"/>
            </w:r>
          </w:p>
        </w:tc>
      </w:tr>
      <w:tr w:rsidR="00DB19C7" w:rsidRPr="00DB19C7" w14:paraId="7A89528B" w14:textId="4F15A842"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1F4EB35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42</w:t>
            </w:r>
          </w:p>
        </w:tc>
        <w:tc>
          <w:tcPr>
            <w:tcW w:w="1746" w:type="dxa"/>
            <w:tcBorders>
              <w:top w:val="nil"/>
              <w:left w:val="nil"/>
              <w:bottom w:val="single" w:sz="4" w:space="0" w:color="auto"/>
              <w:right w:val="single" w:sz="4" w:space="0" w:color="auto"/>
            </w:tcBorders>
            <w:shd w:val="clear" w:color="auto" w:fill="auto"/>
            <w:noWrap/>
            <w:vAlign w:val="center"/>
            <w:hideMark/>
          </w:tcPr>
          <w:p w14:paraId="2943F3EB" w14:textId="77777777" w:rsidR="002B4066" w:rsidRPr="00DB19C7" w:rsidRDefault="002B4066" w:rsidP="002B4066">
            <w:pPr>
              <w:adjustRightInd/>
              <w:snapToGrid/>
              <w:spacing w:line="240" w:lineRule="auto"/>
              <w:jc w:val="center"/>
              <w:rPr>
                <w:color w:val="auto"/>
                <w:sz w:val="18"/>
                <w:szCs w:val="18"/>
                <w:lang w:eastAsia="en-GB" w:bidi="ar-SA"/>
              </w:rPr>
            </w:pPr>
            <w:proofErr w:type="spellStart"/>
            <w:r w:rsidRPr="00DB19C7">
              <w:rPr>
                <w:color w:val="auto"/>
                <w:sz w:val="18"/>
                <w:szCs w:val="18"/>
                <w:lang w:eastAsia="en-GB" w:bidi="ar-SA"/>
              </w:rPr>
              <w:t>Populus</w:t>
            </w:r>
            <w:proofErr w:type="spellEnd"/>
            <w:r w:rsidRPr="00DB19C7">
              <w:rPr>
                <w:color w:val="auto"/>
                <w:sz w:val="18"/>
                <w:szCs w:val="18"/>
                <w:lang w:eastAsia="en-GB" w:bidi="ar-SA"/>
              </w:rPr>
              <w:t xml:space="preserve"> alba, fraction 125-250 </w:t>
            </w:r>
            <w:proofErr w:type="spellStart"/>
            <w:r w:rsidRPr="00DB19C7">
              <w:rPr>
                <w:color w:val="auto"/>
                <w:sz w:val="18"/>
                <w:szCs w:val="18"/>
                <w:lang w:eastAsia="en-GB" w:bidi="ar-SA"/>
              </w:rPr>
              <w:t>μm</w:t>
            </w:r>
            <w:proofErr w:type="spellEnd"/>
          </w:p>
        </w:tc>
        <w:tc>
          <w:tcPr>
            <w:tcW w:w="767" w:type="dxa"/>
            <w:tcBorders>
              <w:top w:val="nil"/>
              <w:left w:val="nil"/>
              <w:bottom w:val="single" w:sz="4" w:space="0" w:color="auto"/>
              <w:right w:val="single" w:sz="4" w:space="0" w:color="auto"/>
            </w:tcBorders>
            <w:shd w:val="clear" w:color="auto" w:fill="auto"/>
            <w:noWrap/>
            <w:vAlign w:val="center"/>
            <w:hideMark/>
          </w:tcPr>
          <w:p w14:paraId="2EF13EE3"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56.84</w:t>
            </w:r>
          </w:p>
        </w:tc>
        <w:tc>
          <w:tcPr>
            <w:tcW w:w="767" w:type="dxa"/>
            <w:tcBorders>
              <w:top w:val="nil"/>
              <w:left w:val="nil"/>
              <w:bottom w:val="single" w:sz="4" w:space="0" w:color="auto"/>
              <w:right w:val="single" w:sz="4" w:space="0" w:color="auto"/>
            </w:tcBorders>
            <w:shd w:val="clear" w:color="auto" w:fill="auto"/>
            <w:noWrap/>
            <w:vAlign w:val="center"/>
            <w:hideMark/>
          </w:tcPr>
          <w:p w14:paraId="78064D0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180.78</w:t>
            </w:r>
          </w:p>
        </w:tc>
        <w:tc>
          <w:tcPr>
            <w:tcW w:w="1018" w:type="dxa"/>
            <w:tcBorders>
              <w:top w:val="nil"/>
              <w:left w:val="nil"/>
              <w:bottom w:val="single" w:sz="4" w:space="0" w:color="auto"/>
              <w:right w:val="single" w:sz="4" w:space="0" w:color="auto"/>
            </w:tcBorders>
            <w:shd w:val="clear" w:color="auto" w:fill="auto"/>
            <w:noWrap/>
            <w:vAlign w:val="center"/>
            <w:hideMark/>
          </w:tcPr>
          <w:p w14:paraId="24C4DE3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418.62</w:t>
            </w:r>
          </w:p>
        </w:tc>
        <w:tc>
          <w:tcPr>
            <w:tcW w:w="1096" w:type="dxa"/>
            <w:tcBorders>
              <w:top w:val="nil"/>
              <w:left w:val="nil"/>
              <w:bottom w:val="single" w:sz="4" w:space="0" w:color="auto"/>
              <w:right w:val="single" w:sz="4" w:space="0" w:color="auto"/>
            </w:tcBorders>
            <w:shd w:val="clear" w:color="auto" w:fill="auto"/>
            <w:noWrap/>
            <w:vAlign w:val="center"/>
            <w:hideMark/>
          </w:tcPr>
          <w:p w14:paraId="2F8E403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 xml:space="preserve">Yes - fraction 0-500 </w:t>
            </w:r>
            <w:proofErr w:type="spellStart"/>
            <w:r w:rsidRPr="00DB19C7">
              <w:rPr>
                <w:color w:val="auto"/>
                <w:sz w:val="18"/>
                <w:szCs w:val="18"/>
                <w:lang w:eastAsia="en-GB" w:bidi="ar-SA"/>
              </w:rPr>
              <w:t>μm</w:t>
            </w:r>
            <w:proofErr w:type="spellEnd"/>
          </w:p>
        </w:tc>
        <w:tc>
          <w:tcPr>
            <w:tcW w:w="767" w:type="dxa"/>
            <w:tcBorders>
              <w:top w:val="nil"/>
              <w:left w:val="nil"/>
              <w:bottom w:val="single" w:sz="4" w:space="0" w:color="auto"/>
              <w:right w:val="single" w:sz="4" w:space="0" w:color="auto"/>
            </w:tcBorders>
            <w:shd w:val="clear" w:color="auto" w:fill="auto"/>
            <w:noWrap/>
            <w:vAlign w:val="center"/>
            <w:hideMark/>
          </w:tcPr>
          <w:p w14:paraId="7F4191EE" w14:textId="73D71B5E"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11885A84" w14:textId="1E41E2E1"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37052197" w14:textId="2354B5CE"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0.06</w:t>
            </w:r>
          </w:p>
        </w:tc>
        <w:tc>
          <w:tcPr>
            <w:tcW w:w="1137" w:type="dxa"/>
            <w:tcBorders>
              <w:top w:val="nil"/>
              <w:left w:val="nil"/>
              <w:bottom w:val="single" w:sz="4" w:space="0" w:color="auto"/>
              <w:right w:val="single" w:sz="4" w:space="0" w:color="auto"/>
            </w:tcBorders>
            <w:shd w:val="clear" w:color="auto" w:fill="auto"/>
            <w:noWrap/>
            <w:vAlign w:val="center"/>
            <w:hideMark/>
          </w:tcPr>
          <w:p w14:paraId="5AE67B11"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 - Polarized light microscopy</w:t>
            </w:r>
          </w:p>
        </w:tc>
        <w:tc>
          <w:tcPr>
            <w:tcW w:w="567" w:type="dxa"/>
            <w:tcBorders>
              <w:top w:val="nil"/>
              <w:left w:val="nil"/>
              <w:bottom w:val="single" w:sz="4" w:space="0" w:color="auto"/>
              <w:right w:val="single" w:sz="4" w:space="0" w:color="auto"/>
            </w:tcBorders>
            <w:shd w:val="clear" w:color="auto" w:fill="auto"/>
            <w:noWrap/>
            <w:vAlign w:val="center"/>
            <w:hideMark/>
          </w:tcPr>
          <w:p w14:paraId="570C1384" w14:textId="60A9A3C8"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05558EB7"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vAlign w:val="center"/>
            <w:hideMark/>
          </w:tcPr>
          <w:p w14:paraId="3E50BB34"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 5%</w:t>
            </w:r>
          </w:p>
        </w:tc>
        <w:tc>
          <w:tcPr>
            <w:tcW w:w="737" w:type="dxa"/>
            <w:tcBorders>
              <w:top w:val="nil"/>
              <w:left w:val="nil"/>
              <w:bottom w:val="single" w:sz="4" w:space="0" w:color="auto"/>
              <w:right w:val="single" w:sz="4" w:space="0" w:color="auto"/>
            </w:tcBorders>
            <w:shd w:val="clear" w:color="auto" w:fill="auto"/>
            <w:noWrap/>
            <w:vAlign w:val="center"/>
            <w:hideMark/>
          </w:tcPr>
          <w:p w14:paraId="3A2A80A0" w14:textId="66FD2BE3"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0B953F96" w14:textId="19898373"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77B51F93" w14:textId="4B84A067"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53529729" w14:textId="42A25E34"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{"citationItems":[{"id":"ITEM-1","itemData":{"DOI":"10.15376/biores.14.2.3182-3199","ISSN":"19302126","abstract":"Wood dust samples with different particle sizes were used to investigate the explosion characteristics of wood dust. The dust samples came from Populus alba L., Pinus massoniana Lamb., and Cinnamonum camphora (L.) Pres., species that are commonly utilized in medium density fiberboard production in China. The thermogravimetric characteristics, element composition, and morphology of dust samples were analyzed to help explain the explosion phenomena in a 20 L sphere. The analysis showed that both the maximum explosion pressure and explosion index of wood dust presented a decreasing trend with increasing particle size, and the maximum explosion pressure values were in the range of 7 to 9 bar, regardless of species. For both explosion pressure and explosion index values, the wood dust with similar particle sizes were different, which are ranked as Populus alba &gt; Cinnamonum camphora &gt; Pinus massoniana. In addition, for the explosion pressure of wood dust with similar particle size, the dust concentration had threshold values. Additionally, the particle size and dust concentration had a synergistic effect on the explosion pressure and explosion index. Wood dust with a smaller particle size is more likely to explode at the threshold of concentration.","author":[{"dropping-particle":"","family":"Guo","given":"Lu","non-dropping-particle":"","parse-names":false,"suffix":""},{"dropping-particle":"","family":"Xiao","given":"Qiuping","non-dropping-particle":"","parse-names":false,"suffix":""},{"dropping-particle":"","family":"Zhu","given":"Nanfeng","non-dropping-particle":"","parse-names":false,"suffix":""},{"dropping-particle":"","family":"Wang","given":"Yao","non-dropping-particle":"","parse-names":false,"suffix":""},{"dropping-particle":"","family":"Chen","given":"Xiulan","non-dropping-particle":"","parse-names":false,"suffix":""},{"dropping-particle":"","family":"Xu","given":"Changyan","non-dropping-particle":"","parse-names":false,"suffix":""}],"container-title":"BioResources","id":"ITEM-1","issue":"2","issued":{"date-parts":[["2019"]]},"page":"3182-3199","title":"Comparative studies on the explosion severity of different wood dusts from fiberboard production","type":"article-journal","volume":"14"},"uris":["http://www.mendeley.com/documents/?uuid=dacd87bd-f5eb-4ed5-94b8-717bbe143770"]}],"mendeley":{"formattedCitation":"[112]","plainTextFormattedCitation":"[112]","previouslyFormattedCitation":"[112]"},"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[112]</w:t>
            </w:r>
            <w:r w:rsidRPr="00DB19C7">
              <w:rPr>
                <w:color w:val="auto"/>
                <w:sz w:val="18"/>
                <w:szCs w:val="18"/>
                <w:lang w:eastAsia="en-GB" w:bidi="ar-SA"/>
              </w:rPr>
              <w:fldChar w:fldCharType="end"/>
            </w:r>
          </w:p>
        </w:tc>
      </w:tr>
      <w:tr w:rsidR="00DB19C7" w:rsidRPr="00DB19C7" w14:paraId="397D92D3" w14:textId="3DB129AE"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0130A05A"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43</w:t>
            </w:r>
          </w:p>
        </w:tc>
        <w:tc>
          <w:tcPr>
            <w:tcW w:w="1746" w:type="dxa"/>
            <w:tcBorders>
              <w:top w:val="nil"/>
              <w:left w:val="nil"/>
              <w:bottom w:val="single" w:sz="4" w:space="0" w:color="auto"/>
              <w:right w:val="single" w:sz="4" w:space="0" w:color="auto"/>
            </w:tcBorders>
            <w:shd w:val="clear" w:color="auto" w:fill="auto"/>
            <w:noWrap/>
            <w:vAlign w:val="center"/>
            <w:hideMark/>
          </w:tcPr>
          <w:p w14:paraId="418447EE" w14:textId="77777777" w:rsidR="002B4066" w:rsidRPr="00DB19C7" w:rsidRDefault="002B4066" w:rsidP="002B4066">
            <w:pPr>
              <w:adjustRightInd/>
              <w:snapToGrid/>
              <w:spacing w:line="240" w:lineRule="auto"/>
              <w:jc w:val="center"/>
              <w:rPr>
                <w:color w:val="auto"/>
                <w:sz w:val="18"/>
                <w:szCs w:val="18"/>
                <w:lang w:eastAsia="en-GB" w:bidi="ar-SA"/>
              </w:rPr>
            </w:pPr>
            <w:proofErr w:type="spellStart"/>
            <w:r w:rsidRPr="00DB19C7">
              <w:rPr>
                <w:color w:val="auto"/>
                <w:sz w:val="18"/>
                <w:szCs w:val="18"/>
                <w:lang w:eastAsia="en-GB" w:bidi="ar-SA"/>
              </w:rPr>
              <w:t>Populus</w:t>
            </w:r>
            <w:proofErr w:type="spellEnd"/>
            <w:r w:rsidRPr="00DB19C7">
              <w:rPr>
                <w:color w:val="auto"/>
                <w:sz w:val="18"/>
                <w:szCs w:val="18"/>
                <w:lang w:eastAsia="en-GB" w:bidi="ar-SA"/>
              </w:rPr>
              <w:t xml:space="preserve"> alba, fraction 250-500 </w:t>
            </w:r>
            <w:proofErr w:type="spellStart"/>
            <w:r w:rsidRPr="00DB19C7">
              <w:rPr>
                <w:color w:val="auto"/>
                <w:sz w:val="18"/>
                <w:szCs w:val="18"/>
                <w:lang w:eastAsia="en-GB" w:bidi="ar-SA"/>
              </w:rPr>
              <w:t>μm</w:t>
            </w:r>
            <w:proofErr w:type="spellEnd"/>
          </w:p>
        </w:tc>
        <w:tc>
          <w:tcPr>
            <w:tcW w:w="767" w:type="dxa"/>
            <w:tcBorders>
              <w:top w:val="nil"/>
              <w:left w:val="nil"/>
              <w:bottom w:val="single" w:sz="4" w:space="0" w:color="auto"/>
              <w:right w:val="single" w:sz="4" w:space="0" w:color="auto"/>
            </w:tcBorders>
            <w:shd w:val="clear" w:color="auto" w:fill="auto"/>
            <w:noWrap/>
            <w:vAlign w:val="center"/>
            <w:hideMark/>
          </w:tcPr>
          <w:p w14:paraId="0AC847E3"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164.62</w:t>
            </w:r>
          </w:p>
        </w:tc>
        <w:tc>
          <w:tcPr>
            <w:tcW w:w="767" w:type="dxa"/>
            <w:tcBorders>
              <w:top w:val="nil"/>
              <w:left w:val="nil"/>
              <w:bottom w:val="single" w:sz="4" w:space="0" w:color="auto"/>
              <w:right w:val="single" w:sz="4" w:space="0" w:color="auto"/>
            </w:tcBorders>
            <w:shd w:val="clear" w:color="auto" w:fill="auto"/>
            <w:noWrap/>
            <w:vAlign w:val="center"/>
            <w:hideMark/>
          </w:tcPr>
          <w:p w14:paraId="407A86E9"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565.78</w:t>
            </w:r>
          </w:p>
        </w:tc>
        <w:tc>
          <w:tcPr>
            <w:tcW w:w="1018" w:type="dxa"/>
            <w:tcBorders>
              <w:top w:val="nil"/>
              <w:left w:val="nil"/>
              <w:bottom w:val="single" w:sz="4" w:space="0" w:color="auto"/>
              <w:right w:val="single" w:sz="4" w:space="0" w:color="auto"/>
            </w:tcBorders>
            <w:shd w:val="clear" w:color="auto" w:fill="auto"/>
            <w:noWrap/>
            <w:vAlign w:val="center"/>
            <w:hideMark/>
          </w:tcPr>
          <w:p w14:paraId="3796825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1402.98</w:t>
            </w:r>
          </w:p>
        </w:tc>
        <w:tc>
          <w:tcPr>
            <w:tcW w:w="1096" w:type="dxa"/>
            <w:tcBorders>
              <w:top w:val="nil"/>
              <w:left w:val="nil"/>
              <w:bottom w:val="single" w:sz="4" w:space="0" w:color="auto"/>
              <w:right w:val="single" w:sz="4" w:space="0" w:color="auto"/>
            </w:tcBorders>
            <w:shd w:val="clear" w:color="auto" w:fill="auto"/>
            <w:noWrap/>
            <w:vAlign w:val="center"/>
            <w:hideMark/>
          </w:tcPr>
          <w:p w14:paraId="2414354E"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 xml:space="preserve">Yes - fraction 0-500 </w:t>
            </w:r>
            <w:proofErr w:type="spellStart"/>
            <w:r w:rsidRPr="00DB19C7">
              <w:rPr>
                <w:color w:val="auto"/>
                <w:sz w:val="18"/>
                <w:szCs w:val="18"/>
                <w:lang w:eastAsia="en-GB" w:bidi="ar-SA"/>
              </w:rPr>
              <w:t>μm</w:t>
            </w:r>
            <w:proofErr w:type="spellEnd"/>
          </w:p>
        </w:tc>
        <w:tc>
          <w:tcPr>
            <w:tcW w:w="767" w:type="dxa"/>
            <w:tcBorders>
              <w:top w:val="nil"/>
              <w:left w:val="nil"/>
              <w:bottom w:val="single" w:sz="4" w:space="0" w:color="auto"/>
              <w:right w:val="single" w:sz="4" w:space="0" w:color="auto"/>
            </w:tcBorders>
            <w:shd w:val="clear" w:color="auto" w:fill="auto"/>
            <w:noWrap/>
            <w:vAlign w:val="center"/>
            <w:hideMark/>
          </w:tcPr>
          <w:p w14:paraId="364DAD0E" w14:textId="3A0A7027"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5CF4C302" w14:textId="3D7D4EC0"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34EA0429" w14:textId="445A0E9F"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0.02</w:t>
            </w:r>
          </w:p>
        </w:tc>
        <w:tc>
          <w:tcPr>
            <w:tcW w:w="1137" w:type="dxa"/>
            <w:tcBorders>
              <w:top w:val="nil"/>
              <w:left w:val="nil"/>
              <w:bottom w:val="single" w:sz="4" w:space="0" w:color="auto"/>
              <w:right w:val="single" w:sz="4" w:space="0" w:color="auto"/>
            </w:tcBorders>
            <w:shd w:val="clear" w:color="auto" w:fill="auto"/>
            <w:noWrap/>
            <w:vAlign w:val="center"/>
            <w:hideMark/>
          </w:tcPr>
          <w:p w14:paraId="10AE69F8"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 - Polarized light microscopy</w:t>
            </w:r>
          </w:p>
        </w:tc>
        <w:tc>
          <w:tcPr>
            <w:tcW w:w="567" w:type="dxa"/>
            <w:tcBorders>
              <w:top w:val="nil"/>
              <w:left w:val="nil"/>
              <w:bottom w:val="single" w:sz="4" w:space="0" w:color="auto"/>
              <w:right w:val="single" w:sz="4" w:space="0" w:color="auto"/>
            </w:tcBorders>
            <w:shd w:val="clear" w:color="auto" w:fill="auto"/>
            <w:noWrap/>
            <w:vAlign w:val="center"/>
            <w:hideMark/>
          </w:tcPr>
          <w:p w14:paraId="0E24171A" w14:textId="0B42F9A4"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19970947"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vAlign w:val="center"/>
            <w:hideMark/>
          </w:tcPr>
          <w:p w14:paraId="524BB18C"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 5%</w:t>
            </w:r>
          </w:p>
        </w:tc>
        <w:tc>
          <w:tcPr>
            <w:tcW w:w="737" w:type="dxa"/>
            <w:tcBorders>
              <w:top w:val="nil"/>
              <w:left w:val="nil"/>
              <w:bottom w:val="single" w:sz="4" w:space="0" w:color="auto"/>
              <w:right w:val="single" w:sz="4" w:space="0" w:color="auto"/>
            </w:tcBorders>
            <w:shd w:val="clear" w:color="auto" w:fill="auto"/>
            <w:noWrap/>
            <w:vAlign w:val="center"/>
            <w:hideMark/>
          </w:tcPr>
          <w:p w14:paraId="3CE73003" w14:textId="236FAC8C"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0C29A900" w14:textId="0E3B3188"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35452A89" w14:textId="0FE7EA81"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5EB380B6" w14:textId="6A04CEC6"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{"citationItems":[{"id":"ITEM-1","itemData":{"DOI":"10.15376/biores.14.2.3182-3199","ISSN":"19302126","abstract":"Wood dust samples with different particle sizes were used to investigate the explosion characteristics of wood dust. The dust samples came from Populus alba L., Pinus massoniana Lamb., and Cinnamonum camphora (L.) Pres., species that are commonly utilized in medium density fiberboard production in China. The thermogravimetric characteristics, element composition, and morphology of dust samples were analyzed to help explain the explosion phenomena in a 20 L sphere. The analysis showed that both the maximum explosion pressure and explosion index of wood dust presented a decreasing trend with increasing particle size, and the maximum explosion pressure values were in the range of 7 to 9 bar, regardless of species. For both explosion pressure and explosion index values, the wood dust with similar particle sizes were different, which are ranked as Populus alba &gt; Cinnamonum camphora &gt; Pinus massoniana. In addition, for the explosion pressure of wood dust with similar particle size, the dust concentration had threshold values. Additionally, the particle size and dust concentration had a synergistic effect on the explosion pressure and explosion index. Wood dust with a smaller particle size is more likely to explode at the threshold of concentration.","author":[{"dropping-particle":"","family":"Guo","given":"Lu","non-dropping-particle":"","parse-names":false,"suffix":""},{"dropping-particle":"","family":"Xiao","given":"Qiuping","non-dropping-particle":"","parse-names":false,"suffix":""},{"dropping-particle":"","family":"Zhu","given":"Nanfeng","non-dropping-particle":"","parse-names":false,"suffix":""},{"dropping-particle":"","family":"Wang","given":"Yao","non-dropping-particle":"","parse-names":false,"suffix":""},{"dropping-particle":"","family":"Chen","given":"Xiulan","non-dropping-particle":"","parse-names":false,"suffix":""},{"dropping-particle":"","family":"Xu","given":"Changyan","non-dropping-particle":"","parse-names":false,"suffix":""}],"container-title":"BioResources","id":"ITEM-1","issue":"2","issued":{"date-parts":[["2019"]]},"page":"3182-3199","title":"Comparative studies on the explosion severity of different wood dusts from fiberboard production","type":"article-journal","volume":"14"},"uris":["http://www.mendeley.com/documents/?uuid=dacd87bd-f5eb-4ed5-94b8-717bbe143770"]}],"mendeley":{"formattedCitation":"[112]","plainTextFormattedCitation":"[112]","previouslyFormattedCitation":"[112]"},"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[112]</w:t>
            </w:r>
            <w:r w:rsidRPr="00DB19C7">
              <w:rPr>
                <w:color w:val="auto"/>
                <w:sz w:val="18"/>
                <w:szCs w:val="18"/>
                <w:lang w:eastAsia="en-GB" w:bidi="ar-SA"/>
              </w:rPr>
              <w:fldChar w:fldCharType="end"/>
            </w:r>
          </w:p>
        </w:tc>
      </w:tr>
      <w:tr w:rsidR="00DB19C7" w:rsidRPr="00DB19C7" w14:paraId="0C4BD0C5" w14:textId="0EDC4FA2"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21768651"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44</w:t>
            </w:r>
          </w:p>
        </w:tc>
        <w:tc>
          <w:tcPr>
            <w:tcW w:w="1746" w:type="dxa"/>
            <w:tcBorders>
              <w:top w:val="nil"/>
              <w:left w:val="nil"/>
              <w:bottom w:val="single" w:sz="4" w:space="0" w:color="auto"/>
              <w:right w:val="single" w:sz="4" w:space="0" w:color="auto"/>
            </w:tcBorders>
            <w:shd w:val="clear" w:color="auto" w:fill="auto"/>
            <w:noWrap/>
            <w:vAlign w:val="center"/>
            <w:hideMark/>
          </w:tcPr>
          <w:p w14:paraId="5B0B86D9" w14:textId="77777777" w:rsidR="002B4066" w:rsidRPr="00DB19C7" w:rsidRDefault="002B4066" w:rsidP="002B4066">
            <w:pPr>
              <w:adjustRightInd/>
              <w:snapToGrid/>
              <w:spacing w:line="240" w:lineRule="auto"/>
              <w:jc w:val="center"/>
              <w:rPr>
                <w:color w:val="auto"/>
                <w:sz w:val="18"/>
                <w:szCs w:val="18"/>
                <w:lang w:eastAsia="en-GB" w:bidi="ar-SA"/>
              </w:rPr>
            </w:pPr>
            <w:proofErr w:type="spellStart"/>
            <w:r w:rsidRPr="00DB19C7">
              <w:rPr>
                <w:color w:val="auto"/>
                <w:sz w:val="18"/>
                <w:szCs w:val="18"/>
                <w:lang w:eastAsia="en-GB" w:bidi="ar-SA"/>
              </w:rPr>
              <w:t>Populus</w:t>
            </w:r>
            <w:proofErr w:type="spellEnd"/>
            <w:r w:rsidRPr="00DB19C7">
              <w:rPr>
                <w:color w:val="auto"/>
                <w:sz w:val="18"/>
                <w:szCs w:val="18"/>
                <w:lang w:eastAsia="en-GB" w:bidi="ar-SA"/>
              </w:rPr>
              <w:t xml:space="preserve"> alba, fraction 63-125 </w:t>
            </w:r>
            <w:proofErr w:type="spellStart"/>
            <w:r w:rsidRPr="00DB19C7">
              <w:rPr>
                <w:color w:val="auto"/>
                <w:sz w:val="18"/>
                <w:szCs w:val="18"/>
                <w:lang w:eastAsia="en-GB" w:bidi="ar-SA"/>
              </w:rPr>
              <w:t>μm</w:t>
            </w:r>
            <w:proofErr w:type="spellEnd"/>
          </w:p>
        </w:tc>
        <w:tc>
          <w:tcPr>
            <w:tcW w:w="767" w:type="dxa"/>
            <w:tcBorders>
              <w:top w:val="nil"/>
              <w:left w:val="nil"/>
              <w:bottom w:val="single" w:sz="4" w:space="0" w:color="auto"/>
              <w:right w:val="single" w:sz="4" w:space="0" w:color="auto"/>
            </w:tcBorders>
            <w:shd w:val="clear" w:color="auto" w:fill="auto"/>
            <w:noWrap/>
            <w:vAlign w:val="center"/>
            <w:hideMark/>
          </w:tcPr>
          <w:p w14:paraId="6441203A"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30.25</w:t>
            </w:r>
          </w:p>
        </w:tc>
        <w:tc>
          <w:tcPr>
            <w:tcW w:w="767" w:type="dxa"/>
            <w:tcBorders>
              <w:top w:val="nil"/>
              <w:left w:val="nil"/>
              <w:bottom w:val="single" w:sz="4" w:space="0" w:color="auto"/>
              <w:right w:val="single" w:sz="4" w:space="0" w:color="auto"/>
            </w:tcBorders>
            <w:shd w:val="clear" w:color="auto" w:fill="auto"/>
            <w:noWrap/>
            <w:vAlign w:val="center"/>
            <w:hideMark/>
          </w:tcPr>
          <w:p w14:paraId="317E3267"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89.44</w:t>
            </w:r>
          </w:p>
        </w:tc>
        <w:tc>
          <w:tcPr>
            <w:tcW w:w="1018" w:type="dxa"/>
            <w:tcBorders>
              <w:top w:val="nil"/>
              <w:left w:val="nil"/>
              <w:bottom w:val="single" w:sz="4" w:space="0" w:color="auto"/>
              <w:right w:val="single" w:sz="4" w:space="0" w:color="auto"/>
            </w:tcBorders>
            <w:shd w:val="clear" w:color="auto" w:fill="auto"/>
            <w:noWrap/>
            <w:vAlign w:val="center"/>
            <w:hideMark/>
          </w:tcPr>
          <w:p w14:paraId="5160716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204.33</w:t>
            </w:r>
          </w:p>
        </w:tc>
        <w:tc>
          <w:tcPr>
            <w:tcW w:w="1096" w:type="dxa"/>
            <w:tcBorders>
              <w:top w:val="nil"/>
              <w:left w:val="nil"/>
              <w:bottom w:val="single" w:sz="4" w:space="0" w:color="auto"/>
              <w:right w:val="single" w:sz="4" w:space="0" w:color="auto"/>
            </w:tcBorders>
            <w:shd w:val="clear" w:color="auto" w:fill="auto"/>
            <w:noWrap/>
            <w:vAlign w:val="center"/>
            <w:hideMark/>
          </w:tcPr>
          <w:p w14:paraId="7BEA9FE1"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 xml:space="preserve">Yes - fraction 0-500 </w:t>
            </w:r>
            <w:proofErr w:type="spellStart"/>
            <w:r w:rsidRPr="00DB19C7">
              <w:rPr>
                <w:color w:val="auto"/>
                <w:sz w:val="18"/>
                <w:szCs w:val="18"/>
                <w:lang w:eastAsia="en-GB" w:bidi="ar-SA"/>
              </w:rPr>
              <w:t>μm</w:t>
            </w:r>
            <w:proofErr w:type="spellEnd"/>
          </w:p>
        </w:tc>
        <w:tc>
          <w:tcPr>
            <w:tcW w:w="767" w:type="dxa"/>
            <w:tcBorders>
              <w:top w:val="nil"/>
              <w:left w:val="nil"/>
              <w:bottom w:val="single" w:sz="4" w:space="0" w:color="auto"/>
              <w:right w:val="single" w:sz="4" w:space="0" w:color="auto"/>
            </w:tcBorders>
            <w:shd w:val="clear" w:color="auto" w:fill="auto"/>
            <w:noWrap/>
            <w:vAlign w:val="center"/>
            <w:hideMark/>
          </w:tcPr>
          <w:p w14:paraId="73046E6D" w14:textId="4F1BFDE6"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0C0D36D3" w14:textId="7FE852BE"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71FCED6E" w14:textId="02A59752"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0.11</w:t>
            </w:r>
          </w:p>
        </w:tc>
        <w:tc>
          <w:tcPr>
            <w:tcW w:w="1137" w:type="dxa"/>
            <w:tcBorders>
              <w:top w:val="nil"/>
              <w:left w:val="nil"/>
              <w:bottom w:val="single" w:sz="4" w:space="0" w:color="auto"/>
              <w:right w:val="single" w:sz="4" w:space="0" w:color="auto"/>
            </w:tcBorders>
            <w:shd w:val="clear" w:color="auto" w:fill="auto"/>
            <w:noWrap/>
            <w:vAlign w:val="center"/>
            <w:hideMark/>
          </w:tcPr>
          <w:p w14:paraId="0F2D785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 - Polarized light microscopy</w:t>
            </w:r>
          </w:p>
        </w:tc>
        <w:tc>
          <w:tcPr>
            <w:tcW w:w="567" w:type="dxa"/>
            <w:tcBorders>
              <w:top w:val="nil"/>
              <w:left w:val="nil"/>
              <w:bottom w:val="single" w:sz="4" w:space="0" w:color="auto"/>
              <w:right w:val="single" w:sz="4" w:space="0" w:color="auto"/>
            </w:tcBorders>
            <w:shd w:val="clear" w:color="auto" w:fill="auto"/>
            <w:noWrap/>
            <w:vAlign w:val="center"/>
            <w:hideMark/>
          </w:tcPr>
          <w:p w14:paraId="5E6D8FDE" w14:textId="0EBB3C56"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2C352CB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vAlign w:val="center"/>
            <w:hideMark/>
          </w:tcPr>
          <w:p w14:paraId="0F002B24"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 5%</w:t>
            </w:r>
          </w:p>
        </w:tc>
        <w:tc>
          <w:tcPr>
            <w:tcW w:w="737" w:type="dxa"/>
            <w:tcBorders>
              <w:top w:val="nil"/>
              <w:left w:val="nil"/>
              <w:bottom w:val="single" w:sz="4" w:space="0" w:color="auto"/>
              <w:right w:val="single" w:sz="4" w:space="0" w:color="auto"/>
            </w:tcBorders>
            <w:shd w:val="clear" w:color="auto" w:fill="auto"/>
            <w:noWrap/>
            <w:vAlign w:val="center"/>
            <w:hideMark/>
          </w:tcPr>
          <w:p w14:paraId="1483B755" w14:textId="400665B7"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1C1CF4A6" w14:textId="5078F958"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1DE243B2" w14:textId="4C0272F8"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47F68D36" w14:textId="557D729F"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{"citationItems":[{"id":"ITEM-1","itemData":{"DOI":"10.15376/biores.14.2.3182-3199","ISSN":"19302126","abstract":"Wood dust samples with different particle sizes were used to investigate the explosion characteristics of wood dust. The dust samples came from Populus alba L., Pinus massoniana Lamb., and Cinnamonum camphora (L.) Pres., species that are commonly utilized in medium density fiberboard production in China. The thermogravimetric characteristics, element composition, and morphology of dust samples were analyzed to help explain the explosion phenomena in a 20 L sphere. The analysis showed that both the maximum explosion pressure and explosion index of wood dust presented a decreasing trend with increasing particle size, and the maximum explosion pressure values were in the range of 7 to 9 bar, regardless of species. For both explosion pressure and explosion index values, the wood dust with similar particle sizes were different, which are ranked as Populus alba &gt; Cinnamonum camphora &gt; Pinus massoniana. In addition, for the explosion pressure of wood dust with similar particle size, the dust concentration had threshold values. Additionally, the particle size and dust concentration had a synergistic effect on the explosion pressure and explosion index. Wood dust with a smaller particle size is more likely to explode at the threshold of concentration.","author":[{"dropping-particle":"","family":"Guo","given":"Lu","non-dropping-particle":"","parse-names":false,"suffix":""},{"dropping-particle":"","family":"Xiao","given":"Qiuping","non-dropping-particle":"","parse-names":false,"suffix":""},{"dropping-particle":"","family":"Zhu","given":"Nanfeng","non-dropping-particle":"","parse-names":false,"suffix":""},{"dropping-particle":"","family":"Wang","given":"Yao","non-dropping-particle":"","parse-names":false,"suffix":""},{"dropping-particle":"","family":"Chen","given":"Xiulan","non-dropping-particle":"","parse-names":false,"suffix":""},{"dropping-particle":"","family":"Xu","given":"Changyan","non-dropping-particle":"","parse-names":false,"suffix":""}],"container-title":"BioResources","id":"ITEM-1","issue":"2","issued":{"date-parts":[["2019"]]},"page":"3182-3199","title":"Comparative studies on the explosion severity of different wood dusts from fiberboard production","type":"article-journal","volume":"14"},"uris":["http://www.mendeley.com/documents/?uuid=dacd87bd-f5eb-4ed5-94b8-717bbe143770"]}],"mendeley":{"formattedCitation":"[112]","plainTextFormattedCitation":"[112]","previouslyFormattedCitation":"[112]"},"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[112]</w:t>
            </w:r>
            <w:r w:rsidRPr="00DB19C7">
              <w:rPr>
                <w:color w:val="auto"/>
                <w:sz w:val="18"/>
                <w:szCs w:val="18"/>
                <w:lang w:eastAsia="en-GB" w:bidi="ar-SA"/>
              </w:rPr>
              <w:fldChar w:fldCharType="end"/>
            </w:r>
          </w:p>
        </w:tc>
      </w:tr>
      <w:tr w:rsidR="00DB19C7" w:rsidRPr="00DB19C7" w14:paraId="394EBA18" w14:textId="3A5DF9BE"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5394C585"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lastRenderedPageBreak/>
              <w:t>45</w:t>
            </w:r>
          </w:p>
        </w:tc>
        <w:tc>
          <w:tcPr>
            <w:tcW w:w="1746" w:type="dxa"/>
            <w:tcBorders>
              <w:top w:val="nil"/>
              <w:left w:val="nil"/>
              <w:bottom w:val="single" w:sz="4" w:space="0" w:color="auto"/>
              <w:right w:val="single" w:sz="4" w:space="0" w:color="auto"/>
            </w:tcBorders>
            <w:shd w:val="clear" w:color="auto" w:fill="auto"/>
            <w:noWrap/>
            <w:vAlign w:val="center"/>
            <w:hideMark/>
          </w:tcPr>
          <w:p w14:paraId="0D6A62C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Radiata Pine</w:t>
            </w:r>
          </w:p>
        </w:tc>
        <w:tc>
          <w:tcPr>
            <w:tcW w:w="767" w:type="dxa"/>
            <w:tcBorders>
              <w:top w:val="nil"/>
              <w:left w:val="nil"/>
              <w:bottom w:val="single" w:sz="4" w:space="0" w:color="auto"/>
              <w:right w:val="single" w:sz="4" w:space="0" w:color="auto"/>
            </w:tcBorders>
            <w:shd w:val="clear" w:color="auto" w:fill="auto"/>
            <w:noWrap/>
            <w:vAlign w:val="center"/>
            <w:hideMark/>
          </w:tcPr>
          <w:p w14:paraId="455B14A6"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37.25</w:t>
            </w:r>
          </w:p>
        </w:tc>
        <w:tc>
          <w:tcPr>
            <w:tcW w:w="767" w:type="dxa"/>
            <w:tcBorders>
              <w:top w:val="nil"/>
              <w:left w:val="nil"/>
              <w:bottom w:val="single" w:sz="4" w:space="0" w:color="auto"/>
              <w:right w:val="single" w:sz="4" w:space="0" w:color="auto"/>
            </w:tcBorders>
            <w:shd w:val="clear" w:color="auto" w:fill="auto"/>
            <w:noWrap/>
            <w:vAlign w:val="center"/>
            <w:hideMark/>
          </w:tcPr>
          <w:p w14:paraId="52340749"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92.08</w:t>
            </w:r>
          </w:p>
        </w:tc>
        <w:tc>
          <w:tcPr>
            <w:tcW w:w="1018" w:type="dxa"/>
            <w:tcBorders>
              <w:top w:val="nil"/>
              <w:left w:val="nil"/>
              <w:bottom w:val="single" w:sz="4" w:space="0" w:color="auto"/>
              <w:right w:val="single" w:sz="4" w:space="0" w:color="auto"/>
            </w:tcBorders>
            <w:shd w:val="clear" w:color="auto" w:fill="auto"/>
            <w:noWrap/>
            <w:vAlign w:val="center"/>
            <w:hideMark/>
          </w:tcPr>
          <w:p w14:paraId="31085356"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210.1</w:t>
            </w:r>
          </w:p>
        </w:tc>
        <w:tc>
          <w:tcPr>
            <w:tcW w:w="1096" w:type="dxa"/>
            <w:tcBorders>
              <w:top w:val="nil"/>
              <w:left w:val="nil"/>
              <w:bottom w:val="single" w:sz="4" w:space="0" w:color="auto"/>
              <w:right w:val="single" w:sz="4" w:space="0" w:color="auto"/>
            </w:tcBorders>
            <w:shd w:val="clear" w:color="auto" w:fill="auto"/>
            <w:noWrap/>
            <w:hideMark/>
          </w:tcPr>
          <w:p w14:paraId="2771DF96" w14:textId="70C645E2"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w:t>
            </w:r>
          </w:p>
        </w:tc>
        <w:tc>
          <w:tcPr>
            <w:tcW w:w="767" w:type="dxa"/>
            <w:tcBorders>
              <w:top w:val="nil"/>
              <w:left w:val="nil"/>
              <w:bottom w:val="single" w:sz="4" w:space="0" w:color="auto"/>
              <w:right w:val="single" w:sz="4" w:space="0" w:color="auto"/>
            </w:tcBorders>
            <w:shd w:val="clear" w:color="auto" w:fill="auto"/>
            <w:noWrap/>
            <w:vAlign w:val="center"/>
            <w:hideMark/>
          </w:tcPr>
          <w:p w14:paraId="569B530F" w14:textId="1501714F"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1FCE50ED" w14:textId="736495AC"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49034BD8" w14:textId="74CEED9A"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1E817CB4"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 - video microscope system</w:t>
            </w:r>
          </w:p>
        </w:tc>
        <w:tc>
          <w:tcPr>
            <w:tcW w:w="567" w:type="dxa"/>
            <w:tcBorders>
              <w:top w:val="nil"/>
              <w:left w:val="nil"/>
              <w:bottom w:val="single" w:sz="4" w:space="0" w:color="auto"/>
              <w:right w:val="single" w:sz="4" w:space="0" w:color="auto"/>
            </w:tcBorders>
            <w:shd w:val="clear" w:color="auto" w:fill="auto"/>
            <w:noWrap/>
            <w:vAlign w:val="center"/>
            <w:hideMark/>
          </w:tcPr>
          <w:p w14:paraId="6899DA0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2.69</w:t>
            </w:r>
          </w:p>
        </w:tc>
        <w:tc>
          <w:tcPr>
            <w:tcW w:w="1134" w:type="dxa"/>
            <w:tcBorders>
              <w:top w:val="nil"/>
              <w:left w:val="nil"/>
              <w:bottom w:val="single" w:sz="4" w:space="0" w:color="auto"/>
              <w:right w:val="single" w:sz="4" w:space="0" w:color="auto"/>
            </w:tcBorders>
            <w:shd w:val="clear" w:color="auto" w:fill="auto"/>
            <w:noWrap/>
            <w:vAlign w:val="center"/>
            <w:hideMark/>
          </w:tcPr>
          <w:p w14:paraId="714F5507"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Light scattering</w:t>
            </w:r>
          </w:p>
        </w:tc>
        <w:tc>
          <w:tcPr>
            <w:tcW w:w="737" w:type="dxa"/>
            <w:tcBorders>
              <w:top w:val="nil"/>
              <w:left w:val="nil"/>
              <w:bottom w:val="single" w:sz="4" w:space="0" w:color="auto"/>
              <w:right w:val="single" w:sz="4" w:space="0" w:color="auto"/>
            </w:tcBorders>
            <w:shd w:val="clear" w:color="auto" w:fill="auto"/>
            <w:noWrap/>
            <w:vAlign w:val="center"/>
            <w:hideMark/>
          </w:tcPr>
          <w:p w14:paraId="0B7DD6B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1.18</w:t>
            </w:r>
          </w:p>
        </w:tc>
        <w:tc>
          <w:tcPr>
            <w:tcW w:w="737" w:type="dxa"/>
            <w:tcBorders>
              <w:top w:val="nil"/>
              <w:left w:val="nil"/>
              <w:bottom w:val="single" w:sz="4" w:space="0" w:color="auto"/>
              <w:right w:val="single" w:sz="4" w:space="0" w:color="auto"/>
            </w:tcBorders>
            <w:shd w:val="clear" w:color="auto" w:fill="auto"/>
            <w:noWrap/>
            <w:vAlign w:val="center"/>
            <w:hideMark/>
          </w:tcPr>
          <w:p w14:paraId="75A411C2" w14:textId="417E328B"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324A3E68" w14:textId="2165D33E"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6548EA3B" w14:textId="5A65B5B5"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149B2471" w14:textId="48A31ECB"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{"citationItems":[{"id":"ITEM-1","itemData":{"DOI":"10.1016/j.applthermaleng.2016.08.010","ISSN":"1359-4311","abstract":"In this study, dust explosion experiments were conducted to investigate the explosion characteristics of three samples of dust from wood particleboard that had exploded in the manufacturing process. Explosion tests were conducted by utilizing a standardized Siwek 20L apparatus according to the standardized test procedures in the European Standard CEN EN 14034 series and CEN EN 13821. To understand the physiochemical properties of the tested dust samples, the element composition, particle size distribution, and heat release rate were obtained by utilizing an element analyzer, particle-size analyzer, and cone calorimeter, respectively. Explosion pressure and rising explosion pressure featured log-linearly increasing trends in dust concentration and equivalence ratios until the maximum. They then decreased linearly as the dust concentration and equivalence ratios increased. Dust particles of smaller sizes and non-spherical shapes achieved higher maximum explosion pressure and maximum explosion pressure rising rates. The dust concentration at maximum explosion pressure decreased as the dust particle size decreased. Thermal decomposition rates and mass loss rates of dusts, which were calculated from the results of the cone calorimeter test, were mainly affected by the content of noncombustible materials such as nitrogen and inorganic residuals. To suggest a proper method to analyze dust explosion characteristics, the correlations among the tested dust samples were calculated with four variables: dust concentration, equivalence ratio, equivalence ratio based on thermal decomposition rate, and mass loss rate. The results showed that the latter two variables were considered to be more proper methods than the dust concentration and showed slightly better correlation than the equivalence ratio. A bubble graph and a contour diagram of the explosion pressure were also utilized to visualize the degree of explosion risk and to determine a safe region of operation. The test results and analytical methods proposed in this study could be utilized to design methods for the prediction, prevention, and protection of dust explosions.","author":[{"dropping-particle":"","family":"Lee","given":"Min Chul","non-dropping-particle":"","parse-names":false,"suffix":""},{"dropping-particle":"","family":"Kim","given":"Yun Seok","non-dropping-particle":"","parse-names":false,"suffix":""},{"dropping-particle":"","family":"Rie","given":"Dong Ho","non-dropping-particle":"","parse-names":false,"suffix":""}],"container-title":"Applied Thermal Engineering","id":"ITEM-1","issued":{"date-parts":[["2016"]]},"page":"432-439","title":"Analysis of explosion characteristics of combustible wood dust in confined system using the thermal decomposition rate and mass loss rate","type":"article-journal","volume":"109"},"uris":["http://www.mendeley.com/documents/?uuid=1296ab87-201a-405b-a652-25c8c68d5653"]}],"mendeley":{"formattedCitation":"[149]","plainTextFormattedCitation":"[149]","previouslyFormattedCitation":"[149]"},"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[149]</w:t>
            </w:r>
            <w:r w:rsidRPr="00DB19C7">
              <w:rPr>
                <w:color w:val="auto"/>
                <w:sz w:val="18"/>
                <w:szCs w:val="18"/>
                <w:lang w:eastAsia="en-GB" w:bidi="ar-SA"/>
              </w:rPr>
              <w:fldChar w:fldCharType="end"/>
            </w:r>
          </w:p>
        </w:tc>
      </w:tr>
      <w:tr w:rsidR="00DB19C7" w:rsidRPr="00DB19C7" w14:paraId="30A4B248" w14:textId="1844CC16"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1C45EA56"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46</w:t>
            </w:r>
          </w:p>
        </w:tc>
        <w:tc>
          <w:tcPr>
            <w:tcW w:w="1746" w:type="dxa"/>
            <w:tcBorders>
              <w:top w:val="nil"/>
              <w:left w:val="nil"/>
              <w:bottom w:val="single" w:sz="4" w:space="0" w:color="auto"/>
              <w:right w:val="single" w:sz="4" w:space="0" w:color="auto"/>
            </w:tcBorders>
            <w:shd w:val="clear" w:color="auto" w:fill="auto"/>
            <w:noWrap/>
            <w:vAlign w:val="center"/>
            <w:hideMark/>
          </w:tcPr>
          <w:p w14:paraId="413BA0E3"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Rape seed straw</w:t>
            </w:r>
          </w:p>
        </w:tc>
        <w:tc>
          <w:tcPr>
            <w:tcW w:w="767" w:type="dxa"/>
            <w:tcBorders>
              <w:top w:val="nil"/>
              <w:left w:val="nil"/>
              <w:bottom w:val="single" w:sz="4" w:space="0" w:color="auto"/>
              <w:right w:val="single" w:sz="4" w:space="0" w:color="auto"/>
            </w:tcBorders>
            <w:shd w:val="clear" w:color="auto" w:fill="auto"/>
            <w:noWrap/>
            <w:vAlign w:val="center"/>
            <w:hideMark/>
          </w:tcPr>
          <w:p w14:paraId="2797EE6C" w14:textId="0AF8C5D6" w:rsidR="002B4066" w:rsidRPr="00DB19C7" w:rsidRDefault="002B4066" w:rsidP="002B4066">
            <w:pPr>
              <w:adjustRightInd/>
              <w:snapToGrid/>
              <w:spacing w:line="240" w:lineRule="auto"/>
              <w:jc w:val="center"/>
              <w:rPr>
                <w:color w:val="auto"/>
                <w:sz w:val="18"/>
                <w:szCs w:val="18"/>
                <w:lang w:eastAsia="en-GB" w:bidi="ar-SA"/>
              </w:rPr>
            </w:pPr>
          </w:p>
        </w:tc>
        <w:tc>
          <w:tcPr>
            <w:tcW w:w="767" w:type="dxa"/>
            <w:tcBorders>
              <w:top w:val="nil"/>
              <w:left w:val="nil"/>
              <w:bottom w:val="single" w:sz="4" w:space="0" w:color="auto"/>
              <w:right w:val="single" w:sz="4" w:space="0" w:color="auto"/>
            </w:tcBorders>
            <w:shd w:val="clear" w:color="auto" w:fill="auto"/>
            <w:noWrap/>
            <w:vAlign w:val="center"/>
            <w:hideMark/>
          </w:tcPr>
          <w:p w14:paraId="0AA2636E"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220</w:t>
            </w:r>
          </w:p>
        </w:tc>
        <w:tc>
          <w:tcPr>
            <w:tcW w:w="1018" w:type="dxa"/>
            <w:tcBorders>
              <w:top w:val="nil"/>
              <w:left w:val="nil"/>
              <w:bottom w:val="single" w:sz="4" w:space="0" w:color="auto"/>
              <w:right w:val="single" w:sz="4" w:space="0" w:color="auto"/>
            </w:tcBorders>
            <w:shd w:val="clear" w:color="auto" w:fill="auto"/>
            <w:noWrap/>
            <w:vAlign w:val="center"/>
            <w:hideMark/>
          </w:tcPr>
          <w:p w14:paraId="12CD1D4C" w14:textId="04CA577F" w:rsidR="002B4066" w:rsidRPr="00DB19C7" w:rsidRDefault="002B4066" w:rsidP="002B4066">
            <w:pPr>
              <w:adjustRightInd/>
              <w:snapToGrid/>
              <w:spacing w:line="240" w:lineRule="auto"/>
              <w:jc w:val="center"/>
              <w:rPr>
                <w:color w:val="auto"/>
                <w:sz w:val="18"/>
                <w:szCs w:val="18"/>
                <w:lang w:eastAsia="en-GB" w:bidi="ar-SA"/>
              </w:rPr>
            </w:pPr>
          </w:p>
        </w:tc>
        <w:tc>
          <w:tcPr>
            <w:tcW w:w="1096" w:type="dxa"/>
            <w:tcBorders>
              <w:top w:val="nil"/>
              <w:left w:val="nil"/>
              <w:bottom w:val="single" w:sz="4" w:space="0" w:color="auto"/>
              <w:right w:val="single" w:sz="4" w:space="0" w:color="auto"/>
            </w:tcBorders>
            <w:shd w:val="clear" w:color="auto" w:fill="auto"/>
            <w:noWrap/>
            <w:hideMark/>
          </w:tcPr>
          <w:p w14:paraId="61E9B823" w14:textId="57D5B353"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w:t>
            </w:r>
          </w:p>
        </w:tc>
        <w:tc>
          <w:tcPr>
            <w:tcW w:w="767" w:type="dxa"/>
            <w:tcBorders>
              <w:top w:val="nil"/>
              <w:left w:val="nil"/>
              <w:bottom w:val="single" w:sz="4" w:space="0" w:color="auto"/>
              <w:right w:val="single" w:sz="4" w:space="0" w:color="auto"/>
            </w:tcBorders>
            <w:shd w:val="clear" w:color="auto" w:fill="auto"/>
            <w:noWrap/>
            <w:vAlign w:val="center"/>
            <w:hideMark/>
          </w:tcPr>
          <w:p w14:paraId="5E49F426" w14:textId="618B51D1"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5628430D" w14:textId="38CE9EFC"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61A11D1E" w14:textId="69B5FE24"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7CE6E81A"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 - SEM</w:t>
            </w:r>
          </w:p>
        </w:tc>
        <w:tc>
          <w:tcPr>
            <w:tcW w:w="567" w:type="dxa"/>
            <w:tcBorders>
              <w:top w:val="nil"/>
              <w:left w:val="nil"/>
              <w:bottom w:val="single" w:sz="4" w:space="0" w:color="auto"/>
              <w:right w:val="single" w:sz="4" w:space="0" w:color="auto"/>
            </w:tcBorders>
            <w:shd w:val="clear" w:color="auto" w:fill="auto"/>
            <w:noWrap/>
            <w:vAlign w:val="center"/>
            <w:hideMark/>
          </w:tcPr>
          <w:p w14:paraId="41633657" w14:textId="05E387B2"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16287C0D"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2A2BCD66"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11.5</w:t>
            </w:r>
          </w:p>
        </w:tc>
        <w:tc>
          <w:tcPr>
            <w:tcW w:w="737" w:type="dxa"/>
            <w:tcBorders>
              <w:top w:val="nil"/>
              <w:left w:val="nil"/>
              <w:bottom w:val="single" w:sz="4" w:space="0" w:color="auto"/>
              <w:right w:val="single" w:sz="4" w:space="0" w:color="auto"/>
            </w:tcBorders>
            <w:shd w:val="clear" w:color="auto" w:fill="auto"/>
            <w:noWrap/>
            <w:vAlign w:val="center"/>
            <w:hideMark/>
          </w:tcPr>
          <w:p w14:paraId="6D73914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50.95</w:t>
            </w:r>
          </w:p>
        </w:tc>
        <w:tc>
          <w:tcPr>
            <w:tcW w:w="737" w:type="dxa"/>
            <w:tcBorders>
              <w:top w:val="nil"/>
              <w:left w:val="nil"/>
              <w:bottom w:val="single" w:sz="4" w:space="0" w:color="auto"/>
              <w:right w:val="single" w:sz="4" w:space="0" w:color="auto"/>
            </w:tcBorders>
            <w:shd w:val="clear" w:color="auto" w:fill="auto"/>
            <w:noWrap/>
            <w:vAlign w:val="center"/>
            <w:hideMark/>
          </w:tcPr>
          <w:p w14:paraId="0598443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5.4</w:t>
            </w:r>
          </w:p>
        </w:tc>
        <w:tc>
          <w:tcPr>
            <w:tcW w:w="737" w:type="dxa"/>
            <w:tcBorders>
              <w:top w:val="nil"/>
              <w:left w:val="nil"/>
              <w:bottom w:val="single" w:sz="4" w:space="0" w:color="auto"/>
              <w:right w:val="single" w:sz="4" w:space="0" w:color="auto"/>
            </w:tcBorders>
            <w:shd w:val="clear" w:color="auto" w:fill="auto"/>
            <w:noWrap/>
            <w:vAlign w:val="center"/>
            <w:hideMark/>
          </w:tcPr>
          <w:p w14:paraId="3D7E4833" w14:textId="04D95843"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52A7484F" w14:textId="34E13434"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{"citationItems":[{"id":"ITEM-1","itemData":{"ISSN":"12350621","abstract":"The overall objective of this research project was to create new data on the safety-technical characteristics of renewable fuels, low-rank coals and mixtures of these. Knowledge of basic handling and safety-technical chracteristics is of crucial significance for the design of handling equipment and safety systems, and for the assessment of explosion and fire hazards. Ten biomass and lignite fuel samples and two fuel mixtures were included in the work programme. Extensive physical and chemical characterisation was performed for all samples. The reactivity of the combustible dusts was characterised by thermal analysis (DTA-TGA). Based on the thermal runaway temperatures of the dusts the samples are listed by order of reactivity. Self-ignition properties of the fuels were studied at normal and elevated pressure (1-25 bar). The results of the self-ignition tests for the fuel samples are mainly in line with the reactivity tests carried out on DTA-TGA. The elevated pressure had a significant effect on the self-ignition temperature of all fuel samples. Partial inerting increased the self-ignition temperature, but to a rather low degree. Dust explosion tests were performed in 1 m3 vessels and 20 litre spheres. Dust explosion parameters were determined both in normal conditions and at elevated temperature and pressure. A linear correlation was found between the maximum explosion pressure Pmax and the initial pressure. The values measured for the rate of pressure rise, the KSt-value, were considerably more scattered. Most differences can probably be associated with diverse turbulence conditions inside the explosion vessel. In most cases, the lower oxygen concentration LOC slightly increased with increasing initial pressure. LOC decreases with increasing initial temperature, around 1-3 vol% per 100 °C temperature rise. Suppression systems are frequently used in industry as a measure of explosion protection. The suppression tests were conducted in a heatable the 1 m3 vessel. Increasing the temperature makes the suppression of the dust explosion more demanding. Use of partly inert atmosphere led to an increased efficiency of the explosion suppression system.","author":[{"dropping-particle":"","family":"Wilén","given":"Carl","non-dropping-particle":"","parse-names":false,"suffix":""},{"dropping-particle":"","family":"Moilanen","given":"Antero","non-dropping-particle":"","parse-names":false,"suffix":""},{"dropping-particle":"","family":"Rautalin","given":"Aimo","non-dropping-particle":"","parse-names":false,"suffix":""},{"dropping-particle":"","family":"Torrent","given":"Javier","non-dropping-particle":"","parse-names":false,"suffix":""},{"dropping-particle":"","family":"Conde","given":"Eduardo","non-dropping-particle":"","parse-names":false,"suffix":""},{"dropping-particle":"","family":"Lödel","given":"Roland","non-dropping-particle":"","parse-names":false,"suffix":""},{"dropping-particle":"","family":"Carson","given":"Douglas","non-dropping-particle":"","parse-names":false,"suffix":""},{"dropping-particle":"","family":"Timmers","given":"Piet","non-dropping-particle":"","parse-names":false,"suffix":""},{"dropping-particle":"","family":"Brehm","given":"Konrad","non-dropping-particle":"","parse-names":false,"suffix":""}],"container-title":"VTT Publications","id":"ITEM-1","issue":"394","issued":{"date-parts":[["1999"]]},"title":"Safe handling of renewable fuels and fuel mixtures","type":"article-journal"},"uris":["http://www.mendeley.com/documents/?uuid=cc30f0b2-ca37-46f2-b198-10337f3ca782"]}],"mendeley":{"formattedCitation":"[17]","plainTextFormattedCitation":"[17]","previouslyFormattedCitation":"[17]"},"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[17]</w:t>
            </w:r>
            <w:r w:rsidRPr="00DB19C7">
              <w:rPr>
                <w:color w:val="auto"/>
                <w:sz w:val="18"/>
                <w:szCs w:val="18"/>
                <w:lang w:eastAsia="en-GB" w:bidi="ar-SA"/>
              </w:rPr>
              <w:fldChar w:fldCharType="end"/>
            </w:r>
          </w:p>
        </w:tc>
      </w:tr>
      <w:tr w:rsidR="00DB19C7" w:rsidRPr="00DB19C7" w14:paraId="15DCAC21" w14:textId="600ED23C"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3958414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47</w:t>
            </w:r>
          </w:p>
        </w:tc>
        <w:tc>
          <w:tcPr>
            <w:tcW w:w="1746" w:type="dxa"/>
            <w:tcBorders>
              <w:top w:val="nil"/>
              <w:left w:val="nil"/>
              <w:bottom w:val="single" w:sz="4" w:space="0" w:color="auto"/>
              <w:right w:val="single" w:sz="4" w:space="0" w:color="auto"/>
            </w:tcBorders>
            <w:shd w:val="clear" w:color="auto" w:fill="auto"/>
            <w:noWrap/>
            <w:vAlign w:val="center"/>
            <w:hideMark/>
          </w:tcPr>
          <w:p w14:paraId="09CC574C"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Sewage sludge (Catalonia)</w:t>
            </w:r>
          </w:p>
        </w:tc>
        <w:tc>
          <w:tcPr>
            <w:tcW w:w="767" w:type="dxa"/>
            <w:tcBorders>
              <w:top w:val="nil"/>
              <w:left w:val="nil"/>
              <w:bottom w:val="single" w:sz="4" w:space="0" w:color="auto"/>
              <w:right w:val="single" w:sz="4" w:space="0" w:color="auto"/>
            </w:tcBorders>
            <w:shd w:val="clear" w:color="auto" w:fill="auto"/>
            <w:noWrap/>
            <w:vAlign w:val="center"/>
            <w:hideMark/>
          </w:tcPr>
          <w:p w14:paraId="7F3DBBAC" w14:textId="211BB658" w:rsidR="002B4066" w:rsidRPr="00DB19C7" w:rsidRDefault="002B4066" w:rsidP="002B4066">
            <w:pPr>
              <w:adjustRightInd/>
              <w:snapToGrid/>
              <w:spacing w:line="240" w:lineRule="auto"/>
              <w:jc w:val="center"/>
              <w:rPr>
                <w:color w:val="auto"/>
                <w:sz w:val="18"/>
                <w:szCs w:val="18"/>
                <w:lang w:eastAsia="en-GB" w:bidi="ar-SA"/>
              </w:rPr>
            </w:pPr>
          </w:p>
        </w:tc>
        <w:tc>
          <w:tcPr>
            <w:tcW w:w="767" w:type="dxa"/>
            <w:tcBorders>
              <w:top w:val="nil"/>
              <w:left w:val="nil"/>
              <w:bottom w:val="single" w:sz="4" w:space="0" w:color="auto"/>
              <w:right w:val="single" w:sz="4" w:space="0" w:color="auto"/>
            </w:tcBorders>
            <w:shd w:val="clear" w:color="auto" w:fill="auto"/>
            <w:noWrap/>
            <w:vAlign w:val="center"/>
            <w:hideMark/>
          </w:tcPr>
          <w:p w14:paraId="7E55B71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92</w:t>
            </w:r>
          </w:p>
        </w:tc>
        <w:tc>
          <w:tcPr>
            <w:tcW w:w="1018" w:type="dxa"/>
            <w:tcBorders>
              <w:top w:val="nil"/>
              <w:left w:val="nil"/>
              <w:bottom w:val="single" w:sz="4" w:space="0" w:color="auto"/>
              <w:right w:val="single" w:sz="4" w:space="0" w:color="auto"/>
            </w:tcBorders>
            <w:shd w:val="clear" w:color="auto" w:fill="auto"/>
            <w:noWrap/>
            <w:vAlign w:val="center"/>
            <w:hideMark/>
          </w:tcPr>
          <w:p w14:paraId="395E904E" w14:textId="3F2F03B1" w:rsidR="002B4066" w:rsidRPr="00DB19C7" w:rsidRDefault="002B4066" w:rsidP="002B4066">
            <w:pPr>
              <w:adjustRightInd/>
              <w:snapToGrid/>
              <w:spacing w:line="240" w:lineRule="auto"/>
              <w:jc w:val="center"/>
              <w:rPr>
                <w:color w:val="auto"/>
                <w:sz w:val="18"/>
                <w:szCs w:val="18"/>
                <w:lang w:eastAsia="en-GB" w:bidi="ar-SA"/>
              </w:rPr>
            </w:pPr>
          </w:p>
        </w:tc>
        <w:tc>
          <w:tcPr>
            <w:tcW w:w="1096" w:type="dxa"/>
            <w:tcBorders>
              <w:top w:val="nil"/>
              <w:left w:val="nil"/>
              <w:bottom w:val="single" w:sz="4" w:space="0" w:color="auto"/>
              <w:right w:val="single" w:sz="4" w:space="0" w:color="auto"/>
            </w:tcBorders>
            <w:shd w:val="clear" w:color="auto" w:fill="auto"/>
            <w:noWrap/>
            <w:vAlign w:val="center"/>
            <w:hideMark/>
          </w:tcPr>
          <w:p w14:paraId="7BD2BFCC" w14:textId="07294DE2"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5F14EF8A"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103.2</w:t>
            </w:r>
          </w:p>
        </w:tc>
        <w:tc>
          <w:tcPr>
            <w:tcW w:w="765" w:type="dxa"/>
            <w:tcBorders>
              <w:top w:val="nil"/>
              <w:left w:val="nil"/>
              <w:bottom w:val="single" w:sz="4" w:space="0" w:color="auto"/>
              <w:right w:val="single" w:sz="4" w:space="0" w:color="auto"/>
            </w:tcBorders>
            <w:shd w:val="clear" w:color="auto" w:fill="auto"/>
            <w:noWrap/>
            <w:vAlign w:val="center"/>
            <w:hideMark/>
          </w:tcPr>
          <w:p w14:paraId="413679D8"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50.3</w:t>
            </w:r>
          </w:p>
        </w:tc>
        <w:tc>
          <w:tcPr>
            <w:tcW w:w="1199" w:type="dxa"/>
            <w:tcBorders>
              <w:top w:val="nil"/>
              <w:left w:val="nil"/>
              <w:bottom w:val="single" w:sz="4" w:space="0" w:color="auto"/>
              <w:right w:val="single" w:sz="4" w:space="0" w:color="auto"/>
            </w:tcBorders>
            <w:shd w:val="clear" w:color="auto" w:fill="auto"/>
            <w:noWrap/>
            <w:vAlign w:val="center"/>
            <w:hideMark/>
          </w:tcPr>
          <w:p w14:paraId="61ED1ED8" w14:textId="2D045EE1"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0.119</w:t>
            </w:r>
          </w:p>
        </w:tc>
        <w:tc>
          <w:tcPr>
            <w:tcW w:w="1137" w:type="dxa"/>
            <w:tcBorders>
              <w:top w:val="nil"/>
              <w:left w:val="nil"/>
              <w:bottom w:val="single" w:sz="4" w:space="0" w:color="auto"/>
              <w:right w:val="single" w:sz="4" w:space="0" w:color="auto"/>
            </w:tcBorders>
            <w:shd w:val="clear" w:color="auto" w:fill="auto"/>
            <w:noWrap/>
            <w:vAlign w:val="center"/>
            <w:hideMark/>
          </w:tcPr>
          <w:p w14:paraId="60C53A54"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567" w:type="dxa"/>
            <w:tcBorders>
              <w:top w:val="nil"/>
              <w:left w:val="nil"/>
              <w:bottom w:val="single" w:sz="4" w:space="0" w:color="auto"/>
              <w:right w:val="single" w:sz="4" w:space="0" w:color="auto"/>
            </w:tcBorders>
            <w:shd w:val="clear" w:color="auto" w:fill="auto"/>
            <w:noWrap/>
            <w:vAlign w:val="center"/>
            <w:hideMark/>
          </w:tcPr>
          <w:p w14:paraId="095B9E02" w14:textId="09AD8036"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1AC95F03"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3A4EB6FA" w14:textId="601C421A"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78CE7A32" w14:textId="3720B8E9"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2432C727" w14:textId="7D6297D6"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4B0EE7BA" w14:textId="4A67DABD"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020A8EBE" w14:textId="3E9C7C4B"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{"citationItems":[{"id":"ITEM-1","itemData":{"DOI":"10.1007/s10694-018-0782-3","ISSN":"1572-8099","abstract":"Dust layers are present in every industrial facility where solid materials are generated or processed. The emergence of new fuels with still unknown flammability properties generates an increase on the risks related with these facilities that needs to be further studied. Most of these biomasses are susceptible to exothermically react, acting as an ignition source and causing fires and explosions. One of the most common causes of explosions is the ignition of dust layers deposited on the equipment, which could be avoided by a better understanding of the materials. However, the ignitability of these layers depend on several parameters as the particle size and the density of the deposited materials. This paper reports experimental work on hot surface ignition temperatures of layers of different fuels, both biofuels, such as wood or sewage sludge, and fossil fuels, coal and coke. It shows that the common practices that are well-known for fossil fuels cannot be directly extrapolated to new fuels. Unlike fossil fuels, wood-based materials present the same ignition risk in dust and bulk size, so an increase on the particle size does not ensure a safer work space. Furthermore, compacting these materials can increase the ignition risk of these type of layers, contrary to the common practices for fossil fuels storages. These differences point out the need of a complete characterisation of each material to ensure a safe working facility.","author":[{"dropping-particle":"","family":"Fernandez-Anez","given":"Nieves","non-dropping-particle":"","parse-names":false,"suffix":""},{"dropping-particle":"","family":"Garcia-Torrent","given":"Javier","non-dropping-particle":"","parse-names":false,"suffix":""}],"container-title":"Fire Technology","id":"ITEM-1","issue":"1","issued":{"date-parts":[["2019"]]},"page":"175-191","title":"Influence of Particle Size and Density on the Hot Surface Ignition of Solid Fuel Layers","type":"article-journal","volume":"55"},"uris":["http://www.mendeley.com/documents/?uuid=f107a61e-81cb-4767-8f95-3d5cff660de0"]}],"mendeley":{"formattedCitation":"[28]","plainTextFormattedCitation":"[28]","previouslyFormattedCitation":"[28]"},"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[28]</w:t>
            </w:r>
            <w:r w:rsidRPr="00DB19C7">
              <w:rPr>
                <w:color w:val="auto"/>
                <w:sz w:val="18"/>
                <w:szCs w:val="18"/>
                <w:lang w:eastAsia="en-GB" w:bidi="ar-SA"/>
              </w:rPr>
              <w:fldChar w:fldCharType="end"/>
            </w:r>
          </w:p>
        </w:tc>
      </w:tr>
      <w:tr w:rsidR="00DB19C7" w:rsidRPr="00DB19C7" w14:paraId="6979D2B6" w14:textId="3B1B56D8"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4DC4347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48</w:t>
            </w:r>
          </w:p>
        </w:tc>
        <w:tc>
          <w:tcPr>
            <w:tcW w:w="1746" w:type="dxa"/>
            <w:tcBorders>
              <w:top w:val="nil"/>
              <w:left w:val="nil"/>
              <w:bottom w:val="single" w:sz="4" w:space="0" w:color="auto"/>
              <w:right w:val="single" w:sz="4" w:space="0" w:color="auto"/>
            </w:tcBorders>
            <w:shd w:val="clear" w:color="auto" w:fill="auto"/>
            <w:noWrap/>
            <w:vAlign w:val="center"/>
            <w:hideMark/>
          </w:tcPr>
          <w:p w14:paraId="7B1EC30D"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Sewage sludge (Catalonia)</w:t>
            </w:r>
          </w:p>
        </w:tc>
        <w:tc>
          <w:tcPr>
            <w:tcW w:w="767" w:type="dxa"/>
            <w:tcBorders>
              <w:top w:val="nil"/>
              <w:left w:val="nil"/>
              <w:bottom w:val="single" w:sz="4" w:space="0" w:color="auto"/>
              <w:right w:val="single" w:sz="4" w:space="0" w:color="auto"/>
            </w:tcBorders>
            <w:shd w:val="clear" w:color="auto" w:fill="auto"/>
            <w:noWrap/>
            <w:vAlign w:val="center"/>
            <w:hideMark/>
          </w:tcPr>
          <w:p w14:paraId="662DBE89" w14:textId="0D3F5104" w:rsidR="002B4066" w:rsidRPr="00DB19C7" w:rsidRDefault="002B4066" w:rsidP="002B4066">
            <w:pPr>
              <w:adjustRightInd/>
              <w:snapToGrid/>
              <w:spacing w:line="240" w:lineRule="auto"/>
              <w:jc w:val="center"/>
              <w:rPr>
                <w:color w:val="auto"/>
                <w:sz w:val="18"/>
                <w:szCs w:val="18"/>
                <w:lang w:eastAsia="en-GB" w:bidi="ar-SA"/>
              </w:rPr>
            </w:pPr>
          </w:p>
        </w:tc>
        <w:tc>
          <w:tcPr>
            <w:tcW w:w="767" w:type="dxa"/>
            <w:tcBorders>
              <w:top w:val="nil"/>
              <w:left w:val="nil"/>
              <w:bottom w:val="single" w:sz="4" w:space="0" w:color="auto"/>
              <w:right w:val="single" w:sz="4" w:space="0" w:color="auto"/>
            </w:tcBorders>
            <w:shd w:val="clear" w:color="auto" w:fill="auto"/>
            <w:noWrap/>
            <w:vAlign w:val="center"/>
            <w:hideMark/>
          </w:tcPr>
          <w:p w14:paraId="03F36E8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638.2</w:t>
            </w:r>
          </w:p>
        </w:tc>
        <w:tc>
          <w:tcPr>
            <w:tcW w:w="1018" w:type="dxa"/>
            <w:tcBorders>
              <w:top w:val="nil"/>
              <w:left w:val="nil"/>
              <w:bottom w:val="single" w:sz="4" w:space="0" w:color="auto"/>
              <w:right w:val="single" w:sz="4" w:space="0" w:color="auto"/>
            </w:tcBorders>
            <w:shd w:val="clear" w:color="auto" w:fill="auto"/>
            <w:noWrap/>
            <w:vAlign w:val="center"/>
            <w:hideMark/>
          </w:tcPr>
          <w:p w14:paraId="2CE31172" w14:textId="5113BD73" w:rsidR="002B4066" w:rsidRPr="00DB19C7" w:rsidRDefault="002B4066" w:rsidP="002B4066">
            <w:pPr>
              <w:adjustRightInd/>
              <w:snapToGrid/>
              <w:spacing w:line="240" w:lineRule="auto"/>
              <w:jc w:val="center"/>
              <w:rPr>
                <w:color w:val="auto"/>
                <w:sz w:val="18"/>
                <w:szCs w:val="18"/>
                <w:lang w:eastAsia="en-GB" w:bidi="ar-SA"/>
              </w:rPr>
            </w:pPr>
          </w:p>
        </w:tc>
        <w:tc>
          <w:tcPr>
            <w:tcW w:w="1096" w:type="dxa"/>
            <w:tcBorders>
              <w:top w:val="nil"/>
              <w:left w:val="nil"/>
              <w:bottom w:val="single" w:sz="4" w:space="0" w:color="auto"/>
              <w:right w:val="single" w:sz="4" w:space="0" w:color="auto"/>
            </w:tcBorders>
            <w:shd w:val="clear" w:color="auto" w:fill="auto"/>
            <w:noWrap/>
            <w:vAlign w:val="center"/>
            <w:hideMark/>
          </w:tcPr>
          <w:p w14:paraId="1E21204D" w14:textId="762A724E"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77E0F44C"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699.6</w:t>
            </w:r>
          </w:p>
        </w:tc>
        <w:tc>
          <w:tcPr>
            <w:tcW w:w="765" w:type="dxa"/>
            <w:tcBorders>
              <w:top w:val="nil"/>
              <w:left w:val="nil"/>
              <w:bottom w:val="single" w:sz="4" w:space="0" w:color="auto"/>
              <w:right w:val="single" w:sz="4" w:space="0" w:color="auto"/>
            </w:tcBorders>
            <w:shd w:val="clear" w:color="auto" w:fill="auto"/>
            <w:noWrap/>
            <w:vAlign w:val="center"/>
            <w:hideMark/>
          </w:tcPr>
          <w:p w14:paraId="0C090F0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490.3</w:t>
            </w:r>
          </w:p>
        </w:tc>
        <w:tc>
          <w:tcPr>
            <w:tcW w:w="1199" w:type="dxa"/>
            <w:tcBorders>
              <w:top w:val="nil"/>
              <w:left w:val="nil"/>
              <w:bottom w:val="single" w:sz="4" w:space="0" w:color="auto"/>
              <w:right w:val="single" w:sz="4" w:space="0" w:color="auto"/>
            </w:tcBorders>
            <w:shd w:val="clear" w:color="auto" w:fill="auto"/>
            <w:noWrap/>
            <w:vAlign w:val="center"/>
            <w:hideMark/>
          </w:tcPr>
          <w:p w14:paraId="52917BE5" w14:textId="14E0E30C"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0.012</w:t>
            </w:r>
          </w:p>
        </w:tc>
        <w:tc>
          <w:tcPr>
            <w:tcW w:w="1137" w:type="dxa"/>
            <w:tcBorders>
              <w:top w:val="nil"/>
              <w:left w:val="nil"/>
              <w:bottom w:val="single" w:sz="4" w:space="0" w:color="auto"/>
              <w:right w:val="single" w:sz="4" w:space="0" w:color="auto"/>
            </w:tcBorders>
            <w:shd w:val="clear" w:color="auto" w:fill="auto"/>
            <w:noWrap/>
            <w:vAlign w:val="center"/>
            <w:hideMark/>
          </w:tcPr>
          <w:p w14:paraId="324AD49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567" w:type="dxa"/>
            <w:tcBorders>
              <w:top w:val="nil"/>
              <w:left w:val="nil"/>
              <w:bottom w:val="single" w:sz="4" w:space="0" w:color="auto"/>
              <w:right w:val="single" w:sz="4" w:space="0" w:color="auto"/>
            </w:tcBorders>
            <w:shd w:val="clear" w:color="auto" w:fill="auto"/>
            <w:noWrap/>
            <w:vAlign w:val="center"/>
            <w:hideMark/>
          </w:tcPr>
          <w:p w14:paraId="7BC96004" w14:textId="7D57CB0D"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7775732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6FCEDEF4" w14:textId="2C15AF9B"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6E4C1D5D" w14:textId="56FE86C7"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790F7A2F" w14:textId="7D856658"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61CF5196" w14:textId="01B426F3"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5253B779" w14:textId="14591514"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{"citationItems":[{"id":"ITEM-1","itemData":{"DOI":"10.1007/s10694-018-0782-3","ISSN":"1572-8099","abstract":"Dust layers are present in every industrial facility where solid materials are generated or processed. The emergence of new fuels with still unknown flammability properties generates an increase on the risks related with these facilities that needs to be further studied. Most of these biomasses are susceptible to exothermically react, acting as an ignition source and causing fires and explosions. One of the most common causes of explosions is the ignition of dust layers deposited on the equipment, which could be avoided by a better understanding of the materials. However, the ignitability of these layers depend on several parameters as the particle size and the density of the deposited materials. This paper reports experimental work on hot surface ignition temperatures of layers of different fuels, both biofuels, such as wood or sewage sludge, and fossil fuels, coal and coke. It shows that the common practices that are well-known for fossil fuels cannot be directly extrapolated to new fuels. Unlike fossil fuels, wood-based materials present the same ignition risk in dust and bulk size, so an increase on the particle size does not ensure a safer work space. Furthermore, compacting these materials can increase the ignition risk of these type of layers, contrary to the common practices for fossil fuels storages. These differences point out the need of a complete characterisation of each material to ensure a safe working facility.","author":[{"dropping-particle":"","family":"Fernandez-Anez","given":"Nieves","non-dropping-particle":"","parse-names":false,"suffix":""},{"dropping-particle":"","family":"Garcia-Torrent","given":"Javier","non-dropping-particle":"","parse-names":false,"suffix":""}],"container-title":"Fire Technology","id":"ITEM-1","issue":"1","issued":{"date-parts":[["2019"]]},"page":"175-191","title":"Influence of Particle Size and Density on the Hot Surface Ignition of Solid Fuel Layers","type":"article-journal","volume":"55"},"uris":["http://www.mendeley.com/documents/?uuid=f107a61e-81cb-4767-8f95-3d5cff660de0"]}],"mendeley":{"formattedCitation":"[28]","plainTextFormattedCitation":"[28]","previouslyFormattedCitation":"[28]"},"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[28]</w:t>
            </w:r>
            <w:r w:rsidRPr="00DB19C7">
              <w:rPr>
                <w:color w:val="auto"/>
                <w:sz w:val="18"/>
                <w:szCs w:val="18"/>
                <w:lang w:eastAsia="en-GB" w:bidi="ar-SA"/>
              </w:rPr>
              <w:fldChar w:fldCharType="end"/>
            </w:r>
          </w:p>
        </w:tc>
      </w:tr>
      <w:tr w:rsidR="00DB19C7" w:rsidRPr="00DB19C7" w14:paraId="641EC0CC" w14:textId="70A273B0"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01958D8D"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49</w:t>
            </w:r>
          </w:p>
        </w:tc>
        <w:tc>
          <w:tcPr>
            <w:tcW w:w="1746" w:type="dxa"/>
            <w:tcBorders>
              <w:top w:val="nil"/>
              <w:left w:val="nil"/>
              <w:bottom w:val="single" w:sz="4" w:space="0" w:color="auto"/>
              <w:right w:val="single" w:sz="4" w:space="0" w:color="auto"/>
            </w:tcBorders>
            <w:shd w:val="clear" w:color="auto" w:fill="auto"/>
            <w:noWrap/>
            <w:vAlign w:val="center"/>
            <w:hideMark/>
          </w:tcPr>
          <w:p w14:paraId="6164103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Sewage sludge (Madrid)</w:t>
            </w:r>
          </w:p>
        </w:tc>
        <w:tc>
          <w:tcPr>
            <w:tcW w:w="767" w:type="dxa"/>
            <w:tcBorders>
              <w:top w:val="nil"/>
              <w:left w:val="nil"/>
              <w:bottom w:val="single" w:sz="4" w:space="0" w:color="auto"/>
              <w:right w:val="single" w:sz="4" w:space="0" w:color="auto"/>
            </w:tcBorders>
            <w:shd w:val="clear" w:color="auto" w:fill="auto"/>
            <w:noWrap/>
            <w:vAlign w:val="center"/>
            <w:hideMark/>
          </w:tcPr>
          <w:p w14:paraId="56D0194D" w14:textId="7746D7D2" w:rsidR="002B4066" w:rsidRPr="00DB19C7" w:rsidRDefault="002B4066" w:rsidP="002B4066">
            <w:pPr>
              <w:adjustRightInd/>
              <w:snapToGrid/>
              <w:spacing w:line="240" w:lineRule="auto"/>
              <w:jc w:val="center"/>
              <w:rPr>
                <w:color w:val="auto"/>
                <w:sz w:val="18"/>
                <w:szCs w:val="18"/>
                <w:lang w:eastAsia="en-GB" w:bidi="ar-SA"/>
              </w:rPr>
            </w:pPr>
          </w:p>
        </w:tc>
        <w:tc>
          <w:tcPr>
            <w:tcW w:w="767" w:type="dxa"/>
            <w:tcBorders>
              <w:top w:val="nil"/>
              <w:left w:val="nil"/>
              <w:bottom w:val="single" w:sz="4" w:space="0" w:color="auto"/>
              <w:right w:val="single" w:sz="4" w:space="0" w:color="auto"/>
            </w:tcBorders>
            <w:shd w:val="clear" w:color="auto" w:fill="auto"/>
            <w:noWrap/>
            <w:vAlign w:val="center"/>
            <w:hideMark/>
          </w:tcPr>
          <w:p w14:paraId="0867912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94.7</w:t>
            </w:r>
          </w:p>
        </w:tc>
        <w:tc>
          <w:tcPr>
            <w:tcW w:w="1018" w:type="dxa"/>
            <w:tcBorders>
              <w:top w:val="nil"/>
              <w:left w:val="nil"/>
              <w:bottom w:val="single" w:sz="4" w:space="0" w:color="auto"/>
              <w:right w:val="single" w:sz="4" w:space="0" w:color="auto"/>
            </w:tcBorders>
            <w:shd w:val="clear" w:color="auto" w:fill="auto"/>
            <w:noWrap/>
            <w:vAlign w:val="center"/>
            <w:hideMark/>
          </w:tcPr>
          <w:p w14:paraId="0838CB35" w14:textId="73D27F2F" w:rsidR="002B4066" w:rsidRPr="00DB19C7" w:rsidRDefault="002B4066" w:rsidP="002B4066">
            <w:pPr>
              <w:adjustRightInd/>
              <w:snapToGrid/>
              <w:spacing w:line="240" w:lineRule="auto"/>
              <w:jc w:val="center"/>
              <w:rPr>
                <w:color w:val="auto"/>
                <w:sz w:val="18"/>
                <w:szCs w:val="18"/>
                <w:lang w:eastAsia="en-GB" w:bidi="ar-SA"/>
              </w:rPr>
            </w:pPr>
          </w:p>
        </w:tc>
        <w:tc>
          <w:tcPr>
            <w:tcW w:w="1096" w:type="dxa"/>
            <w:tcBorders>
              <w:top w:val="nil"/>
              <w:left w:val="nil"/>
              <w:bottom w:val="single" w:sz="4" w:space="0" w:color="auto"/>
              <w:right w:val="single" w:sz="4" w:space="0" w:color="auto"/>
            </w:tcBorders>
            <w:shd w:val="clear" w:color="auto" w:fill="auto"/>
            <w:noWrap/>
            <w:vAlign w:val="center"/>
            <w:hideMark/>
          </w:tcPr>
          <w:p w14:paraId="05D866A8" w14:textId="4561385D"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59E6E98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104.2</w:t>
            </w:r>
          </w:p>
        </w:tc>
        <w:tc>
          <w:tcPr>
            <w:tcW w:w="765" w:type="dxa"/>
            <w:tcBorders>
              <w:top w:val="nil"/>
              <w:left w:val="nil"/>
              <w:bottom w:val="single" w:sz="4" w:space="0" w:color="auto"/>
              <w:right w:val="single" w:sz="4" w:space="0" w:color="auto"/>
            </w:tcBorders>
            <w:shd w:val="clear" w:color="auto" w:fill="auto"/>
            <w:noWrap/>
            <w:vAlign w:val="center"/>
            <w:hideMark/>
          </w:tcPr>
          <w:p w14:paraId="0A9B0B7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33.5</w:t>
            </w:r>
          </w:p>
        </w:tc>
        <w:tc>
          <w:tcPr>
            <w:tcW w:w="1199" w:type="dxa"/>
            <w:tcBorders>
              <w:top w:val="nil"/>
              <w:left w:val="nil"/>
              <w:bottom w:val="single" w:sz="4" w:space="0" w:color="auto"/>
              <w:right w:val="single" w:sz="4" w:space="0" w:color="auto"/>
            </w:tcBorders>
            <w:shd w:val="clear" w:color="auto" w:fill="auto"/>
            <w:noWrap/>
            <w:vAlign w:val="center"/>
            <w:hideMark/>
          </w:tcPr>
          <w:p w14:paraId="79127E28" w14:textId="639611D2"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0.179</w:t>
            </w:r>
          </w:p>
        </w:tc>
        <w:tc>
          <w:tcPr>
            <w:tcW w:w="1137" w:type="dxa"/>
            <w:tcBorders>
              <w:top w:val="nil"/>
              <w:left w:val="nil"/>
              <w:bottom w:val="single" w:sz="4" w:space="0" w:color="auto"/>
              <w:right w:val="single" w:sz="4" w:space="0" w:color="auto"/>
            </w:tcBorders>
            <w:shd w:val="clear" w:color="auto" w:fill="auto"/>
            <w:noWrap/>
            <w:vAlign w:val="center"/>
            <w:hideMark/>
          </w:tcPr>
          <w:p w14:paraId="557EC6C1"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567" w:type="dxa"/>
            <w:tcBorders>
              <w:top w:val="nil"/>
              <w:left w:val="nil"/>
              <w:bottom w:val="single" w:sz="4" w:space="0" w:color="auto"/>
              <w:right w:val="single" w:sz="4" w:space="0" w:color="auto"/>
            </w:tcBorders>
            <w:shd w:val="clear" w:color="auto" w:fill="auto"/>
            <w:noWrap/>
            <w:vAlign w:val="center"/>
            <w:hideMark/>
          </w:tcPr>
          <w:p w14:paraId="7B9BCEA0" w14:textId="6D663491"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2352BB46"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37E73CAE" w14:textId="04FBA0AE"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3D0FA74B" w14:textId="444FEC62"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1C91B80C" w14:textId="492C35C8"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1D4E68FF" w14:textId="40180CC1"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03730571" w14:textId="388A4CD9"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{"citationItems":[{"id":"ITEM-1","itemData":{"DOI":"10.1007/s10694-018-0782-3","ISSN":"1572-8099","abstract":"Dust layers are present in every industrial facility where solid materials are generated or processed. The emergence of new fuels with still unknown flammability properties generates an increase on the risks related with these facilities that needs to be further studied. Most of these biomasses are susceptible to exothermically react, acting as an ignition source and causing fires and explosions. One of the most common causes of explosions is the ignition of dust layers deposited on the equipment, which could be avoided by a better understanding of the materials. However, the ignitability of these layers depend on several parameters as the particle size and the density of the deposited materials. This paper reports experimental work on hot surface ignition temperatures of layers of different fuels, both biofuels, such as wood or sewage sludge, and fossil fuels, coal and coke. It shows that the common practices that are well-known for fossil fuels cannot be directly extrapolated to new fuels. Unlike fossil fuels, wood-based materials present the same ignition risk in dust and bulk size, so an increase on the particle size does not ensure a safer work space. Furthermore, compacting these materials can increase the ignition risk of these type of layers, contrary to the common practices for fossil fuels storages. These differences point out the need of a complete characterisation of each material to ensure a safe working facility.","author":[{"dropping-particle":"","family":"Fernandez-Anez","given":"Nieves","non-dropping-particle":"","parse-names":false,"suffix":""},{"dropping-particle":"","family":"Garcia-Torrent","given":"Javier","non-dropping-particle":"","parse-names":false,"suffix":""}],"container-title":"Fire Technology","id":"ITEM-1","issue":"1","issued":{"date-parts":[["2019"]]},"page":"175-191","title":"Influence of Particle Size and Density on the Hot Surface Ignition of Solid Fuel Layers","type":"article-journal","volume":"55"},"uris":["http://www.mendeley.com/documents/?uuid=f107a61e-81cb-4767-8f95-3d5cff660de0"]}],"mendeley":{"formattedCitation":"[28]","plainTextFormattedCitation":"[28]","previouslyFormattedCitation":"[28]"},"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[28]</w:t>
            </w:r>
            <w:r w:rsidRPr="00DB19C7">
              <w:rPr>
                <w:color w:val="auto"/>
                <w:sz w:val="18"/>
                <w:szCs w:val="18"/>
                <w:lang w:eastAsia="en-GB" w:bidi="ar-SA"/>
              </w:rPr>
              <w:fldChar w:fldCharType="end"/>
            </w:r>
          </w:p>
        </w:tc>
      </w:tr>
      <w:tr w:rsidR="00DB19C7" w:rsidRPr="00DB19C7" w14:paraId="3D6AF0F2" w14:textId="7C60FE68"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0AD73ADD"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50</w:t>
            </w:r>
          </w:p>
        </w:tc>
        <w:tc>
          <w:tcPr>
            <w:tcW w:w="1746" w:type="dxa"/>
            <w:tcBorders>
              <w:top w:val="nil"/>
              <w:left w:val="nil"/>
              <w:bottom w:val="single" w:sz="4" w:space="0" w:color="auto"/>
              <w:right w:val="single" w:sz="4" w:space="0" w:color="auto"/>
            </w:tcBorders>
            <w:shd w:val="clear" w:color="auto" w:fill="auto"/>
            <w:noWrap/>
            <w:vAlign w:val="center"/>
            <w:hideMark/>
          </w:tcPr>
          <w:p w14:paraId="7DF9E136"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Sewage sludge (Madrid)</w:t>
            </w:r>
          </w:p>
        </w:tc>
        <w:tc>
          <w:tcPr>
            <w:tcW w:w="767" w:type="dxa"/>
            <w:tcBorders>
              <w:top w:val="nil"/>
              <w:left w:val="nil"/>
              <w:bottom w:val="single" w:sz="4" w:space="0" w:color="auto"/>
              <w:right w:val="single" w:sz="4" w:space="0" w:color="auto"/>
            </w:tcBorders>
            <w:shd w:val="clear" w:color="auto" w:fill="auto"/>
            <w:noWrap/>
            <w:vAlign w:val="center"/>
            <w:hideMark/>
          </w:tcPr>
          <w:p w14:paraId="7641C5E8" w14:textId="75AE0C72" w:rsidR="002B4066" w:rsidRPr="00DB19C7" w:rsidRDefault="002B4066" w:rsidP="002B4066">
            <w:pPr>
              <w:adjustRightInd/>
              <w:snapToGrid/>
              <w:spacing w:line="240" w:lineRule="auto"/>
              <w:jc w:val="center"/>
              <w:rPr>
                <w:color w:val="auto"/>
                <w:sz w:val="18"/>
                <w:szCs w:val="18"/>
                <w:lang w:eastAsia="en-GB" w:bidi="ar-SA"/>
              </w:rPr>
            </w:pPr>
          </w:p>
        </w:tc>
        <w:tc>
          <w:tcPr>
            <w:tcW w:w="767" w:type="dxa"/>
            <w:tcBorders>
              <w:top w:val="nil"/>
              <w:left w:val="nil"/>
              <w:bottom w:val="single" w:sz="4" w:space="0" w:color="auto"/>
              <w:right w:val="single" w:sz="4" w:space="0" w:color="auto"/>
            </w:tcBorders>
            <w:shd w:val="clear" w:color="auto" w:fill="auto"/>
            <w:noWrap/>
            <w:vAlign w:val="center"/>
            <w:hideMark/>
          </w:tcPr>
          <w:p w14:paraId="545247B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98.1</w:t>
            </w:r>
          </w:p>
        </w:tc>
        <w:tc>
          <w:tcPr>
            <w:tcW w:w="1018" w:type="dxa"/>
            <w:tcBorders>
              <w:top w:val="nil"/>
              <w:left w:val="nil"/>
              <w:bottom w:val="single" w:sz="4" w:space="0" w:color="auto"/>
              <w:right w:val="single" w:sz="4" w:space="0" w:color="auto"/>
            </w:tcBorders>
            <w:shd w:val="clear" w:color="auto" w:fill="auto"/>
            <w:noWrap/>
            <w:vAlign w:val="center"/>
            <w:hideMark/>
          </w:tcPr>
          <w:p w14:paraId="73955F96" w14:textId="3120646E" w:rsidR="002B4066" w:rsidRPr="00DB19C7" w:rsidRDefault="002B4066" w:rsidP="002B4066">
            <w:pPr>
              <w:adjustRightInd/>
              <w:snapToGrid/>
              <w:spacing w:line="240" w:lineRule="auto"/>
              <w:jc w:val="center"/>
              <w:rPr>
                <w:color w:val="auto"/>
                <w:sz w:val="18"/>
                <w:szCs w:val="18"/>
                <w:lang w:eastAsia="en-GB" w:bidi="ar-SA"/>
              </w:rPr>
            </w:pPr>
          </w:p>
        </w:tc>
        <w:tc>
          <w:tcPr>
            <w:tcW w:w="1096" w:type="dxa"/>
            <w:tcBorders>
              <w:top w:val="nil"/>
              <w:left w:val="nil"/>
              <w:bottom w:val="single" w:sz="4" w:space="0" w:color="auto"/>
              <w:right w:val="single" w:sz="4" w:space="0" w:color="auto"/>
            </w:tcBorders>
            <w:shd w:val="clear" w:color="auto" w:fill="auto"/>
            <w:noWrap/>
            <w:vAlign w:val="center"/>
            <w:hideMark/>
          </w:tcPr>
          <w:p w14:paraId="4480FB39" w14:textId="76DB57DA"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23328BC1"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107.5</w:t>
            </w:r>
          </w:p>
        </w:tc>
        <w:tc>
          <w:tcPr>
            <w:tcW w:w="765" w:type="dxa"/>
            <w:tcBorders>
              <w:top w:val="nil"/>
              <w:left w:val="nil"/>
              <w:bottom w:val="single" w:sz="4" w:space="0" w:color="auto"/>
              <w:right w:val="single" w:sz="4" w:space="0" w:color="auto"/>
            </w:tcBorders>
            <w:shd w:val="clear" w:color="auto" w:fill="auto"/>
            <w:noWrap/>
            <w:vAlign w:val="center"/>
            <w:hideMark/>
          </w:tcPr>
          <w:p w14:paraId="652840F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47.8</w:t>
            </w:r>
          </w:p>
        </w:tc>
        <w:tc>
          <w:tcPr>
            <w:tcW w:w="1199" w:type="dxa"/>
            <w:tcBorders>
              <w:top w:val="nil"/>
              <w:left w:val="nil"/>
              <w:bottom w:val="single" w:sz="4" w:space="0" w:color="auto"/>
              <w:right w:val="single" w:sz="4" w:space="0" w:color="auto"/>
            </w:tcBorders>
            <w:shd w:val="clear" w:color="auto" w:fill="auto"/>
            <w:noWrap/>
            <w:vAlign w:val="center"/>
            <w:hideMark/>
          </w:tcPr>
          <w:p w14:paraId="5451BD2A" w14:textId="3B588866"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0.125</w:t>
            </w:r>
          </w:p>
        </w:tc>
        <w:tc>
          <w:tcPr>
            <w:tcW w:w="1137" w:type="dxa"/>
            <w:tcBorders>
              <w:top w:val="nil"/>
              <w:left w:val="nil"/>
              <w:bottom w:val="single" w:sz="4" w:space="0" w:color="auto"/>
              <w:right w:val="single" w:sz="4" w:space="0" w:color="auto"/>
            </w:tcBorders>
            <w:shd w:val="clear" w:color="auto" w:fill="auto"/>
            <w:noWrap/>
            <w:vAlign w:val="center"/>
            <w:hideMark/>
          </w:tcPr>
          <w:p w14:paraId="5ED2E83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567" w:type="dxa"/>
            <w:tcBorders>
              <w:top w:val="nil"/>
              <w:left w:val="nil"/>
              <w:bottom w:val="single" w:sz="4" w:space="0" w:color="auto"/>
              <w:right w:val="single" w:sz="4" w:space="0" w:color="auto"/>
            </w:tcBorders>
            <w:shd w:val="clear" w:color="auto" w:fill="auto"/>
            <w:noWrap/>
            <w:vAlign w:val="center"/>
            <w:hideMark/>
          </w:tcPr>
          <w:p w14:paraId="5C24999E" w14:textId="42B9A2E8"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03262F59"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6AF320DA" w14:textId="66AB7B0A"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0C403BE5" w14:textId="5B9C29E3"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17466B94" w14:textId="10FFE1F4"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0399C6C4" w14:textId="438C041D"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1C65AE7E" w14:textId="2CB2FD98"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{"citationItems":[{"id":"ITEM-1","itemData":{"DOI":"10.1007/s10694-018-0782-3","ISSN":"1572-8099","abstract":"Dust layers are present in every industrial facility where solid materials are generated or processed. The emergence of new fuels with still unknown flammability properties generates an increase on the risks related with these facilities that needs to be further studied. Most of these biomasses are susceptible to exothermically react, acting as an ignition source and causing fires and explosions. One of the most common causes of explosions is the ignition of dust layers deposited on the equipment, which could be avoided by a better understanding of the materials. However, the ignitability of these layers depend on several parameters as the particle size and the density of the deposited materials. This paper reports experimental work on hot surface ignition temperatures of layers of different fuels, both biofuels, such as wood or sewage sludge, and fossil fuels, coal and coke. It shows that the common practices that are well-known for fossil fuels cannot be directly extrapolated to new fuels. Unlike fossil fuels, wood-based materials present the same ignition risk in dust and bulk size, so an increase on the particle size does not ensure a safer work space. Furthermore, compacting these materials can increase the ignition risk of these type of layers, contrary to the common practices for fossil fuels storages. These differences point out the need of a complete characterisation of each material to ensure a safe working facility.","author":[{"dropping-particle":"","family":"Fernandez-Anez","given":"Nieves","non-dropping-particle":"","parse-names":false,"suffix":""},{"dropping-particle":"","family":"Garcia-Torrent","given":"Javier","non-dropping-particle":"","parse-names":false,"suffix":""}],"container-title":"Fire Technology","id":"ITEM-1","issue":"1","issued":{"date-parts":[["2019"]]},"page":"175-191","title":"Influence of Particle Size and Density on the Hot Surface Ignition of Solid Fuel Layers","type":"article-journal","volume":"55"},"uris":["http://www.mendeley.com/documents/?uuid=f107a61e-81cb-4767-8f95-3d5cff660de0"]}],"mendeley":{"formattedCitation":"[28]","plainTextFormattedCitation":"[28]","previouslyFormattedCitation":"[28]"},"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[28]</w:t>
            </w:r>
            <w:r w:rsidRPr="00DB19C7">
              <w:rPr>
                <w:color w:val="auto"/>
                <w:sz w:val="18"/>
                <w:szCs w:val="18"/>
                <w:lang w:eastAsia="en-GB" w:bidi="ar-SA"/>
              </w:rPr>
              <w:fldChar w:fldCharType="end"/>
            </w:r>
          </w:p>
        </w:tc>
      </w:tr>
      <w:tr w:rsidR="00DB19C7" w:rsidRPr="00DB19C7" w14:paraId="614648D2" w14:textId="753868B5"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4AAA400A"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51</w:t>
            </w:r>
          </w:p>
        </w:tc>
        <w:tc>
          <w:tcPr>
            <w:tcW w:w="1746" w:type="dxa"/>
            <w:tcBorders>
              <w:top w:val="nil"/>
              <w:left w:val="nil"/>
              <w:bottom w:val="single" w:sz="4" w:space="0" w:color="auto"/>
              <w:right w:val="single" w:sz="4" w:space="0" w:color="auto"/>
            </w:tcBorders>
            <w:shd w:val="clear" w:color="auto" w:fill="auto"/>
            <w:noWrap/>
            <w:vAlign w:val="center"/>
            <w:hideMark/>
          </w:tcPr>
          <w:p w14:paraId="0067AE75"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Sewage sludge (Madrid)</w:t>
            </w:r>
          </w:p>
        </w:tc>
        <w:tc>
          <w:tcPr>
            <w:tcW w:w="767" w:type="dxa"/>
            <w:tcBorders>
              <w:top w:val="nil"/>
              <w:left w:val="nil"/>
              <w:bottom w:val="single" w:sz="4" w:space="0" w:color="auto"/>
              <w:right w:val="single" w:sz="4" w:space="0" w:color="auto"/>
            </w:tcBorders>
            <w:shd w:val="clear" w:color="auto" w:fill="auto"/>
            <w:noWrap/>
            <w:vAlign w:val="center"/>
            <w:hideMark/>
          </w:tcPr>
          <w:p w14:paraId="249C646B" w14:textId="6D86A865" w:rsidR="002B4066" w:rsidRPr="00DB19C7" w:rsidRDefault="002B4066" w:rsidP="002B4066">
            <w:pPr>
              <w:adjustRightInd/>
              <w:snapToGrid/>
              <w:spacing w:line="240" w:lineRule="auto"/>
              <w:jc w:val="center"/>
              <w:rPr>
                <w:color w:val="auto"/>
                <w:sz w:val="18"/>
                <w:szCs w:val="18"/>
                <w:lang w:eastAsia="en-GB" w:bidi="ar-SA"/>
              </w:rPr>
            </w:pPr>
          </w:p>
        </w:tc>
        <w:tc>
          <w:tcPr>
            <w:tcW w:w="767" w:type="dxa"/>
            <w:tcBorders>
              <w:top w:val="nil"/>
              <w:left w:val="nil"/>
              <w:bottom w:val="single" w:sz="4" w:space="0" w:color="auto"/>
              <w:right w:val="single" w:sz="4" w:space="0" w:color="auto"/>
            </w:tcBorders>
            <w:shd w:val="clear" w:color="auto" w:fill="auto"/>
            <w:noWrap/>
            <w:vAlign w:val="center"/>
            <w:hideMark/>
          </w:tcPr>
          <w:p w14:paraId="1EC53344"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1500</w:t>
            </w:r>
          </w:p>
        </w:tc>
        <w:tc>
          <w:tcPr>
            <w:tcW w:w="1018" w:type="dxa"/>
            <w:tcBorders>
              <w:top w:val="nil"/>
              <w:left w:val="nil"/>
              <w:bottom w:val="single" w:sz="4" w:space="0" w:color="auto"/>
              <w:right w:val="single" w:sz="4" w:space="0" w:color="auto"/>
            </w:tcBorders>
            <w:shd w:val="clear" w:color="auto" w:fill="auto"/>
            <w:noWrap/>
            <w:vAlign w:val="center"/>
            <w:hideMark/>
          </w:tcPr>
          <w:p w14:paraId="0E4C8A21" w14:textId="61F71F0E" w:rsidR="002B4066" w:rsidRPr="00DB19C7" w:rsidRDefault="002B4066" w:rsidP="002B4066">
            <w:pPr>
              <w:adjustRightInd/>
              <w:snapToGrid/>
              <w:spacing w:line="240" w:lineRule="auto"/>
              <w:jc w:val="center"/>
              <w:rPr>
                <w:color w:val="auto"/>
                <w:sz w:val="18"/>
                <w:szCs w:val="18"/>
                <w:lang w:eastAsia="en-GB" w:bidi="ar-SA"/>
              </w:rPr>
            </w:pPr>
          </w:p>
        </w:tc>
        <w:tc>
          <w:tcPr>
            <w:tcW w:w="1096" w:type="dxa"/>
            <w:tcBorders>
              <w:top w:val="nil"/>
              <w:left w:val="nil"/>
              <w:bottom w:val="single" w:sz="4" w:space="0" w:color="auto"/>
              <w:right w:val="single" w:sz="4" w:space="0" w:color="auto"/>
            </w:tcBorders>
            <w:shd w:val="clear" w:color="auto" w:fill="auto"/>
            <w:noWrap/>
            <w:vAlign w:val="center"/>
            <w:hideMark/>
          </w:tcPr>
          <w:p w14:paraId="295BBFF9" w14:textId="6C0BEE49"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3FE07ED6" w14:textId="606F395F"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226EA73E" w14:textId="25F8D0D3"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0A12C4A7" w14:textId="556FE3ED"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0D0EE6F4"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567" w:type="dxa"/>
            <w:tcBorders>
              <w:top w:val="nil"/>
              <w:left w:val="nil"/>
              <w:bottom w:val="single" w:sz="4" w:space="0" w:color="auto"/>
              <w:right w:val="single" w:sz="4" w:space="0" w:color="auto"/>
            </w:tcBorders>
            <w:shd w:val="clear" w:color="auto" w:fill="auto"/>
            <w:noWrap/>
            <w:vAlign w:val="center"/>
            <w:hideMark/>
          </w:tcPr>
          <w:p w14:paraId="0FBEDF88" w14:textId="4087DA8E"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2892236C"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Sieves</w:t>
            </w:r>
          </w:p>
        </w:tc>
        <w:tc>
          <w:tcPr>
            <w:tcW w:w="737" w:type="dxa"/>
            <w:tcBorders>
              <w:top w:val="nil"/>
              <w:left w:val="nil"/>
              <w:bottom w:val="single" w:sz="4" w:space="0" w:color="auto"/>
              <w:right w:val="single" w:sz="4" w:space="0" w:color="auto"/>
            </w:tcBorders>
            <w:shd w:val="clear" w:color="auto" w:fill="auto"/>
            <w:noWrap/>
            <w:vAlign w:val="center"/>
            <w:hideMark/>
          </w:tcPr>
          <w:p w14:paraId="0965B6DC" w14:textId="36D86329"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1E24DA7C" w14:textId="2660F31D"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06DE823E" w14:textId="705B637E"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21374B08" w14:textId="7D04CF4E"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3E6B38C1" w14:textId="69B7851C"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{"citationItems":[{"id":"ITEM-1","itemData":{"DOI":"10.1007/s10694-018-0782-3","ISSN":"1572-8099","abstract":"Dust layers are present in every industrial facility where solid materials are generated or processed. The emergence of new fuels with still unknown flammability properties generates an increase on the risks related with these facilities that needs to be further studied. Most of these biomasses are susceptible to exothermically react, acting as an ignition source and causing fires and explosions. One of the most common causes of explosions is the ignition of dust layers deposited on the equipment, which could be avoided by a better understanding of the materials. However, the ignitability of these layers depend on several parameters as the particle size and the density of the deposited materials. This paper reports experimental work on hot surface ignition temperatures of layers of different fuels, both biofuels, such as wood or sewage sludge, and fossil fuels, coal and coke. It shows that the common practices that are well-known for fossil fuels cannot be directly extrapolated to new fuels. Unlike fossil fuels, wood-based materials present the same ignition risk in dust and bulk size, so an increase on the particle size does not ensure a safer work space. Furthermore, compacting these materials can increase the ignition risk of these type of layers, contrary to the common practices for fossil fuels storages. These differences point out the need of a complete characterisation of each material to ensure a safe working facility.","author":[{"dropping-particle":"","family":"Fernandez-Anez","given":"Nieves","non-dropping-particle":"","parse-names":false,"suffix":""},{"dropping-particle":"","family":"Garcia-Torrent","given":"Javier","non-dropping-particle":"","parse-names":false,"suffix":""}],"container-title":"Fire Technology","id":"ITEM-1","issue":"1","issued":{"date-parts":[["2019"]]},"page":"175-191","title":"Influence of Particle Size and Density on the Hot Surface Ignition of Solid Fuel Layers","type":"article-journal","volume":"55"},"uris":["http://www.mendeley.com/documents/?uuid=f107a61e-81cb-4767-8f95-3d5cff660de0"]}],"mendeley":{"formattedCitation":"[28]","plainTextFormattedCitation":"[28]","previouslyFormattedCitation":"[28]"},"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[28]</w:t>
            </w:r>
            <w:r w:rsidRPr="00DB19C7">
              <w:rPr>
                <w:color w:val="auto"/>
                <w:sz w:val="18"/>
                <w:szCs w:val="18"/>
                <w:lang w:eastAsia="en-GB" w:bidi="ar-SA"/>
              </w:rPr>
              <w:fldChar w:fldCharType="end"/>
            </w:r>
          </w:p>
        </w:tc>
      </w:tr>
      <w:tr w:rsidR="00DB19C7" w:rsidRPr="00DB19C7" w14:paraId="703B53CE" w14:textId="30C7327A"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6064951A"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52</w:t>
            </w:r>
          </w:p>
        </w:tc>
        <w:tc>
          <w:tcPr>
            <w:tcW w:w="1746" w:type="dxa"/>
            <w:tcBorders>
              <w:top w:val="nil"/>
              <w:left w:val="nil"/>
              <w:bottom w:val="single" w:sz="4" w:space="0" w:color="auto"/>
              <w:right w:val="single" w:sz="4" w:space="0" w:color="auto"/>
            </w:tcBorders>
            <w:shd w:val="clear" w:color="auto" w:fill="auto"/>
            <w:noWrap/>
            <w:vAlign w:val="center"/>
            <w:hideMark/>
          </w:tcPr>
          <w:p w14:paraId="0DB8E71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Softwood pellets - white dust (British Columbia, Canada)</w:t>
            </w:r>
          </w:p>
        </w:tc>
        <w:tc>
          <w:tcPr>
            <w:tcW w:w="767" w:type="dxa"/>
            <w:tcBorders>
              <w:top w:val="nil"/>
              <w:left w:val="nil"/>
              <w:bottom w:val="single" w:sz="4" w:space="0" w:color="auto"/>
              <w:right w:val="single" w:sz="4" w:space="0" w:color="auto"/>
            </w:tcBorders>
            <w:shd w:val="clear" w:color="auto" w:fill="auto"/>
            <w:noWrap/>
            <w:vAlign w:val="center"/>
            <w:hideMark/>
          </w:tcPr>
          <w:p w14:paraId="0986B66D" w14:textId="3C91F153" w:rsidR="002B4066" w:rsidRPr="00DB19C7" w:rsidRDefault="002B4066" w:rsidP="002B4066">
            <w:pPr>
              <w:adjustRightInd/>
              <w:snapToGrid/>
              <w:spacing w:line="240" w:lineRule="auto"/>
              <w:jc w:val="center"/>
              <w:rPr>
                <w:color w:val="auto"/>
                <w:sz w:val="18"/>
                <w:szCs w:val="18"/>
                <w:lang w:eastAsia="en-GB" w:bidi="ar-SA"/>
              </w:rPr>
            </w:pPr>
          </w:p>
        </w:tc>
        <w:tc>
          <w:tcPr>
            <w:tcW w:w="767" w:type="dxa"/>
            <w:tcBorders>
              <w:top w:val="nil"/>
              <w:left w:val="nil"/>
              <w:bottom w:val="single" w:sz="4" w:space="0" w:color="auto"/>
              <w:right w:val="single" w:sz="4" w:space="0" w:color="auto"/>
            </w:tcBorders>
            <w:shd w:val="clear" w:color="auto" w:fill="auto"/>
            <w:noWrap/>
            <w:vAlign w:val="center"/>
            <w:hideMark/>
          </w:tcPr>
          <w:p w14:paraId="10112F3E" w14:textId="45E3DF15" w:rsidR="002B4066" w:rsidRPr="00DB19C7" w:rsidRDefault="002B4066" w:rsidP="002B4066">
            <w:pPr>
              <w:adjustRightInd/>
              <w:snapToGrid/>
              <w:spacing w:line="240" w:lineRule="auto"/>
              <w:jc w:val="center"/>
              <w:rPr>
                <w:color w:val="auto"/>
                <w:sz w:val="18"/>
                <w:szCs w:val="18"/>
                <w:lang w:eastAsia="en-GB" w:bidi="ar-SA"/>
              </w:rPr>
            </w:pPr>
          </w:p>
        </w:tc>
        <w:tc>
          <w:tcPr>
            <w:tcW w:w="1018" w:type="dxa"/>
            <w:tcBorders>
              <w:top w:val="nil"/>
              <w:left w:val="nil"/>
              <w:bottom w:val="single" w:sz="4" w:space="0" w:color="auto"/>
              <w:right w:val="single" w:sz="4" w:space="0" w:color="auto"/>
            </w:tcBorders>
            <w:shd w:val="clear" w:color="auto" w:fill="auto"/>
            <w:noWrap/>
            <w:vAlign w:val="center"/>
            <w:hideMark/>
          </w:tcPr>
          <w:p w14:paraId="7E4E2779" w14:textId="51F211FA" w:rsidR="002B4066" w:rsidRPr="00DB19C7" w:rsidRDefault="002B4066" w:rsidP="002B4066">
            <w:pPr>
              <w:adjustRightInd/>
              <w:snapToGrid/>
              <w:spacing w:line="240" w:lineRule="auto"/>
              <w:jc w:val="center"/>
              <w:rPr>
                <w:color w:val="auto"/>
                <w:sz w:val="18"/>
                <w:szCs w:val="18"/>
                <w:lang w:eastAsia="en-GB" w:bidi="ar-SA"/>
              </w:rPr>
            </w:pPr>
          </w:p>
        </w:tc>
        <w:tc>
          <w:tcPr>
            <w:tcW w:w="1096" w:type="dxa"/>
            <w:tcBorders>
              <w:top w:val="nil"/>
              <w:left w:val="nil"/>
              <w:bottom w:val="single" w:sz="4" w:space="0" w:color="auto"/>
              <w:right w:val="single" w:sz="4" w:space="0" w:color="auto"/>
            </w:tcBorders>
            <w:shd w:val="clear" w:color="auto" w:fill="auto"/>
            <w:noWrap/>
            <w:hideMark/>
          </w:tcPr>
          <w:p w14:paraId="174D57E0" w14:textId="039F4EBA"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w:t>
            </w:r>
          </w:p>
        </w:tc>
        <w:tc>
          <w:tcPr>
            <w:tcW w:w="767" w:type="dxa"/>
            <w:tcBorders>
              <w:top w:val="nil"/>
              <w:left w:val="nil"/>
              <w:bottom w:val="single" w:sz="4" w:space="0" w:color="auto"/>
              <w:right w:val="single" w:sz="4" w:space="0" w:color="auto"/>
            </w:tcBorders>
            <w:shd w:val="clear" w:color="auto" w:fill="auto"/>
            <w:noWrap/>
            <w:vAlign w:val="center"/>
            <w:hideMark/>
          </w:tcPr>
          <w:p w14:paraId="0D30FD3A" w14:textId="4EA88C7F"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2B6F4D2C" w14:textId="3322B476"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67F0662D" w14:textId="5571E1EA"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0C8CBA59"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567" w:type="dxa"/>
            <w:tcBorders>
              <w:top w:val="nil"/>
              <w:left w:val="nil"/>
              <w:bottom w:val="single" w:sz="4" w:space="0" w:color="auto"/>
              <w:right w:val="single" w:sz="4" w:space="0" w:color="auto"/>
            </w:tcBorders>
            <w:shd w:val="clear" w:color="auto" w:fill="auto"/>
            <w:noWrap/>
            <w:vAlign w:val="center"/>
            <w:hideMark/>
          </w:tcPr>
          <w:p w14:paraId="0DD58E53" w14:textId="0CF4C00D"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54C1BD26"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Sieves</w:t>
            </w:r>
          </w:p>
        </w:tc>
        <w:tc>
          <w:tcPr>
            <w:tcW w:w="737" w:type="dxa"/>
            <w:tcBorders>
              <w:top w:val="nil"/>
              <w:left w:val="nil"/>
              <w:bottom w:val="single" w:sz="4" w:space="0" w:color="auto"/>
              <w:right w:val="single" w:sz="4" w:space="0" w:color="auto"/>
            </w:tcBorders>
            <w:shd w:val="clear" w:color="auto" w:fill="auto"/>
            <w:noWrap/>
            <w:vAlign w:val="center"/>
            <w:hideMark/>
          </w:tcPr>
          <w:p w14:paraId="27824115" w14:textId="247877BC"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4B079A25" w14:textId="3C9625F0"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7DB15D45" w14:textId="673A3C54"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18542C7C" w14:textId="4029620B"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347D89A9" w14:textId="407A7BA8"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{"citationItems":[{"id":"ITEM-1","itemData":{"author":[{"dropping-particle":"","family":"Melin","given":"Staffan","non-dropping-particle":"","parse-names":false,"suffix":""}],"container-title":"Wood Pellet Association of Canada","id":"ITEM-1","issued":{"date-parts":[["2008"]]},"page":"1-19","title":"Testing of Explosibility and Flammability of Airborne Dust from Wood Pellets","type":"article-journal"},"uris":["http://www.mendeley.com/documents/?uuid=f8a065d7-e91a-41fa-b9ce-5a0bf751276a"]}],"mendeley":{"formattedCitation":"[147]","plainTextFormattedCitation":"[147]","previouslyFormattedCitation":"[147]"},"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[147]</w:t>
            </w:r>
            <w:r w:rsidRPr="00DB19C7">
              <w:rPr>
                <w:color w:val="auto"/>
                <w:sz w:val="18"/>
                <w:szCs w:val="18"/>
                <w:lang w:eastAsia="en-GB" w:bidi="ar-SA"/>
              </w:rPr>
              <w:fldChar w:fldCharType="end"/>
            </w:r>
          </w:p>
        </w:tc>
      </w:tr>
      <w:tr w:rsidR="00DB19C7" w:rsidRPr="00DB19C7" w14:paraId="017BBDDC" w14:textId="3DA7BF1D"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2F0AFFF8"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53</w:t>
            </w:r>
          </w:p>
        </w:tc>
        <w:tc>
          <w:tcPr>
            <w:tcW w:w="1746" w:type="dxa"/>
            <w:tcBorders>
              <w:top w:val="nil"/>
              <w:left w:val="nil"/>
              <w:bottom w:val="single" w:sz="4" w:space="0" w:color="auto"/>
              <w:right w:val="single" w:sz="4" w:space="0" w:color="auto"/>
            </w:tcBorders>
            <w:shd w:val="clear" w:color="auto" w:fill="auto"/>
            <w:noWrap/>
            <w:vAlign w:val="center"/>
            <w:hideMark/>
          </w:tcPr>
          <w:p w14:paraId="540AA9EE"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Sorghum</w:t>
            </w:r>
          </w:p>
        </w:tc>
        <w:tc>
          <w:tcPr>
            <w:tcW w:w="767" w:type="dxa"/>
            <w:tcBorders>
              <w:top w:val="nil"/>
              <w:left w:val="nil"/>
              <w:bottom w:val="single" w:sz="4" w:space="0" w:color="auto"/>
              <w:right w:val="single" w:sz="4" w:space="0" w:color="auto"/>
            </w:tcBorders>
            <w:shd w:val="clear" w:color="auto" w:fill="auto"/>
            <w:noWrap/>
            <w:vAlign w:val="center"/>
            <w:hideMark/>
          </w:tcPr>
          <w:p w14:paraId="3825EB53" w14:textId="0EA31FAF" w:rsidR="002B4066" w:rsidRPr="00DB19C7" w:rsidRDefault="002B4066" w:rsidP="002B4066">
            <w:pPr>
              <w:adjustRightInd/>
              <w:snapToGrid/>
              <w:spacing w:line="240" w:lineRule="auto"/>
              <w:jc w:val="center"/>
              <w:rPr>
                <w:color w:val="auto"/>
                <w:sz w:val="18"/>
                <w:szCs w:val="18"/>
                <w:lang w:eastAsia="en-GB" w:bidi="ar-SA"/>
              </w:rPr>
            </w:pPr>
          </w:p>
        </w:tc>
        <w:tc>
          <w:tcPr>
            <w:tcW w:w="767" w:type="dxa"/>
            <w:tcBorders>
              <w:top w:val="nil"/>
              <w:left w:val="nil"/>
              <w:bottom w:val="single" w:sz="4" w:space="0" w:color="auto"/>
              <w:right w:val="single" w:sz="4" w:space="0" w:color="auto"/>
            </w:tcBorders>
            <w:shd w:val="clear" w:color="auto" w:fill="auto"/>
            <w:noWrap/>
            <w:vAlign w:val="center"/>
            <w:hideMark/>
          </w:tcPr>
          <w:p w14:paraId="21C19D28"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120</w:t>
            </w:r>
          </w:p>
        </w:tc>
        <w:tc>
          <w:tcPr>
            <w:tcW w:w="1018" w:type="dxa"/>
            <w:tcBorders>
              <w:top w:val="nil"/>
              <w:left w:val="nil"/>
              <w:bottom w:val="single" w:sz="4" w:space="0" w:color="auto"/>
              <w:right w:val="single" w:sz="4" w:space="0" w:color="auto"/>
            </w:tcBorders>
            <w:shd w:val="clear" w:color="auto" w:fill="auto"/>
            <w:noWrap/>
            <w:vAlign w:val="center"/>
            <w:hideMark/>
          </w:tcPr>
          <w:p w14:paraId="1BB6BE62" w14:textId="23032E54" w:rsidR="002B4066" w:rsidRPr="00DB19C7" w:rsidRDefault="002B4066" w:rsidP="002B4066">
            <w:pPr>
              <w:adjustRightInd/>
              <w:snapToGrid/>
              <w:spacing w:line="240" w:lineRule="auto"/>
              <w:jc w:val="center"/>
              <w:rPr>
                <w:color w:val="auto"/>
                <w:sz w:val="18"/>
                <w:szCs w:val="18"/>
                <w:lang w:eastAsia="en-GB" w:bidi="ar-SA"/>
              </w:rPr>
            </w:pPr>
          </w:p>
        </w:tc>
        <w:tc>
          <w:tcPr>
            <w:tcW w:w="1096" w:type="dxa"/>
            <w:tcBorders>
              <w:top w:val="nil"/>
              <w:left w:val="nil"/>
              <w:bottom w:val="single" w:sz="4" w:space="0" w:color="auto"/>
              <w:right w:val="single" w:sz="4" w:space="0" w:color="auto"/>
            </w:tcBorders>
            <w:shd w:val="clear" w:color="auto" w:fill="auto"/>
            <w:noWrap/>
            <w:hideMark/>
          </w:tcPr>
          <w:p w14:paraId="4CB26794" w14:textId="276A6A76"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w:t>
            </w:r>
          </w:p>
        </w:tc>
        <w:tc>
          <w:tcPr>
            <w:tcW w:w="767" w:type="dxa"/>
            <w:tcBorders>
              <w:top w:val="nil"/>
              <w:left w:val="nil"/>
              <w:bottom w:val="single" w:sz="4" w:space="0" w:color="auto"/>
              <w:right w:val="single" w:sz="4" w:space="0" w:color="auto"/>
            </w:tcBorders>
            <w:shd w:val="clear" w:color="auto" w:fill="auto"/>
            <w:noWrap/>
            <w:vAlign w:val="center"/>
            <w:hideMark/>
          </w:tcPr>
          <w:p w14:paraId="733C7885" w14:textId="4C15175E"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71E88BC3" w14:textId="602E5C98"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0146A504" w14:textId="6DA31F30"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0E353098"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 - SEM</w:t>
            </w:r>
          </w:p>
        </w:tc>
        <w:tc>
          <w:tcPr>
            <w:tcW w:w="567" w:type="dxa"/>
            <w:tcBorders>
              <w:top w:val="nil"/>
              <w:left w:val="nil"/>
              <w:bottom w:val="single" w:sz="4" w:space="0" w:color="auto"/>
              <w:right w:val="single" w:sz="4" w:space="0" w:color="auto"/>
            </w:tcBorders>
            <w:shd w:val="clear" w:color="auto" w:fill="auto"/>
            <w:noWrap/>
            <w:vAlign w:val="center"/>
            <w:hideMark/>
          </w:tcPr>
          <w:p w14:paraId="2995FC28" w14:textId="25F06AD3"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79F74DB4"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1F6CD94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6.55</w:t>
            </w:r>
          </w:p>
        </w:tc>
        <w:tc>
          <w:tcPr>
            <w:tcW w:w="737" w:type="dxa"/>
            <w:tcBorders>
              <w:top w:val="nil"/>
              <w:left w:val="nil"/>
              <w:bottom w:val="single" w:sz="4" w:space="0" w:color="auto"/>
              <w:right w:val="single" w:sz="4" w:space="0" w:color="auto"/>
            </w:tcBorders>
            <w:shd w:val="clear" w:color="auto" w:fill="auto"/>
            <w:noWrap/>
            <w:vAlign w:val="center"/>
            <w:hideMark/>
          </w:tcPr>
          <w:p w14:paraId="2DD95E94"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70.4</w:t>
            </w:r>
          </w:p>
        </w:tc>
        <w:tc>
          <w:tcPr>
            <w:tcW w:w="737" w:type="dxa"/>
            <w:tcBorders>
              <w:top w:val="nil"/>
              <w:left w:val="nil"/>
              <w:bottom w:val="single" w:sz="4" w:space="0" w:color="auto"/>
              <w:right w:val="single" w:sz="4" w:space="0" w:color="auto"/>
            </w:tcBorders>
            <w:shd w:val="clear" w:color="auto" w:fill="auto"/>
            <w:noWrap/>
            <w:vAlign w:val="center"/>
            <w:hideMark/>
          </w:tcPr>
          <w:p w14:paraId="070E140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5.25</w:t>
            </w:r>
          </w:p>
        </w:tc>
        <w:tc>
          <w:tcPr>
            <w:tcW w:w="737" w:type="dxa"/>
            <w:tcBorders>
              <w:top w:val="nil"/>
              <w:left w:val="nil"/>
              <w:bottom w:val="single" w:sz="4" w:space="0" w:color="auto"/>
              <w:right w:val="single" w:sz="4" w:space="0" w:color="auto"/>
            </w:tcBorders>
            <w:shd w:val="clear" w:color="auto" w:fill="auto"/>
            <w:noWrap/>
            <w:vAlign w:val="center"/>
            <w:hideMark/>
          </w:tcPr>
          <w:p w14:paraId="42243115" w14:textId="133EFA32"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12CE4359" w14:textId="35E6B8DE"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{"citationItems":[{"id":"ITEM-1","itemData":{"ISSN":"12350621","abstract":"The overall objective of this research project was to create new data on the safety-technical characteristics of renewable fuels, low-rank coals and mixtures of these. Knowledge of basic handling and safety-technical chracteristics is of crucial significance for the design of handling equipment and safety systems, and for the assessment of explosion and fire hazards. Ten biomass and lignite fuel samples and two fuel mixtures were included in the work programme. Extensive physical and chemical characterisation was performed for all samples. The reactivity of the combustible dusts was characterised by thermal analysis (DTA-TGA). Based on the thermal runaway temperatures of the dusts the samples are listed by order of reactivity. Self-ignition properties of the fuels were studied at normal and elevated pressure (1-25 bar). The results of the self-ignition tests for the fuel samples are mainly in line with the reactivity tests carried out on DTA-TGA. The elevated pressure had a significant effect on the self-ignition temperature of all fuel samples. Partial inerting increased the self-ignition temperature, but to a rather low degree. Dust explosion tests were performed in 1 m3 vessels and 20 litre spheres. Dust explosion parameters were determined both in normal conditions and at elevated temperature and pressure. A linear correlation was found between the maximum explosion pressure Pmax and the initial pressure. The values measured for the rate of pressure rise, the KSt-value, were considerably more scattered. Most differences can probably be associated with diverse turbulence conditions inside the explosion vessel. In most cases, the lower oxygen concentration LOC slightly increased with increasing initial pressure. LOC decreases with increasing initial temperature, around 1-3 vol% per 100 °C temperature rise. Suppression systems are frequently used in industry as a measure of explosion protection. The suppression tests were conducted in a heatable the 1 m3 vessel. Increasing the temperature makes the suppression of the dust explosion more demanding. Use of partly inert atmosphere led to an increased efficiency of the explosion suppression system.","author":[{"dropping-particle":"","family":"Wilén","given":"Carl","non-dropping-particle":"","parse-names":false,"suffix":""},{"dropping-particle":"","family":"Moilanen","given":"Antero","non-dropping-particle":"","parse-names":false,"suffix":""},{"dropping-particle":"","family":"Rautalin","given":"Aimo","non-dropping-particle":"","parse-names":false,"suffix":""},{"dropping-particle":"","family":"Torrent","given":"Javier","non-dropping-particle":"","parse-names":false,"suffix":""},{"dropping-particle":"","family":"Conde","given":"Eduardo","non-dropping-particle":"","parse-names":false,"suffix":""},{"dropping-particle":"","family":"Lödel","given":"Roland","non-dropping-particle":"","parse-names":false,"suffix":""},{"dropping-particle":"","family":"Carson","given":"Douglas","non-dropping-particle":"","parse-names":false,"suffix":""},{"dropping-particle":"","family":"Timmers","given":"Piet","non-dropping-particle":"","parse-names":false,"suffix":""},{"dropping-particle":"","family":"Brehm","given":"Konrad","non-dropping-particle":"","parse-names":false,"suffix":""}],"container-title":"VTT Publications","id":"ITEM-1","issue":"394","issued":{"date-parts":[["1999"]]},"title":"Safe handling of renewable fuels and fuel mixtures","type":"article-journal"},"uris":["http://www.mendeley.com/documents/?uuid=cc30f0b2-ca37-46f2-b198-10337f3ca782"]}],"mendeley":{"formattedCitation":"[17]","plainTextFormattedCitation":"[17]","previouslyFormattedCitation":"[17]"},"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[17]</w:t>
            </w:r>
            <w:r w:rsidRPr="00DB19C7">
              <w:rPr>
                <w:color w:val="auto"/>
                <w:sz w:val="18"/>
                <w:szCs w:val="18"/>
                <w:lang w:eastAsia="en-GB" w:bidi="ar-SA"/>
              </w:rPr>
              <w:fldChar w:fldCharType="end"/>
            </w:r>
          </w:p>
        </w:tc>
      </w:tr>
      <w:tr w:rsidR="00DB19C7" w:rsidRPr="00DB19C7" w14:paraId="0EBE48AE" w14:textId="3C175CBC"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032F627D"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54</w:t>
            </w:r>
          </w:p>
        </w:tc>
        <w:tc>
          <w:tcPr>
            <w:tcW w:w="1746" w:type="dxa"/>
            <w:tcBorders>
              <w:top w:val="nil"/>
              <w:left w:val="nil"/>
              <w:bottom w:val="single" w:sz="4" w:space="0" w:color="auto"/>
              <w:right w:val="single" w:sz="4" w:space="0" w:color="auto"/>
            </w:tcBorders>
            <w:shd w:val="clear" w:color="auto" w:fill="auto"/>
            <w:noWrap/>
            <w:vAlign w:val="center"/>
            <w:hideMark/>
          </w:tcPr>
          <w:p w14:paraId="4BE2066A" w14:textId="721105F6"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Southern pine</w:t>
            </w:r>
          </w:p>
        </w:tc>
        <w:tc>
          <w:tcPr>
            <w:tcW w:w="767" w:type="dxa"/>
            <w:tcBorders>
              <w:top w:val="nil"/>
              <w:left w:val="nil"/>
              <w:bottom w:val="single" w:sz="4" w:space="0" w:color="auto"/>
              <w:right w:val="single" w:sz="4" w:space="0" w:color="auto"/>
            </w:tcBorders>
            <w:shd w:val="clear" w:color="auto" w:fill="auto"/>
            <w:noWrap/>
            <w:vAlign w:val="center"/>
            <w:hideMark/>
          </w:tcPr>
          <w:p w14:paraId="391CEDE8"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25.4</w:t>
            </w:r>
          </w:p>
        </w:tc>
        <w:tc>
          <w:tcPr>
            <w:tcW w:w="767" w:type="dxa"/>
            <w:tcBorders>
              <w:top w:val="nil"/>
              <w:left w:val="nil"/>
              <w:bottom w:val="single" w:sz="4" w:space="0" w:color="auto"/>
              <w:right w:val="single" w:sz="4" w:space="0" w:color="auto"/>
            </w:tcBorders>
            <w:shd w:val="clear" w:color="auto" w:fill="auto"/>
            <w:noWrap/>
            <w:vAlign w:val="center"/>
            <w:hideMark/>
          </w:tcPr>
          <w:p w14:paraId="25DF9CE6"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189.8</w:t>
            </w:r>
          </w:p>
        </w:tc>
        <w:tc>
          <w:tcPr>
            <w:tcW w:w="1018" w:type="dxa"/>
            <w:tcBorders>
              <w:top w:val="nil"/>
              <w:left w:val="nil"/>
              <w:bottom w:val="single" w:sz="4" w:space="0" w:color="auto"/>
              <w:right w:val="single" w:sz="4" w:space="0" w:color="auto"/>
            </w:tcBorders>
            <w:shd w:val="clear" w:color="auto" w:fill="auto"/>
            <w:noWrap/>
            <w:vAlign w:val="center"/>
            <w:hideMark/>
          </w:tcPr>
          <w:p w14:paraId="0E92DF33"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739.4</w:t>
            </w:r>
          </w:p>
        </w:tc>
        <w:tc>
          <w:tcPr>
            <w:tcW w:w="1096" w:type="dxa"/>
            <w:tcBorders>
              <w:top w:val="nil"/>
              <w:left w:val="nil"/>
              <w:bottom w:val="single" w:sz="4" w:space="0" w:color="auto"/>
              <w:right w:val="single" w:sz="4" w:space="0" w:color="auto"/>
            </w:tcBorders>
            <w:shd w:val="clear" w:color="auto" w:fill="auto"/>
            <w:noWrap/>
            <w:hideMark/>
          </w:tcPr>
          <w:p w14:paraId="3389717C" w14:textId="13D1AF5D"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w:t>
            </w:r>
          </w:p>
        </w:tc>
        <w:tc>
          <w:tcPr>
            <w:tcW w:w="767" w:type="dxa"/>
            <w:tcBorders>
              <w:top w:val="nil"/>
              <w:left w:val="nil"/>
              <w:bottom w:val="single" w:sz="4" w:space="0" w:color="auto"/>
              <w:right w:val="single" w:sz="4" w:space="0" w:color="auto"/>
            </w:tcBorders>
            <w:shd w:val="clear" w:color="auto" w:fill="auto"/>
            <w:noWrap/>
            <w:vAlign w:val="center"/>
            <w:hideMark/>
          </w:tcPr>
          <w:p w14:paraId="3AD3603D"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294</w:t>
            </w:r>
          </w:p>
        </w:tc>
        <w:tc>
          <w:tcPr>
            <w:tcW w:w="765" w:type="dxa"/>
            <w:tcBorders>
              <w:top w:val="nil"/>
              <w:left w:val="nil"/>
              <w:bottom w:val="single" w:sz="4" w:space="0" w:color="auto"/>
              <w:right w:val="single" w:sz="4" w:space="0" w:color="auto"/>
            </w:tcBorders>
            <w:shd w:val="clear" w:color="auto" w:fill="auto"/>
            <w:noWrap/>
            <w:vAlign w:val="center"/>
            <w:hideMark/>
          </w:tcPr>
          <w:p w14:paraId="5A1FD4D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72</w:t>
            </w:r>
          </w:p>
        </w:tc>
        <w:tc>
          <w:tcPr>
            <w:tcW w:w="1199" w:type="dxa"/>
            <w:tcBorders>
              <w:top w:val="nil"/>
              <w:left w:val="nil"/>
              <w:bottom w:val="single" w:sz="4" w:space="0" w:color="auto"/>
              <w:right w:val="single" w:sz="4" w:space="0" w:color="auto"/>
            </w:tcBorders>
            <w:shd w:val="clear" w:color="auto" w:fill="auto"/>
            <w:noWrap/>
            <w:vAlign w:val="center"/>
            <w:hideMark/>
          </w:tcPr>
          <w:p w14:paraId="1235C774" w14:textId="549050ED"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1.7</w:t>
            </w:r>
          </w:p>
        </w:tc>
        <w:tc>
          <w:tcPr>
            <w:tcW w:w="1137" w:type="dxa"/>
            <w:tcBorders>
              <w:top w:val="nil"/>
              <w:left w:val="nil"/>
              <w:bottom w:val="single" w:sz="4" w:space="0" w:color="auto"/>
              <w:right w:val="single" w:sz="4" w:space="0" w:color="auto"/>
            </w:tcBorders>
            <w:shd w:val="clear" w:color="auto" w:fill="auto"/>
            <w:noWrap/>
            <w:vAlign w:val="center"/>
            <w:hideMark/>
          </w:tcPr>
          <w:p w14:paraId="34316437"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567" w:type="dxa"/>
            <w:tcBorders>
              <w:top w:val="nil"/>
              <w:left w:val="nil"/>
              <w:bottom w:val="single" w:sz="4" w:space="0" w:color="auto"/>
              <w:right w:val="single" w:sz="4" w:space="0" w:color="auto"/>
            </w:tcBorders>
            <w:shd w:val="clear" w:color="auto" w:fill="auto"/>
            <w:noWrap/>
            <w:vAlign w:val="center"/>
            <w:hideMark/>
          </w:tcPr>
          <w:p w14:paraId="65DE58DC" w14:textId="121E983E"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1E03E9A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1728986C"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5</w:t>
            </w:r>
          </w:p>
        </w:tc>
        <w:tc>
          <w:tcPr>
            <w:tcW w:w="737" w:type="dxa"/>
            <w:tcBorders>
              <w:top w:val="nil"/>
              <w:left w:val="nil"/>
              <w:bottom w:val="single" w:sz="4" w:space="0" w:color="auto"/>
              <w:right w:val="single" w:sz="4" w:space="0" w:color="auto"/>
            </w:tcBorders>
            <w:shd w:val="clear" w:color="auto" w:fill="auto"/>
            <w:noWrap/>
            <w:vAlign w:val="center"/>
            <w:hideMark/>
          </w:tcPr>
          <w:p w14:paraId="0B6C2368"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78.5</w:t>
            </w:r>
          </w:p>
        </w:tc>
        <w:tc>
          <w:tcPr>
            <w:tcW w:w="737" w:type="dxa"/>
            <w:tcBorders>
              <w:top w:val="nil"/>
              <w:left w:val="nil"/>
              <w:bottom w:val="single" w:sz="4" w:space="0" w:color="auto"/>
              <w:right w:val="single" w:sz="4" w:space="0" w:color="auto"/>
            </w:tcBorders>
            <w:shd w:val="clear" w:color="auto" w:fill="auto"/>
            <w:noWrap/>
            <w:vAlign w:val="center"/>
            <w:hideMark/>
          </w:tcPr>
          <w:p w14:paraId="4E96FAC9"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2.5</w:t>
            </w:r>
          </w:p>
        </w:tc>
        <w:tc>
          <w:tcPr>
            <w:tcW w:w="737" w:type="dxa"/>
            <w:tcBorders>
              <w:top w:val="nil"/>
              <w:left w:val="nil"/>
              <w:bottom w:val="single" w:sz="4" w:space="0" w:color="auto"/>
              <w:right w:val="single" w:sz="4" w:space="0" w:color="auto"/>
            </w:tcBorders>
            <w:shd w:val="clear" w:color="auto" w:fill="auto"/>
            <w:noWrap/>
            <w:vAlign w:val="center"/>
            <w:hideMark/>
          </w:tcPr>
          <w:p w14:paraId="111FDF18"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14</w:t>
            </w:r>
          </w:p>
        </w:tc>
        <w:tc>
          <w:tcPr>
            <w:tcW w:w="617" w:type="dxa"/>
            <w:tcBorders>
              <w:top w:val="single" w:sz="4" w:space="0" w:color="auto"/>
              <w:left w:val="nil"/>
              <w:bottom w:val="single" w:sz="4" w:space="0" w:color="auto"/>
              <w:right w:val="single" w:sz="4" w:space="0" w:color="auto"/>
            </w:tcBorders>
            <w:vAlign w:val="center"/>
          </w:tcPr>
          <w:p w14:paraId="59F711F7" w14:textId="6F4EF882"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{"citationItems":[{"id":"ITEM-1","itemData":{"DOI":"10.1016/J.FUEL.2015.01.009","ISSN":"0016-2361","abstract":"Pulverised coal has been known to pose explosion risks since the 19th century, with the advent of biomass use in coal fired power generation boilers the explosion risk may need revision. The objective of the present work was to compare the explosibility of two samples of bituminous coal used in UK power stations with two biomass fuels and to review available explosion data in the literature for pulverised coal and biomass. The 1 m3 ISO explosion vessel was used to determine the explosion characteristics: deflagration index (KSt), maximum explosion pressure (Pmax) and minimum explosible concentration (MEC). Flame speeds were also measured and these are relevant to understanding the mechanism of turbulent flame propagation in power station burners, which is related to the problem of flame flashback or blow-off. Despite the similarities in composition of both coals, the explosion reactivity of Colombian coal was much higher, with a KSt value of 129 bar m/s compared to 78 bar m/s for Kellingley coal. The main difference between the two fuels was the surface area of particles which was higher for Colombian coal. It was shown that the char burn out rate at 900 °C in air was higher for Colombian coal, due to the greater oxygen diffusion in the higher porosity of the char. Results for two biomass fuels are also presented with similar values for KSt and the literature review shows that both coal and biomass have very variable flame reactivities. There is no general trend that coal is less reactive than biomass, although this could be the case for specific coals and biomass.","author":[{"dropping-particle":"","family":"Huéscar Medina","given":"Clara","non-dropping-particle":"","parse-names":false,"suffix":""},{"dropping-particle":"","family":"Maccoitir","given":"Brian","non-dropping-particle":"","parse-names":false,"suffix":""},{"dropping-particle":"","family":"Sattar","given":"Hamed","non-dropping-particle":"","parse-names":false,"suffix":""},{"dropping-particle":"","family":"Slatter","given":"David J.F.","non-dropping-particle":"","parse-names":false,"suffix":""},{"dropping-particle":"","family":"Phylaktou","given":"Herodotos N.","non-dropping-particle":"","parse-names":false,"suffix":""},{"dropping-particle":"","family":"Andrews","given":"Gordon E.","non-dropping-particle":"","parse-names":false,"suffix":""},{"dropping-particle":"","family":"Gibbs","given":"Bernard M.","non-dropping-particle":"","parse-names":false,"suffix":""}],"container-title":"Fuel","id":"ITEM-1","issued":{"date-parts":[["2015","7","1"]]},"page":"91-101","publisher":"Elsevier","title":"Comparison of the explosion characteristics and flame speeds of pulverised coals and biomass in the ISO standard 1 m3 dust explosion equipment","type":"article-journal","volume":"151"},"uris":["http://www.mendeley.com/documents/?uuid=16e63468-cc45-4b29-81a4-483ec09b97cc"]}],"mendeley":{"formattedCitation":"[108]","plainTextFormattedCitation":"[108]","previouslyFormattedCitation":"[108]"},"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[108]</w:t>
            </w:r>
            <w:r w:rsidRPr="00DB19C7">
              <w:rPr>
                <w:color w:val="auto"/>
                <w:sz w:val="18"/>
                <w:szCs w:val="18"/>
                <w:lang w:eastAsia="en-GB" w:bidi="ar-SA"/>
              </w:rPr>
              <w:fldChar w:fldCharType="end"/>
            </w:r>
          </w:p>
        </w:tc>
      </w:tr>
      <w:tr w:rsidR="00DB19C7" w:rsidRPr="00DB19C7" w14:paraId="14E81858" w14:textId="1E77390A"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34F6EE17"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55</w:t>
            </w:r>
          </w:p>
        </w:tc>
        <w:tc>
          <w:tcPr>
            <w:tcW w:w="1746" w:type="dxa"/>
            <w:tcBorders>
              <w:top w:val="nil"/>
              <w:left w:val="nil"/>
              <w:bottom w:val="single" w:sz="4" w:space="0" w:color="auto"/>
              <w:right w:val="single" w:sz="4" w:space="0" w:color="auto"/>
            </w:tcBorders>
            <w:shd w:val="clear" w:color="auto" w:fill="auto"/>
            <w:noWrap/>
            <w:vAlign w:val="center"/>
            <w:hideMark/>
          </w:tcPr>
          <w:p w14:paraId="0018A8A6"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Southern pine (</w:t>
            </w:r>
            <w:proofErr w:type="spellStart"/>
            <w:r w:rsidRPr="00DB19C7">
              <w:rPr>
                <w:color w:val="auto"/>
                <w:sz w:val="18"/>
                <w:szCs w:val="18"/>
                <w:lang w:eastAsia="en-GB" w:bidi="ar-SA"/>
              </w:rPr>
              <w:t>Pinus</w:t>
            </w:r>
            <w:proofErr w:type="spellEnd"/>
            <w:r w:rsidRPr="00DB19C7">
              <w:rPr>
                <w:color w:val="auto"/>
                <w:sz w:val="18"/>
                <w:szCs w:val="18"/>
                <w:lang w:eastAsia="en-GB" w:bidi="ar-SA"/>
              </w:rPr>
              <w:t xml:space="preserve"> </w:t>
            </w:r>
            <w:proofErr w:type="spellStart"/>
            <w:r w:rsidRPr="00DB19C7">
              <w:rPr>
                <w:color w:val="auto"/>
                <w:sz w:val="18"/>
                <w:szCs w:val="18"/>
                <w:lang w:eastAsia="en-GB" w:bidi="ar-SA"/>
              </w:rPr>
              <w:t>palustris</w:t>
            </w:r>
            <w:proofErr w:type="spellEnd"/>
            <w:r w:rsidRPr="00DB19C7">
              <w:rPr>
                <w:color w:val="auto"/>
                <w:sz w:val="18"/>
                <w:szCs w:val="18"/>
                <w:lang w:eastAsia="en-GB" w:bidi="ar-SA"/>
              </w:rPr>
              <w:t>)</w:t>
            </w:r>
          </w:p>
        </w:tc>
        <w:tc>
          <w:tcPr>
            <w:tcW w:w="767" w:type="dxa"/>
            <w:tcBorders>
              <w:top w:val="nil"/>
              <w:left w:val="nil"/>
              <w:bottom w:val="single" w:sz="4" w:space="0" w:color="auto"/>
              <w:right w:val="single" w:sz="4" w:space="0" w:color="auto"/>
            </w:tcBorders>
            <w:shd w:val="clear" w:color="auto" w:fill="auto"/>
            <w:noWrap/>
            <w:vAlign w:val="center"/>
            <w:hideMark/>
          </w:tcPr>
          <w:p w14:paraId="4D0A95F0" w14:textId="3AC34F53" w:rsidR="002B4066" w:rsidRPr="00DB19C7" w:rsidRDefault="002B4066" w:rsidP="002B4066">
            <w:pPr>
              <w:adjustRightInd/>
              <w:snapToGrid/>
              <w:spacing w:line="240" w:lineRule="auto"/>
              <w:jc w:val="center"/>
              <w:rPr>
                <w:color w:val="auto"/>
                <w:sz w:val="18"/>
                <w:szCs w:val="18"/>
                <w:lang w:eastAsia="en-GB" w:bidi="ar-SA"/>
              </w:rPr>
            </w:pPr>
          </w:p>
        </w:tc>
        <w:tc>
          <w:tcPr>
            <w:tcW w:w="767" w:type="dxa"/>
            <w:tcBorders>
              <w:top w:val="nil"/>
              <w:left w:val="nil"/>
              <w:bottom w:val="single" w:sz="4" w:space="0" w:color="auto"/>
              <w:right w:val="single" w:sz="4" w:space="0" w:color="auto"/>
            </w:tcBorders>
            <w:shd w:val="clear" w:color="auto" w:fill="auto"/>
            <w:noWrap/>
            <w:vAlign w:val="center"/>
            <w:hideMark/>
          </w:tcPr>
          <w:p w14:paraId="2A26E36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53.2</w:t>
            </w:r>
          </w:p>
        </w:tc>
        <w:tc>
          <w:tcPr>
            <w:tcW w:w="1018" w:type="dxa"/>
            <w:tcBorders>
              <w:top w:val="nil"/>
              <w:left w:val="nil"/>
              <w:bottom w:val="single" w:sz="4" w:space="0" w:color="auto"/>
              <w:right w:val="single" w:sz="4" w:space="0" w:color="auto"/>
            </w:tcBorders>
            <w:shd w:val="clear" w:color="auto" w:fill="auto"/>
            <w:noWrap/>
            <w:vAlign w:val="center"/>
            <w:hideMark/>
          </w:tcPr>
          <w:p w14:paraId="30EF4F12" w14:textId="71C703F5" w:rsidR="002B4066" w:rsidRPr="00DB19C7" w:rsidRDefault="002B4066" w:rsidP="002B4066">
            <w:pPr>
              <w:adjustRightInd/>
              <w:snapToGrid/>
              <w:spacing w:line="240" w:lineRule="auto"/>
              <w:jc w:val="center"/>
              <w:rPr>
                <w:color w:val="auto"/>
                <w:sz w:val="18"/>
                <w:szCs w:val="18"/>
                <w:lang w:eastAsia="en-GB" w:bidi="ar-SA"/>
              </w:rPr>
            </w:pPr>
          </w:p>
        </w:tc>
        <w:tc>
          <w:tcPr>
            <w:tcW w:w="1096" w:type="dxa"/>
            <w:tcBorders>
              <w:top w:val="nil"/>
              <w:left w:val="nil"/>
              <w:bottom w:val="single" w:sz="4" w:space="0" w:color="auto"/>
              <w:right w:val="single" w:sz="4" w:space="0" w:color="auto"/>
            </w:tcBorders>
            <w:shd w:val="clear" w:color="auto" w:fill="auto"/>
            <w:noWrap/>
            <w:hideMark/>
          </w:tcPr>
          <w:p w14:paraId="67B93F27" w14:textId="57E52D56"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w:t>
            </w:r>
          </w:p>
        </w:tc>
        <w:tc>
          <w:tcPr>
            <w:tcW w:w="767" w:type="dxa"/>
            <w:tcBorders>
              <w:top w:val="nil"/>
              <w:left w:val="nil"/>
              <w:bottom w:val="single" w:sz="4" w:space="0" w:color="auto"/>
              <w:right w:val="single" w:sz="4" w:space="0" w:color="auto"/>
            </w:tcBorders>
            <w:shd w:val="clear" w:color="auto" w:fill="auto"/>
            <w:noWrap/>
            <w:vAlign w:val="center"/>
            <w:hideMark/>
          </w:tcPr>
          <w:p w14:paraId="48B89E4C" w14:textId="7AEFC1EA"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6D9DAF5C" w14:textId="5AEF2E35"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555D4FE3" w14:textId="49F5219A"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1.71</w:t>
            </w:r>
          </w:p>
        </w:tc>
        <w:tc>
          <w:tcPr>
            <w:tcW w:w="1137" w:type="dxa"/>
            <w:tcBorders>
              <w:top w:val="nil"/>
              <w:left w:val="nil"/>
              <w:bottom w:val="single" w:sz="4" w:space="0" w:color="auto"/>
              <w:right w:val="single" w:sz="4" w:space="0" w:color="auto"/>
            </w:tcBorders>
            <w:shd w:val="clear" w:color="auto" w:fill="auto"/>
            <w:noWrap/>
            <w:vAlign w:val="center"/>
            <w:hideMark/>
          </w:tcPr>
          <w:p w14:paraId="77CE8DD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 - SEM</w:t>
            </w:r>
          </w:p>
        </w:tc>
        <w:tc>
          <w:tcPr>
            <w:tcW w:w="567" w:type="dxa"/>
            <w:tcBorders>
              <w:top w:val="nil"/>
              <w:left w:val="nil"/>
              <w:bottom w:val="single" w:sz="4" w:space="0" w:color="auto"/>
              <w:right w:val="single" w:sz="4" w:space="0" w:color="auto"/>
            </w:tcBorders>
            <w:shd w:val="clear" w:color="auto" w:fill="auto"/>
            <w:noWrap/>
            <w:vAlign w:val="center"/>
            <w:hideMark/>
          </w:tcPr>
          <w:p w14:paraId="4A24F4F5" w14:textId="24CC9F5E"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06D63226"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w:t>
            </w:r>
          </w:p>
        </w:tc>
        <w:tc>
          <w:tcPr>
            <w:tcW w:w="737" w:type="dxa"/>
            <w:tcBorders>
              <w:top w:val="nil"/>
              <w:left w:val="nil"/>
              <w:bottom w:val="single" w:sz="4" w:space="0" w:color="auto"/>
              <w:right w:val="single" w:sz="4" w:space="0" w:color="auto"/>
            </w:tcBorders>
            <w:shd w:val="clear" w:color="auto" w:fill="auto"/>
            <w:noWrap/>
            <w:vAlign w:val="center"/>
            <w:hideMark/>
          </w:tcPr>
          <w:p w14:paraId="624E98C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5</w:t>
            </w:r>
          </w:p>
        </w:tc>
        <w:tc>
          <w:tcPr>
            <w:tcW w:w="737" w:type="dxa"/>
            <w:tcBorders>
              <w:top w:val="nil"/>
              <w:left w:val="nil"/>
              <w:bottom w:val="single" w:sz="4" w:space="0" w:color="auto"/>
              <w:right w:val="single" w:sz="4" w:space="0" w:color="auto"/>
            </w:tcBorders>
            <w:shd w:val="clear" w:color="auto" w:fill="auto"/>
            <w:noWrap/>
            <w:vAlign w:val="center"/>
            <w:hideMark/>
          </w:tcPr>
          <w:p w14:paraId="7C489E66"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78.5</w:t>
            </w:r>
          </w:p>
        </w:tc>
        <w:tc>
          <w:tcPr>
            <w:tcW w:w="737" w:type="dxa"/>
            <w:tcBorders>
              <w:top w:val="nil"/>
              <w:left w:val="nil"/>
              <w:bottom w:val="single" w:sz="4" w:space="0" w:color="auto"/>
              <w:right w:val="single" w:sz="4" w:space="0" w:color="auto"/>
            </w:tcBorders>
            <w:shd w:val="clear" w:color="auto" w:fill="auto"/>
            <w:noWrap/>
            <w:vAlign w:val="center"/>
            <w:hideMark/>
          </w:tcPr>
          <w:p w14:paraId="08F1BC86"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2.5</w:t>
            </w:r>
          </w:p>
        </w:tc>
        <w:tc>
          <w:tcPr>
            <w:tcW w:w="737" w:type="dxa"/>
            <w:tcBorders>
              <w:top w:val="nil"/>
              <w:left w:val="nil"/>
              <w:bottom w:val="single" w:sz="4" w:space="0" w:color="auto"/>
              <w:right w:val="single" w:sz="4" w:space="0" w:color="auto"/>
            </w:tcBorders>
            <w:shd w:val="clear" w:color="auto" w:fill="auto"/>
            <w:noWrap/>
            <w:vAlign w:val="center"/>
            <w:hideMark/>
          </w:tcPr>
          <w:p w14:paraId="3CDA11C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14</w:t>
            </w:r>
          </w:p>
        </w:tc>
        <w:tc>
          <w:tcPr>
            <w:tcW w:w="617" w:type="dxa"/>
            <w:tcBorders>
              <w:top w:val="single" w:sz="4" w:space="0" w:color="auto"/>
              <w:left w:val="nil"/>
              <w:bottom w:val="single" w:sz="4" w:space="0" w:color="auto"/>
              <w:right w:val="single" w:sz="4" w:space="0" w:color="auto"/>
            </w:tcBorders>
            <w:vAlign w:val="center"/>
          </w:tcPr>
          <w:p w14:paraId="1C28D549" w14:textId="43A08797"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{"citationItems":[{"id":"ITEM-1","itemData":{"DOI":"10.1016/j.biombioe.2013.03.008","ISSN":"0961-9534","abstract":"Biomass powders, in both raw and thermally treated (torrefied) form, are used in 100% biomass fired or in coal co-fired plants for power generation. They pose significant fire and explosion risks during storage, handling, processing and combustion, and therefore their explosibility characteristics need to be assessed for the design of safe systems and operations. Wood biomass powders are difficult to characterise for explosibility through standard methods because of their bulky and fibrous nature. This has resulted in the lack of reliable data on the explosibility of these materials. In this study we present a new methodology – with example measurements – for the determination of the minimum explosible concentrations (MECs) of raw and torrefied wood biomass powders, using a modified Hartmann tube. This equipment can also be used as a fast screening tool for the determination of other reactivity parameters, such as flame speeds and rates of pressure rise, through which the most reactive mixture can be identified for more detailed measurements in the larger ISO 1 m3 vessel. MEC measurements reported in this paper showed that both raw and torrefied pulverised wood biomass, were explosible at equivalence ratios as low as 0.2. This was one-third (1/3) the corresponding concentration for Kellingley coal (measured with the same method). Flame speeds 5–10 times higher than those of coal were measured for biomass. Flame speed differences will also have a direct effect on burner performance and flame stability for systems originally designed to burn coal and now firing biomass without modifications.","author":[{"dropping-particle":"","family":"Huéscar Medina","given":"C","non-dropping-particle":"","parse-names":false,"suffix":""},{"dropping-particle":"","family":"Phylaktou","given":"H N","non-dropping-particle":"","parse-names":false,"suffix":""},{"dropping-particle":"","family":"Sattar","given":"H","non-dropping-particle":"","parse-names":false,"suffix":""},{"dropping-particle":"","family":"Andrews","given":"G E","non-dropping-particle":"","parse-names":false,"suffix":""},{"dropping-particle":"","family":"Gibbs","given":"B M","non-dropping-particle":"","parse-names":false,"suffix":""}],"container-title":"Biomass and Bioenergy","id":"ITEM-1","issued":{"date-parts":[["2013"]]},"note":"20th European Biomass Conference","page":"95-104","title":"The development of an experimental method for the determination of the minimum explosible concentration of biomass powders","type":"article-journal","volume":"53"},"uris":["http://www.mendeley.com/documents/?uuid=e460354a-e41e-4af9-ad5f-439bb23b9ee3"]}],"mendeley":{"formattedCitation":"[128]","plainTextFormattedCitation":"[128]","previouslyFormattedCitation":"[128]"},"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[128]</w:t>
            </w:r>
            <w:r w:rsidRPr="00DB19C7">
              <w:rPr>
                <w:color w:val="auto"/>
                <w:sz w:val="18"/>
                <w:szCs w:val="18"/>
                <w:lang w:eastAsia="en-GB" w:bidi="ar-SA"/>
              </w:rPr>
              <w:fldChar w:fldCharType="end"/>
            </w:r>
          </w:p>
        </w:tc>
      </w:tr>
      <w:tr w:rsidR="00DB19C7" w:rsidRPr="00DB19C7" w14:paraId="2000F9F5" w14:textId="050E8E3B"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26FAABC8"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56</w:t>
            </w:r>
          </w:p>
        </w:tc>
        <w:tc>
          <w:tcPr>
            <w:tcW w:w="1746" w:type="dxa"/>
            <w:tcBorders>
              <w:top w:val="nil"/>
              <w:left w:val="nil"/>
              <w:bottom w:val="single" w:sz="4" w:space="0" w:color="auto"/>
              <w:right w:val="single" w:sz="4" w:space="0" w:color="auto"/>
            </w:tcBorders>
            <w:shd w:val="clear" w:color="auto" w:fill="auto"/>
            <w:noWrap/>
            <w:vAlign w:val="center"/>
            <w:hideMark/>
          </w:tcPr>
          <w:p w14:paraId="799CD9E4"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Southern yellow pine wood pellets (USA)</w:t>
            </w:r>
          </w:p>
        </w:tc>
        <w:tc>
          <w:tcPr>
            <w:tcW w:w="767" w:type="dxa"/>
            <w:tcBorders>
              <w:top w:val="nil"/>
              <w:left w:val="nil"/>
              <w:bottom w:val="single" w:sz="4" w:space="0" w:color="auto"/>
              <w:right w:val="single" w:sz="4" w:space="0" w:color="auto"/>
            </w:tcBorders>
            <w:shd w:val="clear" w:color="auto" w:fill="auto"/>
            <w:noWrap/>
            <w:vAlign w:val="center"/>
            <w:hideMark/>
          </w:tcPr>
          <w:p w14:paraId="115FEF8D" w14:textId="590A9324" w:rsidR="002B4066" w:rsidRPr="00DB19C7" w:rsidRDefault="002B4066" w:rsidP="002B4066">
            <w:pPr>
              <w:adjustRightInd/>
              <w:snapToGrid/>
              <w:spacing w:line="240" w:lineRule="auto"/>
              <w:jc w:val="center"/>
              <w:rPr>
                <w:color w:val="auto"/>
                <w:sz w:val="18"/>
                <w:szCs w:val="18"/>
                <w:lang w:eastAsia="en-GB" w:bidi="ar-SA"/>
              </w:rPr>
            </w:pPr>
          </w:p>
        </w:tc>
        <w:tc>
          <w:tcPr>
            <w:tcW w:w="767" w:type="dxa"/>
            <w:tcBorders>
              <w:top w:val="nil"/>
              <w:left w:val="nil"/>
              <w:bottom w:val="single" w:sz="4" w:space="0" w:color="auto"/>
              <w:right w:val="single" w:sz="4" w:space="0" w:color="auto"/>
            </w:tcBorders>
            <w:shd w:val="clear" w:color="auto" w:fill="auto"/>
            <w:noWrap/>
            <w:vAlign w:val="center"/>
            <w:hideMark/>
          </w:tcPr>
          <w:p w14:paraId="2875A11B" w14:textId="05BBBC8D" w:rsidR="002B4066" w:rsidRPr="00DB19C7" w:rsidRDefault="002B4066" w:rsidP="002B4066">
            <w:pPr>
              <w:adjustRightInd/>
              <w:snapToGrid/>
              <w:spacing w:line="240" w:lineRule="auto"/>
              <w:jc w:val="center"/>
              <w:rPr>
                <w:color w:val="auto"/>
                <w:sz w:val="18"/>
                <w:szCs w:val="18"/>
                <w:lang w:eastAsia="en-GB" w:bidi="ar-SA"/>
              </w:rPr>
            </w:pPr>
          </w:p>
        </w:tc>
        <w:tc>
          <w:tcPr>
            <w:tcW w:w="1018" w:type="dxa"/>
            <w:tcBorders>
              <w:top w:val="nil"/>
              <w:left w:val="nil"/>
              <w:bottom w:val="single" w:sz="4" w:space="0" w:color="auto"/>
              <w:right w:val="single" w:sz="4" w:space="0" w:color="auto"/>
            </w:tcBorders>
            <w:shd w:val="clear" w:color="auto" w:fill="auto"/>
            <w:noWrap/>
            <w:vAlign w:val="center"/>
            <w:hideMark/>
          </w:tcPr>
          <w:p w14:paraId="43B25B14" w14:textId="0E3D12FD" w:rsidR="002B4066" w:rsidRPr="00DB19C7" w:rsidRDefault="002B4066" w:rsidP="002B4066">
            <w:pPr>
              <w:adjustRightInd/>
              <w:snapToGrid/>
              <w:spacing w:line="240" w:lineRule="auto"/>
              <w:jc w:val="center"/>
              <w:rPr>
                <w:color w:val="auto"/>
                <w:sz w:val="18"/>
                <w:szCs w:val="18"/>
                <w:lang w:eastAsia="en-GB" w:bidi="ar-SA"/>
              </w:rPr>
            </w:pPr>
          </w:p>
        </w:tc>
        <w:tc>
          <w:tcPr>
            <w:tcW w:w="1096" w:type="dxa"/>
            <w:tcBorders>
              <w:top w:val="nil"/>
              <w:left w:val="nil"/>
              <w:bottom w:val="single" w:sz="4" w:space="0" w:color="auto"/>
              <w:right w:val="single" w:sz="4" w:space="0" w:color="auto"/>
            </w:tcBorders>
            <w:shd w:val="clear" w:color="auto" w:fill="auto"/>
            <w:noWrap/>
            <w:hideMark/>
          </w:tcPr>
          <w:p w14:paraId="2C5CF90A" w14:textId="104756C8"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w:t>
            </w:r>
          </w:p>
        </w:tc>
        <w:tc>
          <w:tcPr>
            <w:tcW w:w="767" w:type="dxa"/>
            <w:tcBorders>
              <w:top w:val="nil"/>
              <w:left w:val="nil"/>
              <w:bottom w:val="single" w:sz="4" w:space="0" w:color="auto"/>
              <w:right w:val="single" w:sz="4" w:space="0" w:color="auto"/>
            </w:tcBorders>
            <w:shd w:val="clear" w:color="auto" w:fill="auto"/>
            <w:noWrap/>
            <w:vAlign w:val="center"/>
            <w:hideMark/>
          </w:tcPr>
          <w:p w14:paraId="05CAC842" w14:textId="580E3C5D"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4F71345D" w14:textId="352EAE6D"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44F2A9F4" w14:textId="5AE661FD"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2C6ECB23"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567" w:type="dxa"/>
            <w:tcBorders>
              <w:top w:val="nil"/>
              <w:left w:val="nil"/>
              <w:bottom w:val="single" w:sz="4" w:space="0" w:color="auto"/>
              <w:right w:val="single" w:sz="4" w:space="0" w:color="auto"/>
            </w:tcBorders>
            <w:shd w:val="clear" w:color="auto" w:fill="auto"/>
            <w:noWrap/>
            <w:vAlign w:val="center"/>
            <w:hideMark/>
          </w:tcPr>
          <w:p w14:paraId="3173BADC" w14:textId="534A114F"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3FD445CA"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Sieves</w:t>
            </w:r>
          </w:p>
        </w:tc>
        <w:tc>
          <w:tcPr>
            <w:tcW w:w="737" w:type="dxa"/>
            <w:tcBorders>
              <w:top w:val="nil"/>
              <w:left w:val="nil"/>
              <w:bottom w:val="single" w:sz="4" w:space="0" w:color="auto"/>
              <w:right w:val="single" w:sz="4" w:space="0" w:color="auto"/>
            </w:tcBorders>
            <w:shd w:val="clear" w:color="auto" w:fill="auto"/>
            <w:noWrap/>
            <w:vAlign w:val="center"/>
            <w:hideMark/>
          </w:tcPr>
          <w:p w14:paraId="4D86353E" w14:textId="5B86DAD7"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30B563B7" w14:textId="5F864D75"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39BF354E" w14:textId="3E567C29"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776CB24C" w14:textId="16E61800"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264BDF33" w14:textId="007E8925"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{"citationItems":[{"id":"ITEM-1","itemData":{"author":[{"dropping-particle":"","family":"Melin","given":"Staffan","non-dropping-particle":"","parse-names":false,"suffix":""}],"container-title":"Wood Pellet Association of Canada","id":"ITEM-1","issued":{"date-parts":[["2008"]]},"page":"1-19","title":"Testing of Explosibility and Flammability of Airborne Dust from Wood Pellets","type":"article-journal"},"uris":["http://www.mendeley.com/documents/?uuid=f8a065d7-e91a-41fa-b9ce-5a0bf751276a"]}],"mendeley":{"formattedCitation":"[147]","plainTextFormattedCitation":"[147]","previouslyFormattedCitation":"[147]"},"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[147]</w:t>
            </w:r>
            <w:r w:rsidRPr="00DB19C7">
              <w:rPr>
                <w:color w:val="auto"/>
                <w:sz w:val="18"/>
                <w:szCs w:val="18"/>
                <w:lang w:eastAsia="en-GB" w:bidi="ar-SA"/>
              </w:rPr>
              <w:fldChar w:fldCharType="end"/>
            </w:r>
          </w:p>
        </w:tc>
      </w:tr>
      <w:tr w:rsidR="00DB19C7" w:rsidRPr="00DB19C7" w14:paraId="506745C9" w14:textId="4FFE6294"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6081F8A7"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57</w:t>
            </w:r>
          </w:p>
        </w:tc>
        <w:tc>
          <w:tcPr>
            <w:tcW w:w="1746" w:type="dxa"/>
            <w:tcBorders>
              <w:top w:val="nil"/>
              <w:left w:val="nil"/>
              <w:bottom w:val="single" w:sz="4" w:space="0" w:color="auto"/>
              <w:right w:val="single" w:sz="4" w:space="0" w:color="auto"/>
            </w:tcBorders>
            <w:shd w:val="clear" w:color="auto" w:fill="auto"/>
            <w:noWrap/>
            <w:vAlign w:val="center"/>
            <w:hideMark/>
          </w:tcPr>
          <w:p w14:paraId="752D17E6"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Spanish pine</w:t>
            </w:r>
          </w:p>
        </w:tc>
        <w:tc>
          <w:tcPr>
            <w:tcW w:w="767" w:type="dxa"/>
            <w:tcBorders>
              <w:top w:val="nil"/>
              <w:left w:val="nil"/>
              <w:bottom w:val="single" w:sz="4" w:space="0" w:color="auto"/>
              <w:right w:val="single" w:sz="4" w:space="0" w:color="auto"/>
            </w:tcBorders>
            <w:shd w:val="clear" w:color="auto" w:fill="auto"/>
            <w:noWrap/>
            <w:vAlign w:val="center"/>
            <w:hideMark/>
          </w:tcPr>
          <w:p w14:paraId="5DFACEB6" w14:textId="14336915" w:rsidR="002B4066" w:rsidRPr="00DB19C7" w:rsidRDefault="002B4066" w:rsidP="002B4066">
            <w:pPr>
              <w:adjustRightInd/>
              <w:snapToGrid/>
              <w:spacing w:line="240" w:lineRule="auto"/>
              <w:jc w:val="center"/>
              <w:rPr>
                <w:color w:val="auto"/>
                <w:sz w:val="18"/>
                <w:szCs w:val="18"/>
                <w:lang w:eastAsia="en-GB" w:bidi="ar-SA"/>
              </w:rPr>
            </w:pPr>
          </w:p>
        </w:tc>
        <w:tc>
          <w:tcPr>
            <w:tcW w:w="767" w:type="dxa"/>
            <w:tcBorders>
              <w:top w:val="nil"/>
              <w:left w:val="nil"/>
              <w:bottom w:val="single" w:sz="4" w:space="0" w:color="auto"/>
              <w:right w:val="single" w:sz="4" w:space="0" w:color="auto"/>
            </w:tcBorders>
            <w:shd w:val="clear" w:color="auto" w:fill="auto"/>
            <w:noWrap/>
            <w:vAlign w:val="center"/>
            <w:hideMark/>
          </w:tcPr>
          <w:p w14:paraId="79D8F534"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320</w:t>
            </w:r>
          </w:p>
        </w:tc>
        <w:tc>
          <w:tcPr>
            <w:tcW w:w="1018" w:type="dxa"/>
            <w:tcBorders>
              <w:top w:val="nil"/>
              <w:left w:val="nil"/>
              <w:bottom w:val="single" w:sz="4" w:space="0" w:color="auto"/>
              <w:right w:val="single" w:sz="4" w:space="0" w:color="auto"/>
            </w:tcBorders>
            <w:shd w:val="clear" w:color="auto" w:fill="auto"/>
            <w:noWrap/>
            <w:vAlign w:val="center"/>
            <w:hideMark/>
          </w:tcPr>
          <w:p w14:paraId="1343CAF9" w14:textId="1352FD22" w:rsidR="002B4066" w:rsidRPr="00DB19C7" w:rsidRDefault="002B4066" w:rsidP="002B4066">
            <w:pPr>
              <w:adjustRightInd/>
              <w:snapToGrid/>
              <w:spacing w:line="240" w:lineRule="auto"/>
              <w:jc w:val="center"/>
              <w:rPr>
                <w:color w:val="auto"/>
                <w:sz w:val="18"/>
                <w:szCs w:val="18"/>
                <w:lang w:eastAsia="en-GB" w:bidi="ar-SA"/>
              </w:rPr>
            </w:pPr>
          </w:p>
        </w:tc>
        <w:tc>
          <w:tcPr>
            <w:tcW w:w="1096" w:type="dxa"/>
            <w:tcBorders>
              <w:top w:val="nil"/>
              <w:left w:val="nil"/>
              <w:bottom w:val="single" w:sz="4" w:space="0" w:color="auto"/>
              <w:right w:val="single" w:sz="4" w:space="0" w:color="auto"/>
            </w:tcBorders>
            <w:shd w:val="clear" w:color="auto" w:fill="auto"/>
            <w:noWrap/>
            <w:hideMark/>
          </w:tcPr>
          <w:p w14:paraId="2ACE6855" w14:textId="6F4401DC"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w:t>
            </w:r>
          </w:p>
        </w:tc>
        <w:tc>
          <w:tcPr>
            <w:tcW w:w="767" w:type="dxa"/>
            <w:tcBorders>
              <w:top w:val="nil"/>
              <w:left w:val="nil"/>
              <w:bottom w:val="single" w:sz="4" w:space="0" w:color="auto"/>
              <w:right w:val="single" w:sz="4" w:space="0" w:color="auto"/>
            </w:tcBorders>
            <w:shd w:val="clear" w:color="auto" w:fill="auto"/>
            <w:noWrap/>
            <w:vAlign w:val="center"/>
            <w:hideMark/>
          </w:tcPr>
          <w:p w14:paraId="4B854F5B" w14:textId="71C5C529"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54424507" w14:textId="4B299E7E"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0D5EF7C3" w14:textId="16B2377F"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0F539BA1"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 - SEM</w:t>
            </w:r>
          </w:p>
        </w:tc>
        <w:tc>
          <w:tcPr>
            <w:tcW w:w="567" w:type="dxa"/>
            <w:tcBorders>
              <w:top w:val="nil"/>
              <w:left w:val="nil"/>
              <w:bottom w:val="single" w:sz="4" w:space="0" w:color="auto"/>
              <w:right w:val="single" w:sz="4" w:space="0" w:color="auto"/>
            </w:tcBorders>
            <w:shd w:val="clear" w:color="auto" w:fill="auto"/>
            <w:noWrap/>
            <w:vAlign w:val="center"/>
            <w:hideMark/>
          </w:tcPr>
          <w:p w14:paraId="15863446" w14:textId="4E07AFF1"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58903187"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2EC8E88D"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7.4</w:t>
            </w:r>
          </w:p>
        </w:tc>
        <w:tc>
          <w:tcPr>
            <w:tcW w:w="737" w:type="dxa"/>
            <w:tcBorders>
              <w:top w:val="nil"/>
              <w:left w:val="nil"/>
              <w:bottom w:val="single" w:sz="4" w:space="0" w:color="auto"/>
              <w:right w:val="single" w:sz="4" w:space="0" w:color="auto"/>
            </w:tcBorders>
            <w:shd w:val="clear" w:color="auto" w:fill="auto"/>
            <w:noWrap/>
            <w:vAlign w:val="center"/>
            <w:hideMark/>
          </w:tcPr>
          <w:p w14:paraId="6C8E4143"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78.15</w:t>
            </w:r>
          </w:p>
        </w:tc>
        <w:tc>
          <w:tcPr>
            <w:tcW w:w="737" w:type="dxa"/>
            <w:tcBorders>
              <w:top w:val="nil"/>
              <w:left w:val="nil"/>
              <w:bottom w:val="single" w:sz="4" w:space="0" w:color="auto"/>
              <w:right w:val="single" w:sz="4" w:space="0" w:color="auto"/>
            </w:tcBorders>
            <w:shd w:val="clear" w:color="auto" w:fill="auto"/>
            <w:noWrap/>
            <w:vAlign w:val="center"/>
            <w:hideMark/>
          </w:tcPr>
          <w:p w14:paraId="286A9197"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0.25</w:t>
            </w:r>
          </w:p>
        </w:tc>
        <w:tc>
          <w:tcPr>
            <w:tcW w:w="737" w:type="dxa"/>
            <w:tcBorders>
              <w:top w:val="nil"/>
              <w:left w:val="nil"/>
              <w:bottom w:val="single" w:sz="4" w:space="0" w:color="auto"/>
              <w:right w:val="single" w:sz="4" w:space="0" w:color="auto"/>
            </w:tcBorders>
            <w:shd w:val="clear" w:color="auto" w:fill="auto"/>
            <w:noWrap/>
            <w:vAlign w:val="center"/>
            <w:hideMark/>
          </w:tcPr>
          <w:p w14:paraId="1B601736" w14:textId="17F5A238"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17F052E2" w14:textId="11600964"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{"citationItems":[{"id":"ITEM-1","itemData":{"ISSN":"12350621","abstract":"The overall objective of this research project was to create new data on the safety-technical characteristics of renewable fuels, low-rank coals and mixtures of these. Knowledge of basic handling and safety-technical chracteristics is of crucial significance for the design of handling equipment and safety systems, and for the assessment of explosion and fire hazards. Ten biomass and lignite fuel samples and two fuel mixtures were included in the work programme. Extensive physical and chemical characterisation was performed for all samples. The reactivity of the combustible dusts was characterised by thermal analysis (DTA-TGA). Based on the thermal runaway temperatures of the dusts the samples are listed by order of reactivity. Self-ignition properties of the fuels were studied at normal and elevated pressure (1-25 bar). The results of the self-ignition tests for the fuel samples are mainly in line with the reactivity tests carried out on DTA-TGA. The elevated pressure had a significant effect on the self-ignition temperature of all fuel samples. Partial inerting increased the self-ignition temperature, but to a rather low degree. Dust explosion tests were performed in 1 m3 vessels and 20 litre spheres. Dust explosion parameters were determined both in normal conditions and at elevated temperature and pressure. A linear correlation was found between the maximum explosion pressure Pmax and the initial pressure. The values measured for the rate of pressure rise, the KSt-value, were considerably more scattered. Most differences can probably be associated with diverse turbulence conditions inside the explosion vessel. In most cases, the lower oxygen concentration LOC slightly increased with increasing initial pressure. LOC decreases with increasing initial temperature, around 1-3 vol% per 100 °C temperature rise. Suppression systems are frequently used in industry as a measure of explosion protection. The suppression tests were conducted in a heatable the 1 m3 vessel. Increasing the temperature makes the suppression of the dust explosion more demanding. Use of partly inert atmosphere led to an increased efficiency of the explosion suppression system.","author":[{"dropping-particle":"","family":"Wilén","given":"Carl","non-dropping-particle":"","parse-names":false,"suffix":""},{"dropping-particle":"","family":"Moilanen","given":"Antero","non-dropping-particle":"","parse-names":false,"suffix":""},{"dropping-particle":"","family":"Rautalin","given":"Aimo","non-dropping-particle":"","parse-names":false,"suffix":""},{"dropping-particle":"","family":"Torrent","given":"Javier","non-dropping-particle":"","parse-names":false,"suffix":""},{"dropping-particle":"","family":"Conde","given":"Eduardo","non-dropping-particle":"","parse-names":false,"suffix":""},{"dropping-particle":"","family":"Lödel","given":"Roland","non-dropping-particle":"","parse-names":false,"suffix":""},{"dropping-particle":"","family":"Carson","given":"Douglas","non-dropping-particle":"","parse-names":false,"suffix":""},{"dropping-particle":"","family":"Timmers","given":"Piet","non-dropping-particle":"","parse-names":false,"suffix":""},{"dropping-particle":"","family":"Brehm","given":"Konrad","non-dropping-particle":"","parse-names":false,"suffix":""}],"container-title":"VTT Publications","id":"ITEM-1","issue":"394","issued":{"date-parts":[["1999"]]},"title":"Safe handling of renewable fuels and fuel mixtures","type":"article-journal"},"uris":["http://www.mendeley.com/documents/?uuid=cc30f0b2-ca37-46f2-b198-10337f3ca782"]}],"mendeley":{"formattedCitation":"[17]","plainTextFormattedCitation":"[17]","previouslyFormattedCitation":"[17]"},"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[17]</w:t>
            </w:r>
            <w:r w:rsidRPr="00DB19C7">
              <w:rPr>
                <w:color w:val="auto"/>
                <w:sz w:val="18"/>
                <w:szCs w:val="18"/>
                <w:lang w:eastAsia="en-GB" w:bidi="ar-SA"/>
              </w:rPr>
              <w:fldChar w:fldCharType="end"/>
            </w:r>
          </w:p>
        </w:tc>
      </w:tr>
      <w:tr w:rsidR="00DB19C7" w:rsidRPr="00DB19C7" w14:paraId="018BDB1E" w14:textId="68804080"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24ED21B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58</w:t>
            </w:r>
          </w:p>
        </w:tc>
        <w:tc>
          <w:tcPr>
            <w:tcW w:w="1746" w:type="dxa"/>
            <w:tcBorders>
              <w:top w:val="nil"/>
              <w:left w:val="nil"/>
              <w:bottom w:val="single" w:sz="4" w:space="0" w:color="auto"/>
              <w:right w:val="single" w:sz="4" w:space="0" w:color="auto"/>
            </w:tcBorders>
            <w:shd w:val="clear" w:color="auto" w:fill="auto"/>
            <w:noWrap/>
            <w:vAlign w:val="center"/>
            <w:hideMark/>
          </w:tcPr>
          <w:p w14:paraId="38322578"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Spruce</w:t>
            </w:r>
          </w:p>
        </w:tc>
        <w:tc>
          <w:tcPr>
            <w:tcW w:w="767" w:type="dxa"/>
            <w:tcBorders>
              <w:top w:val="nil"/>
              <w:left w:val="nil"/>
              <w:bottom w:val="single" w:sz="4" w:space="0" w:color="auto"/>
              <w:right w:val="single" w:sz="4" w:space="0" w:color="auto"/>
            </w:tcBorders>
            <w:shd w:val="clear" w:color="auto" w:fill="auto"/>
            <w:noWrap/>
            <w:vAlign w:val="center"/>
            <w:hideMark/>
          </w:tcPr>
          <w:p w14:paraId="76D43FD6" w14:textId="455D06E0" w:rsidR="002B4066" w:rsidRPr="00DB19C7" w:rsidRDefault="002B4066" w:rsidP="002B4066">
            <w:pPr>
              <w:adjustRightInd/>
              <w:snapToGrid/>
              <w:spacing w:line="240" w:lineRule="auto"/>
              <w:jc w:val="center"/>
              <w:rPr>
                <w:color w:val="auto"/>
                <w:sz w:val="18"/>
                <w:szCs w:val="18"/>
                <w:lang w:eastAsia="en-GB" w:bidi="ar-SA"/>
              </w:rPr>
            </w:pPr>
          </w:p>
        </w:tc>
        <w:tc>
          <w:tcPr>
            <w:tcW w:w="767" w:type="dxa"/>
            <w:tcBorders>
              <w:top w:val="nil"/>
              <w:left w:val="nil"/>
              <w:bottom w:val="single" w:sz="4" w:space="0" w:color="auto"/>
              <w:right w:val="single" w:sz="4" w:space="0" w:color="auto"/>
            </w:tcBorders>
            <w:shd w:val="clear" w:color="auto" w:fill="auto"/>
            <w:noWrap/>
            <w:vAlign w:val="center"/>
            <w:hideMark/>
          </w:tcPr>
          <w:p w14:paraId="47A1ED60" w14:textId="1CDD929F" w:rsidR="002B4066" w:rsidRPr="00DB19C7" w:rsidRDefault="002B4066" w:rsidP="002B4066">
            <w:pPr>
              <w:adjustRightInd/>
              <w:snapToGrid/>
              <w:spacing w:line="240" w:lineRule="auto"/>
              <w:jc w:val="center"/>
              <w:rPr>
                <w:color w:val="auto"/>
                <w:sz w:val="18"/>
                <w:szCs w:val="18"/>
                <w:lang w:eastAsia="en-GB" w:bidi="ar-SA"/>
              </w:rPr>
            </w:pPr>
          </w:p>
        </w:tc>
        <w:tc>
          <w:tcPr>
            <w:tcW w:w="1018" w:type="dxa"/>
            <w:tcBorders>
              <w:top w:val="nil"/>
              <w:left w:val="nil"/>
              <w:bottom w:val="single" w:sz="4" w:space="0" w:color="auto"/>
              <w:right w:val="single" w:sz="4" w:space="0" w:color="auto"/>
            </w:tcBorders>
            <w:shd w:val="clear" w:color="auto" w:fill="auto"/>
            <w:noWrap/>
            <w:vAlign w:val="center"/>
            <w:hideMark/>
          </w:tcPr>
          <w:p w14:paraId="2A1C66CD" w14:textId="7B4EB008" w:rsidR="002B4066" w:rsidRPr="00DB19C7" w:rsidRDefault="002B4066" w:rsidP="002B4066">
            <w:pPr>
              <w:adjustRightInd/>
              <w:snapToGrid/>
              <w:spacing w:line="240" w:lineRule="auto"/>
              <w:jc w:val="center"/>
              <w:rPr>
                <w:color w:val="auto"/>
                <w:sz w:val="18"/>
                <w:szCs w:val="18"/>
                <w:lang w:eastAsia="en-GB" w:bidi="ar-SA"/>
              </w:rPr>
            </w:pPr>
          </w:p>
        </w:tc>
        <w:tc>
          <w:tcPr>
            <w:tcW w:w="1096" w:type="dxa"/>
            <w:tcBorders>
              <w:top w:val="nil"/>
              <w:left w:val="nil"/>
              <w:bottom w:val="single" w:sz="4" w:space="0" w:color="auto"/>
              <w:right w:val="single" w:sz="4" w:space="0" w:color="auto"/>
            </w:tcBorders>
            <w:shd w:val="clear" w:color="auto" w:fill="auto"/>
            <w:noWrap/>
            <w:vAlign w:val="center"/>
            <w:hideMark/>
          </w:tcPr>
          <w:p w14:paraId="1EA081AB" w14:textId="344CD306"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0E9B43A2" w14:textId="14C40DAF"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757E4E67" w14:textId="404D9FE8"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0992BA3C" w14:textId="7CFC5CFF"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5CFF4A2A"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567" w:type="dxa"/>
            <w:tcBorders>
              <w:top w:val="nil"/>
              <w:left w:val="nil"/>
              <w:bottom w:val="single" w:sz="4" w:space="0" w:color="auto"/>
              <w:right w:val="single" w:sz="4" w:space="0" w:color="auto"/>
            </w:tcBorders>
            <w:shd w:val="clear" w:color="auto" w:fill="auto"/>
            <w:noWrap/>
            <w:vAlign w:val="center"/>
            <w:hideMark/>
          </w:tcPr>
          <w:p w14:paraId="48CD1A34" w14:textId="78889B0B"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7F731AC6"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Sieves</w:t>
            </w:r>
          </w:p>
        </w:tc>
        <w:tc>
          <w:tcPr>
            <w:tcW w:w="737" w:type="dxa"/>
            <w:tcBorders>
              <w:top w:val="nil"/>
              <w:left w:val="nil"/>
              <w:bottom w:val="single" w:sz="4" w:space="0" w:color="auto"/>
              <w:right w:val="single" w:sz="4" w:space="0" w:color="auto"/>
            </w:tcBorders>
            <w:shd w:val="clear" w:color="auto" w:fill="auto"/>
            <w:noWrap/>
            <w:vAlign w:val="center"/>
            <w:hideMark/>
          </w:tcPr>
          <w:p w14:paraId="7DD70E9E" w14:textId="2BB0F14E"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3E58CACB" w14:textId="3E25FE00"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6F68B046" w14:textId="528E1679"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1E3F682A" w14:textId="3000FCF2"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0FDC93B0" w14:textId="2C54F69B"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{"citationItems":[{"id":"ITEM-1","itemData":{"DOI":"10.3303/CET1648068","ISBN":"9788895608396","ISSN":"22839216","abstract":"A modified Hartmann tube apparatus was used to study the explosivity properties of dusts from torrefied biomass pellets. The sensitivity of the dusts to explode was assessed by determining the minimum ignition energies (MIE) and the minimum explosible concentrations (MEC). The severity of the explosion was evaluated by flame front velocity (FFV) measurements via a method developed by ECN. A comparison was made with reference materials like white wood and coal dusts. Dust from torrefied biomass pellets presented MIE and MEC values in the same range as the white wood pellets dust, but depending on the material sometimes even higher values were obtained. The severity of an explosion of torrefied biomass dust tends to be lower when compared with white wood dust explosions, especially when comparing the impact effects of moisture, particle size and temperature, as in a real case scenario. However, torrefied biomass materials still present higher explosion reactivity than coals.","author":[{"dropping-particle":"","family":"Abelha","given":"Pedro","non-dropping-particle":"","parse-names":false,"suffix":""},{"dropping-particle":"","family":"Carbo","given":"Michiel","non-dropping-particle":"","parse-names":false,"suffix":""},{"dropping-particle":"","family":"Cieplik","given":"Mariusz","non-dropping-particle":"","parse-names":false,"suffix":""}],"container-title":"Chemical Engineering Transactions","id":"ITEM-1","issued":{"date-parts":[["2016"]]},"page":"403-408","title":"Explosivity properties of dusts from torrefied biomass pellets","type":"article-journal","volume":"48"},"uris":["http://www.mendeley.com/documents/?uuid=d999869f-fa92-40ae-93de-b15e34a53595"]}],"mendeley":{"formattedCitation":"[106]","plainTextFormattedCitation":"[106]","previouslyFormattedCitation":"[106]"},"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[106]</w:t>
            </w:r>
            <w:r w:rsidRPr="00DB19C7">
              <w:rPr>
                <w:color w:val="auto"/>
                <w:sz w:val="18"/>
                <w:szCs w:val="18"/>
                <w:lang w:eastAsia="en-GB" w:bidi="ar-SA"/>
              </w:rPr>
              <w:fldChar w:fldCharType="end"/>
            </w:r>
          </w:p>
        </w:tc>
      </w:tr>
      <w:tr w:rsidR="00DB19C7" w:rsidRPr="00DB19C7" w14:paraId="74D2E6E7" w14:textId="34FB6AF7"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6D61C8CA"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59</w:t>
            </w:r>
          </w:p>
        </w:tc>
        <w:tc>
          <w:tcPr>
            <w:tcW w:w="1746" w:type="dxa"/>
            <w:tcBorders>
              <w:top w:val="nil"/>
              <w:left w:val="nil"/>
              <w:bottom w:val="single" w:sz="4" w:space="0" w:color="auto"/>
              <w:right w:val="single" w:sz="4" w:space="0" w:color="auto"/>
            </w:tcBorders>
            <w:shd w:val="clear" w:color="auto" w:fill="auto"/>
            <w:noWrap/>
            <w:vAlign w:val="center"/>
            <w:hideMark/>
          </w:tcPr>
          <w:p w14:paraId="5B60E4BE"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Straw</w:t>
            </w:r>
          </w:p>
        </w:tc>
        <w:tc>
          <w:tcPr>
            <w:tcW w:w="767" w:type="dxa"/>
            <w:tcBorders>
              <w:top w:val="nil"/>
              <w:left w:val="nil"/>
              <w:bottom w:val="single" w:sz="4" w:space="0" w:color="auto"/>
              <w:right w:val="single" w:sz="4" w:space="0" w:color="auto"/>
            </w:tcBorders>
            <w:shd w:val="clear" w:color="auto" w:fill="auto"/>
            <w:noWrap/>
            <w:vAlign w:val="center"/>
            <w:hideMark/>
          </w:tcPr>
          <w:p w14:paraId="2F34400A"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18.8</w:t>
            </w:r>
          </w:p>
        </w:tc>
        <w:tc>
          <w:tcPr>
            <w:tcW w:w="767" w:type="dxa"/>
            <w:tcBorders>
              <w:top w:val="nil"/>
              <w:left w:val="nil"/>
              <w:bottom w:val="single" w:sz="4" w:space="0" w:color="auto"/>
              <w:right w:val="single" w:sz="4" w:space="0" w:color="auto"/>
            </w:tcBorders>
            <w:shd w:val="clear" w:color="auto" w:fill="auto"/>
            <w:noWrap/>
            <w:vAlign w:val="center"/>
            <w:hideMark/>
          </w:tcPr>
          <w:p w14:paraId="0289928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105.4</w:t>
            </w:r>
          </w:p>
        </w:tc>
        <w:tc>
          <w:tcPr>
            <w:tcW w:w="1018" w:type="dxa"/>
            <w:tcBorders>
              <w:top w:val="nil"/>
              <w:left w:val="nil"/>
              <w:bottom w:val="single" w:sz="4" w:space="0" w:color="auto"/>
              <w:right w:val="single" w:sz="4" w:space="0" w:color="auto"/>
            </w:tcBorders>
            <w:shd w:val="clear" w:color="auto" w:fill="auto"/>
            <w:noWrap/>
            <w:vAlign w:val="center"/>
            <w:hideMark/>
          </w:tcPr>
          <w:p w14:paraId="72C634A7"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279.4</w:t>
            </w:r>
          </w:p>
        </w:tc>
        <w:tc>
          <w:tcPr>
            <w:tcW w:w="1096" w:type="dxa"/>
            <w:tcBorders>
              <w:top w:val="nil"/>
              <w:left w:val="nil"/>
              <w:bottom w:val="single" w:sz="4" w:space="0" w:color="auto"/>
              <w:right w:val="single" w:sz="4" w:space="0" w:color="auto"/>
            </w:tcBorders>
            <w:shd w:val="clear" w:color="auto" w:fill="auto"/>
            <w:noWrap/>
            <w:vAlign w:val="center"/>
            <w:hideMark/>
          </w:tcPr>
          <w:p w14:paraId="38DEEA0D" w14:textId="2E51A03D"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5AC5B72F" w14:textId="30F4935A"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6E116455" w14:textId="31C5A974"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2C42FE0D" w14:textId="0702A51B"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2119053A"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567" w:type="dxa"/>
            <w:tcBorders>
              <w:top w:val="nil"/>
              <w:left w:val="nil"/>
              <w:bottom w:val="single" w:sz="4" w:space="0" w:color="auto"/>
              <w:right w:val="single" w:sz="4" w:space="0" w:color="auto"/>
            </w:tcBorders>
            <w:shd w:val="clear" w:color="auto" w:fill="auto"/>
            <w:noWrap/>
            <w:vAlign w:val="center"/>
            <w:hideMark/>
          </w:tcPr>
          <w:p w14:paraId="57EA4701"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2.47</w:t>
            </w:r>
          </w:p>
        </w:tc>
        <w:tc>
          <w:tcPr>
            <w:tcW w:w="1134" w:type="dxa"/>
            <w:tcBorders>
              <w:top w:val="nil"/>
              <w:left w:val="nil"/>
              <w:bottom w:val="single" w:sz="4" w:space="0" w:color="auto"/>
              <w:right w:val="single" w:sz="4" w:space="0" w:color="auto"/>
            </w:tcBorders>
            <w:shd w:val="clear" w:color="auto" w:fill="auto"/>
            <w:noWrap/>
            <w:vAlign w:val="center"/>
            <w:hideMark/>
          </w:tcPr>
          <w:p w14:paraId="51B2CF66"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53CB545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8.8</w:t>
            </w:r>
          </w:p>
        </w:tc>
        <w:tc>
          <w:tcPr>
            <w:tcW w:w="737" w:type="dxa"/>
            <w:tcBorders>
              <w:top w:val="nil"/>
              <w:left w:val="nil"/>
              <w:bottom w:val="single" w:sz="4" w:space="0" w:color="auto"/>
              <w:right w:val="single" w:sz="4" w:space="0" w:color="auto"/>
            </w:tcBorders>
            <w:shd w:val="clear" w:color="auto" w:fill="auto"/>
            <w:noWrap/>
            <w:vAlign w:val="center"/>
            <w:hideMark/>
          </w:tcPr>
          <w:p w14:paraId="3A6EA694"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76.14</w:t>
            </w:r>
          </w:p>
        </w:tc>
        <w:tc>
          <w:tcPr>
            <w:tcW w:w="737" w:type="dxa"/>
            <w:tcBorders>
              <w:top w:val="nil"/>
              <w:left w:val="nil"/>
              <w:bottom w:val="single" w:sz="4" w:space="0" w:color="auto"/>
              <w:right w:val="single" w:sz="4" w:space="0" w:color="auto"/>
            </w:tcBorders>
            <w:shd w:val="clear" w:color="auto" w:fill="auto"/>
            <w:noWrap/>
            <w:vAlign w:val="center"/>
            <w:hideMark/>
          </w:tcPr>
          <w:p w14:paraId="41F95EF9"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8.42</w:t>
            </w:r>
          </w:p>
        </w:tc>
        <w:tc>
          <w:tcPr>
            <w:tcW w:w="737" w:type="dxa"/>
            <w:tcBorders>
              <w:top w:val="nil"/>
              <w:left w:val="nil"/>
              <w:bottom w:val="single" w:sz="4" w:space="0" w:color="auto"/>
              <w:right w:val="single" w:sz="4" w:space="0" w:color="auto"/>
            </w:tcBorders>
            <w:shd w:val="clear" w:color="auto" w:fill="auto"/>
            <w:noWrap/>
            <w:vAlign w:val="center"/>
            <w:hideMark/>
          </w:tcPr>
          <w:p w14:paraId="16BD3CD1"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6.64</w:t>
            </w:r>
          </w:p>
        </w:tc>
        <w:tc>
          <w:tcPr>
            <w:tcW w:w="617" w:type="dxa"/>
            <w:tcBorders>
              <w:top w:val="single" w:sz="4" w:space="0" w:color="auto"/>
              <w:left w:val="nil"/>
              <w:bottom w:val="single" w:sz="4" w:space="0" w:color="auto"/>
              <w:right w:val="single" w:sz="4" w:space="0" w:color="auto"/>
            </w:tcBorders>
            <w:vAlign w:val="center"/>
          </w:tcPr>
          <w:p w14:paraId="4D4BA52A" w14:textId="52855CE8"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{"citationItems":[{"id":"ITEM-1","itemData":{"DOI":"10.1016/j.fuel.2016.07.045","ISSN":"00162361","abstract":"Biomasses are materials highly demanded nowadays for energy production. One of the main features of these materials is that they present a great variability in terms of chemical composition and physical behavior (O/C and H/C ratios, granulometric structure, ash content…). Nowadays, there is a lack of information concerning its characterization to determine its flammability and explosibility behavior. The objective of this study is to provide flammability and explosibility data as well as some parameters to assess the spontaneous combustion tendency of these products and to relate this thermal susceptibility with the composition. Initial results showed that risk assessments based on the activation energy were not effective for biomass as it is for coals, and that a greater tendency to self-ignition was observed in those biomasses having higher H/C ratios, on the contrary than in coals. This behavior can be explained because the most important stage for coals is the beginning of the self-heating reaction, which present a different resistance (activation energy) depending on its ranking, while biomasses present an initial stage easily achievable even at moderate temperatures, so the differentiation for biomasses should be found in the ability to spread this incipient reaction.","author":[{"dropping-particle":"","family":"García Torrent","given":"Javier","non-dropping-particle":"","parse-names":false,"suffix":""},{"dropping-particle":"","family":"Ramírez-Gómez","given":"Álvaro","non-dropping-particle":"","parse-names":false,"suffix":""},{"dropping-particle":"","family":"Fernandez-Anez","given":"Nieves","non-dropping-particle":"","parse-names":false,"suffix":""},{"dropping-particle":"","family":"Medic Pejic","given":"Ljiljana","non-dropping-particle":"","parse-names":false,"suffix":""},{"dropping-particle":"","family":"Tascón","given":"Alberto","non-dropping-particle":"","parse-names":false,"suffix":""}],"container-title":"Fuel","id":"ITEM-1","issued":{"date-parts":[["2016"]]},"page":"503-511","title":"Influence of the composition of solid biomass in the flammability and susceptibility to spontaneous combustion","type":"article-journal","volume":"184"},"uris":["http://www.mendeley.com/documents/?uuid=9fcb7e1d-bebe-4dfb-9ee6-81a5efa6af83"]}],"mendeley":{"formattedCitation":"[142]","plainTextFormattedCitation":"[142]","previouslyFormattedCitation":"[142]"},"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[142]</w:t>
            </w:r>
            <w:r w:rsidRPr="00DB19C7">
              <w:rPr>
                <w:color w:val="auto"/>
                <w:sz w:val="18"/>
                <w:szCs w:val="18"/>
                <w:lang w:eastAsia="en-GB" w:bidi="ar-SA"/>
              </w:rPr>
              <w:fldChar w:fldCharType="end"/>
            </w:r>
          </w:p>
        </w:tc>
      </w:tr>
      <w:tr w:rsidR="00DB19C7" w:rsidRPr="00DB19C7" w14:paraId="1C9C59CD" w14:textId="2E85836C"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59F128F9"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60</w:t>
            </w:r>
          </w:p>
        </w:tc>
        <w:tc>
          <w:tcPr>
            <w:tcW w:w="1746" w:type="dxa"/>
            <w:tcBorders>
              <w:top w:val="nil"/>
              <w:left w:val="nil"/>
              <w:bottom w:val="single" w:sz="4" w:space="0" w:color="auto"/>
              <w:right w:val="single" w:sz="4" w:space="0" w:color="auto"/>
            </w:tcBorders>
            <w:shd w:val="clear" w:color="auto" w:fill="auto"/>
            <w:noWrap/>
            <w:vAlign w:val="center"/>
            <w:hideMark/>
          </w:tcPr>
          <w:p w14:paraId="13BDB871" w14:textId="77777777" w:rsidR="002B4066" w:rsidRPr="00DB19C7" w:rsidRDefault="002B4066" w:rsidP="002B4066">
            <w:pPr>
              <w:adjustRightInd/>
              <w:snapToGrid/>
              <w:spacing w:line="240" w:lineRule="auto"/>
              <w:jc w:val="center"/>
              <w:rPr>
                <w:color w:val="auto"/>
                <w:sz w:val="18"/>
                <w:szCs w:val="18"/>
                <w:lang w:eastAsia="en-GB" w:bidi="ar-SA"/>
              </w:rPr>
            </w:pPr>
            <w:proofErr w:type="spellStart"/>
            <w:r w:rsidRPr="00DB19C7">
              <w:rPr>
                <w:color w:val="auto"/>
                <w:sz w:val="18"/>
                <w:szCs w:val="18"/>
                <w:lang w:eastAsia="en-GB" w:bidi="ar-SA"/>
              </w:rPr>
              <w:t>Torrefied</w:t>
            </w:r>
            <w:proofErr w:type="spellEnd"/>
            <w:r w:rsidRPr="00DB19C7">
              <w:rPr>
                <w:color w:val="auto"/>
                <w:sz w:val="18"/>
                <w:szCs w:val="18"/>
                <w:lang w:eastAsia="en-GB" w:bidi="ar-SA"/>
              </w:rPr>
              <w:t xml:space="preserve"> Pine</w:t>
            </w:r>
          </w:p>
        </w:tc>
        <w:tc>
          <w:tcPr>
            <w:tcW w:w="767" w:type="dxa"/>
            <w:tcBorders>
              <w:top w:val="nil"/>
              <w:left w:val="nil"/>
              <w:bottom w:val="single" w:sz="4" w:space="0" w:color="auto"/>
              <w:right w:val="single" w:sz="4" w:space="0" w:color="auto"/>
            </w:tcBorders>
            <w:shd w:val="clear" w:color="auto" w:fill="auto"/>
            <w:noWrap/>
            <w:vAlign w:val="center"/>
            <w:hideMark/>
          </w:tcPr>
          <w:p w14:paraId="705994AD" w14:textId="0B84A7BF" w:rsidR="002B4066" w:rsidRPr="00DB19C7" w:rsidRDefault="002B4066" w:rsidP="002B4066">
            <w:pPr>
              <w:adjustRightInd/>
              <w:snapToGrid/>
              <w:spacing w:line="240" w:lineRule="auto"/>
              <w:jc w:val="center"/>
              <w:rPr>
                <w:color w:val="auto"/>
                <w:sz w:val="18"/>
                <w:szCs w:val="18"/>
                <w:lang w:eastAsia="en-GB" w:bidi="ar-SA"/>
              </w:rPr>
            </w:pPr>
          </w:p>
        </w:tc>
        <w:tc>
          <w:tcPr>
            <w:tcW w:w="767" w:type="dxa"/>
            <w:tcBorders>
              <w:top w:val="nil"/>
              <w:left w:val="nil"/>
              <w:bottom w:val="single" w:sz="4" w:space="0" w:color="auto"/>
              <w:right w:val="single" w:sz="4" w:space="0" w:color="auto"/>
            </w:tcBorders>
            <w:shd w:val="clear" w:color="auto" w:fill="auto"/>
            <w:noWrap/>
            <w:vAlign w:val="center"/>
            <w:hideMark/>
          </w:tcPr>
          <w:p w14:paraId="37A99195" w14:textId="7B2400EE" w:rsidR="002B4066" w:rsidRPr="00DB19C7" w:rsidRDefault="002B4066" w:rsidP="002B4066">
            <w:pPr>
              <w:adjustRightInd/>
              <w:snapToGrid/>
              <w:spacing w:line="240" w:lineRule="auto"/>
              <w:jc w:val="center"/>
              <w:rPr>
                <w:color w:val="auto"/>
                <w:sz w:val="18"/>
                <w:szCs w:val="18"/>
                <w:lang w:eastAsia="en-GB" w:bidi="ar-SA"/>
              </w:rPr>
            </w:pPr>
          </w:p>
        </w:tc>
        <w:tc>
          <w:tcPr>
            <w:tcW w:w="1018" w:type="dxa"/>
            <w:tcBorders>
              <w:top w:val="nil"/>
              <w:left w:val="nil"/>
              <w:bottom w:val="single" w:sz="4" w:space="0" w:color="auto"/>
              <w:right w:val="single" w:sz="4" w:space="0" w:color="auto"/>
            </w:tcBorders>
            <w:shd w:val="clear" w:color="auto" w:fill="auto"/>
            <w:noWrap/>
            <w:vAlign w:val="center"/>
            <w:hideMark/>
          </w:tcPr>
          <w:p w14:paraId="7F42C7C8" w14:textId="2F44B3A8" w:rsidR="002B4066" w:rsidRPr="00DB19C7" w:rsidRDefault="002B4066" w:rsidP="002B4066">
            <w:pPr>
              <w:adjustRightInd/>
              <w:snapToGrid/>
              <w:spacing w:line="240" w:lineRule="auto"/>
              <w:jc w:val="center"/>
              <w:rPr>
                <w:color w:val="auto"/>
                <w:sz w:val="18"/>
                <w:szCs w:val="18"/>
                <w:lang w:eastAsia="en-GB" w:bidi="ar-SA"/>
              </w:rPr>
            </w:pPr>
          </w:p>
        </w:tc>
        <w:tc>
          <w:tcPr>
            <w:tcW w:w="1096" w:type="dxa"/>
            <w:tcBorders>
              <w:top w:val="nil"/>
              <w:left w:val="nil"/>
              <w:bottom w:val="single" w:sz="4" w:space="0" w:color="auto"/>
              <w:right w:val="single" w:sz="4" w:space="0" w:color="auto"/>
            </w:tcBorders>
            <w:shd w:val="clear" w:color="auto" w:fill="auto"/>
            <w:noWrap/>
            <w:vAlign w:val="center"/>
            <w:hideMark/>
          </w:tcPr>
          <w:p w14:paraId="3FF74EE0" w14:textId="378D27D2"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0D99ADBC" w14:textId="79ACFDFB"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5BAACE47" w14:textId="7C989119"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42B8507C" w14:textId="0403634C"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33F484F5"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567" w:type="dxa"/>
            <w:tcBorders>
              <w:top w:val="nil"/>
              <w:left w:val="nil"/>
              <w:bottom w:val="single" w:sz="4" w:space="0" w:color="auto"/>
              <w:right w:val="single" w:sz="4" w:space="0" w:color="auto"/>
            </w:tcBorders>
            <w:shd w:val="clear" w:color="auto" w:fill="auto"/>
            <w:noWrap/>
            <w:vAlign w:val="center"/>
            <w:hideMark/>
          </w:tcPr>
          <w:p w14:paraId="469D71A9" w14:textId="11050DCA"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211E454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Sieves</w:t>
            </w:r>
          </w:p>
        </w:tc>
        <w:tc>
          <w:tcPr>
            <w:tcW w:w="737" w:type="dxa"/>
            <w:tcBorders>
              <w:top w:val="nil"/>
              <w:left w:val="nil"/>
              <w:bottom w:val="single" w:sz="4" w:space="0" w:color="auto"/>
              <w:right w:val="single" w:sz="4" w:space="0" w:color="auto"/>
            </w:tcBorders>
            <w:shd w:val="clear" w:color="auto" w:fill="auto"/>
            <w:noWrap/>
            <w:vAlign w:val="center"/>
            <w:hideMark/>
          </w:tcPr>
          <w:p w14:paraId="21536E76" w14:textId="09EEB42F"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18C15FEA" w14:textId="25833296"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4D894C94" w14:textId="35387138"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274BA8ED" w14:textId="515C4B2F"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55D18488" w14:textId="614A0224"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{"citationItems":[{"id":"ITEM-1","itemData":{"DOI":"10.3303/CET1648068","ISBN":"9788895608396","ISSN":"22839216","abstract":"A modified Hartmann tube apparatus was used to study the explosivity properties of dusts from torrefied biomass pellets. The sensitivity of the dusts to explode was assessed by determining the minimum ignition energies (MIE) and the minimum explosible concentrations (MEC). The severity of the explosion was evaluated by flame front velocity (FFV) measurements via a method developed by ECN. A comparison was made with reference materials like white wood and coal dusts. Dust from torrefied biomass pellets presented MIE and MEC values in the same range as the white wood pellets dust, but depending on the material sometimes even higher values were obtained. The severity of an explosion of torrefied biomass dust tends to be lower when compared with white wood dust explosions, especially when comparing the impact effects of moisture, particle size and temperature, as in a real case scenario. However, torrefied biomass materials still present higher explosion reactivity than coals.","author":[{"dropping-particle":"","family":"Abelha","given":"Pedro","non-dropping-particle":"","parse-names":false,"suffix":""},{"dropping-particle":"","family":"Carbo","given":"Michiel","non-dropping-particle":"","parse-names":false,"suffix":""},{"dropping-particle":"","family":"Cieplik","given":"Mariusz","non-dropping-particle":"","parse-names":false,"suffix":""}],"container-title":"Chemical Engineering Transactions","id":"ITEM-1","issued":{"date-parts":[["2016"]]},"page":"403-408","title":"Explosivity properties of dusts from torrefied biomass pellets","type":"article-journal","volume":"48"},"uris":["http://www.mendeley.com/documents/?uuid=d999869f-fa92-40ae-93de-b15e34a53595"]}],"mendeley":{"formattedCitation":"[106]","plainTextFormattedCitation":"[106]","previouslyFormattedCitation":"[106]"},"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[106]</w:t>
            </w:r>
            <w:r w:rsidRPr="00DB19C7">
              <w:rPr>
                <w:color w:val="auto"/>
                <w:sz w:val="18"/>
                <w:szCs w:val="18"/>
                <w:lang w:eastAsia="en-GB" w:bidi="ar-SA"/>
              </w:rPr>
              <w:fldChar w:fldCharType="end"/>
            </w:r>
          </w:p>
        </w:tc>
      </w:tr>
      <w:tr w:rsidR="00DB19C7" w:rsidRPr="00DB19C7" w14:paraId="1DFE72DF" w14:textId="15E4F3F6"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352DCED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61</w:t>
            </w:r>
          </w:p>
        </w:tc>
        <w:tc>
          <w:tcPr>
            <w:tcW w:w="1746" w:type="dxa"/>
            <w:tcBorders>
              <w:top w:val="nil"/>
              <w:left w:val="nil"/>
              <w:bottom w:val="single" w:sz="4" w:space="0" w:color="auto"/>
              <w:right w:val="single" w:sz="4" w:space="0" w:color="auto"/>
            </w:tcBorders>
            <w:shd w:val="clear" w:color="auto" w:fill="auto"/>
            <w:noWrap/>
            <w:vAlign w:val="center"/>
            <w:hideMark/>
          </w:tcPr>
          <w:p w14:paraId="3963C406" w14:textId="77777777" w:rsidR="002B4066" w:rsidRPr="00DB19C7" w:rsidRDefault="002B4066" w:rsidP="002B4066">
            <w:pPr>
              <w:adjustRightInd/>
              <w:snapToGrid/>
              <w:spacing w:line="240" w:lineRule="auto"/>
              <w:jc w:val="center"/>
              <w:rPr>
                <w:color w:val="auto"/>
                <w:sz w:val="18"/>
                <w:szCs w:val="18"/>
                <w:lang w:eastAsia="en-GB" w:bidi="ar-SA"/>
              </w:rPr>
            </w:pPr>
            <w:proofErr w:type="spellStart"/>
            <w:r w:rsidRPr="00DB19C7">
              <w:rPr>
                <w:color w:val="auto"/>
                <w:sz w:val="18"/>
                <w:szCs w:val="18"/>
                <w:lang w:eastAsia="en-GB" w:bidi="ar-SA"/>
              </w:rPr>
              <w:t>Torrefied</w:t>
            </w:r>
            <w:proofErr w:type="spellEnd"/>
            <w:r w:rsidRPr="00DB19C7">
              <w:rPr>
                <w:color w:val="auto"/>
                <w:sz w:val="18"/>
                <w:szCs w:val="18"/>
                <w:lang w:eastAsia="en-GB" w:bidi="ar-SA"/>
              </w:rPr>
              <w:t xml:space="preserve"> Poplar</w:t>
            </w:r>
          </w:p>
        </w:tc>
        <w:tc>
          <w:tcPr>
            <w:tcW w:w="767" w:type="dxa"/>
            <w:tcBorders>
              <w:top w:val="nil"/>
              <w:left w:val="nil"/>
              <w:bottom w:val="single" w:sz="4" w:space="0" w:color="auto"/>
              <w:right w:val="single" w:sz="4" w:space="0" w:color="auto"/>
            </w:tcBorders>
            <w:shd w:val="clear" w:color="auto" w:fill="auto"/>
            <w:noWrap/>
            <w:vAlign w:val="center"/>
            <w:hideMark/>
          </w:tcPr>
          <w:p w14:paraId="4363F871" w14:textId="5CBD1BBF" w:rsidR="002B4066" w:rsidRPr="00DB19C7" w:rsidRDefault="002B4066" w:rsidP="002B4066">
            <w:pPr>
              <w:adjustRightInd/>
              <w:snapToGrid/>
              <w:spacing w:line="240" w:lineRule="auto"/>
              <w:jc w:val="center"/>
              <w:rPr>
                <w:color w:val="auto"/>
                <w:sz w:val="18"/>
                <w:szCs w:val="18"/>
                <w:lang w:eastAsia="en-GB" w:bidi="ar-SA"/>
              </w:rPr>
            </w:pPr>
          </w:p>
        </w:tc>
        <w:tc>
          <w:tcPr>
            <w:tcW w:w="767" w:type="dxa"/>
            <w:tcBorders>
              <w:top w:val="nil"/>
              <w:left w:val="nil"/>
              <w:bottom w:val="single" w:sz="4" w:space="0" w:color="auto"/>
              <w:right w:val="single" w:sz="4" w:space="0" w:color="auto"/>
            </w:tcBorders>
            <w:shd w:val="clear" w:color="auto" w:fill="auto"/>
            <w:noWrap/>
            <w:vAlign w:val="center"/>
            <w:hideMark/>
          </w:tcPr>
          <w:p w14:paraId="6D3ECDDB" w14:textId="5DDE47C6" w:rsidR="002B4066" w:rsidRPr="00DB19C7" w:rsidRDefault="002B4066" w:rsidP="002B4066">
            <w:pPr>
              <w:adjustRightInd/>
              <w:snapToGrid/>
              <w:spacing w:line="240" w:lineRule="auto"/>
              <w:jc w:val="center"/>
              <w:rPr>
                <w:color w:val="auto"/>
                <w:sz w:val="18"/>
                <w:szCs w:val="18"/>
                <w:lang w:eastAsia="en-GB" w:bidi="ar-SA"/>
              </w:rPr>
            </w:pPr>
          </w:p>
        </w:tc>
        <w:tc>
          <w:tcPr>
            <w:tcW w:w="1018" w:type="dxa"/>
            <w:tcBorders>
              <w:top w:val="nil"/>
              <w:left w:val="nil"/>
              <w:bottom w:val="single" w:sz="4" w:space="0" w:color="auto"/>
              <w:right w:val="single" w:sz="4" w:space="0" w:color="auto"/>
            </w:tcBorders>
            <w:shd w:val="clear" w:color="auto" w:fill="auto"/>
            <w:noWrap/>
            <w:vAlign w:val="center"/>
            <w:hideMark/>
          </w:tcPr>
          <w:p w14:paraId="1D6C3D5A" w14:textId="33746B85" w:rsidR="002B4066" w:rsidRPr="00DB19C7" w:rsidRDefault="002B4066" w:rsidP="002B4066">
            <w:pPr>
              <w:adjustRightInd/>
              <w:snapToGrid/>
              <w:spacing w:line="240" w:lineRule="auto"/>
              <w:jc w:val="center"/>
              <w:rPr>
                <w:color w:val="auto"/>
                <w:sz w:val="18"/>
                <w:szCs w:val="18"/>
                <w:lang w:eastAsia="en-GB" w:bidi="ar-SA"/>
              </w:rPr>
            </w:pPr>
          </w:p>
        </w:tc>
        <w:tc>
          <w:tcPr>
            <w:tcW w:w="1096" w:type="dxa"/>
            <w:tcBorders>
              <w:top w:val="nil"/>
              <w:left w:val="nil"/>
              <w:bottom w:val="single" w:sz="4" w:space="0" w:color="auto"/>
              <w:right w:val="single" w:sz="4" w:space="0" w:color="auto"/>
            </w:tcBorders>
            <w:shd w:val="clear" w:color="auto" w:fill="auto"/>
            <w:noWrap/>
            <w:vAlign w:val="center"/>
            <w:hideMark/>
          </w:tcPr>
          <w:p w14:paraId="5C7A63A9" w14:textId="7B4C68C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5E4E2C8D" w14:textId="144D9912"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780FF51C" w14:textId="7FF61383"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173B35DA" w14:textId="1E578FD6"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558D9747"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567" w:type="dxa"/>
            <w:tcBorders>
              <w:top w:val="nil"/>
              <w:left w:val="nil"/>
              <w:bottom w:val="single" w:sz="4" w:space="0" w:color="auto"/>
              <w:right w:val="single" w:sz="4" w:space="0" w:color="auto"/>
            </w:tcBorders>
            <w:shd w:val="clear" w:color="auto" w:fill="auto"/>
            <w:noWrap/>
            <w:vAlign w:val="center"/>
            <w:hideMark/>
          </w:tcPr>
          <w:p w14:paraId="33F169A4" w14:textId="2035D957"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4F6E932A"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Sieves</w:t>
            </w:r>
          </w:p>
        </w:tc>
        <w:tc>
          <w:tcPr>
            <w:tcW w:w="737" w:type="dxa"/>
            <w:tcBorders>
              <w:top w:val="nil"/>
              <w:left w:val="nil"/>
              <w:bottom w:val="single" w:sz="4" w:space="0" w:color="auto"/>
              <w:right w:val="single" w:sz="4" w:space="0" w:color="auto"/>
            </w:tcBorders>
            <w:shd w:val="clear" w:color="auto" w:fill="auto"/>
            <w:noWrap/>
            <w:vAlign w:val="center"/>
            <w:hideMark/>
          </w:tcPr>
          <w:p w14:paraId="6010A33F" w14:textId="4CDF94DA"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7953A4CA" w14:textId="385E5C84"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18E5D1B8" w14:textId="17100E52"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43AB4EE5" w14:textId="5E021583"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56A05CBC" w14:textId="6F40F6BE"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{"citationItems":[{"id":"ITEM-1","itemData":{"DOI":"10.3303/CET1648068","ISBN":"9788895608396","ISSN":"22839216","abstract":"A modified Hartmann tube apparatus was used to study the explosivity properties of dusts from torrefied biomass pellets. The sensitivity of the dusts to explode was assessed by determining the minimum ignition energies (MIE) and the minimum explosible concentrations (MEC). The severity of the explosion was evaluated by flame front velocity (FFV) measurements via a method developed by ECN. A comparison was made with reference materials like white wood and coal dusts. Dust from torrefied biomass pellets presented MIE and MEC values in the same range as the white wood pellets dust, but depending on the material sometimes even higher values were obtained. The severity of an explosion of torrefied biomass dust tends to be lower when compared with white wood dust explosions, especially when comparing the impact effects of moisture, particle size and temperature, as in a real case scenario. However, torrefied biomass materials still present higher explosion reactivity than coals.","author":[{"dropping-particle":"","family":"Abelha","given":"Pedro","non-dropping-particle":"","parse-names":false,"suffix":""},{"dropping-particle":"","family":"Carbo","given":"Michiel","non-dropping-particle":"","parse-names":false,"suffix":""},{"dropping-particle":"","family":"Cieplik","given":"Mariusz","non-dropping-particle":"","parse-names":false,"suffix":""}],"container-title":"Chemical Engineering Transactions","id":"ITEM-1","issued":{"date-parts":[["2016"]]},"page":"403-408","title":"Explosivity properties of dusts from torrefied biomass pellets","type":"article-journal","volume":"48"},"uris":["http://www.mendeley.com/documents/?uuid=d999869f-fa92-40ae-93de-b15e34a53595"]}],"mendeley":{"formattedCitation":"[106]","plainTextFormattedCitation":"[106]","previouslyFormattedCitation":"[106]"},"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[106]</w:t>
            </w:r>
            <w:r w:rsidRPr="00DB19C7">
              <w:rPr>
                <w:color w:val="auto"/>
                <w:sz w:val="18"/>
                <w:szCs w:val="18"/>
                <w:lang w:eastAsia="en-GB" w:bidi="ar-SA"/>
              </w:rPr>
              <w:fldChar w:fldCharType="end"/>
            </w:r>
          </w:p>
        </w:tc>
      </w:tr>
      <w:tr w:rsidR="00DB19C7" w:rsidRPr="00DB19C7" w14:paraId="582C118D" w14:textId="5ECEF316"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45899A05"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62</w:t>
            </w:r>
          </w:p>
        </w:tc>
        <w:tc>
          <w:tcPr>
            <w:tcW w:w="1746" w:type="dxa"/>
            <w:tcBorders>
              <w:top w:val="nil"/>
              <w:left w:val="nil"/>
              <w:bottom w:val="single" w:sz="4" w:space="0" w:color="auto"/>
              <w:right w:val="single" w:sz="4" w:space="0" w:color="auto"/>
            </w:tcBorders>
            <w:shd w:val="clear" w:color="auto" w:fill="auto"/>
            <w:noWrap/>
            <w:vAlign w:val="center"/>
            <w:hideMark/>
          </w:tcPr>
          <w:p w14:paraId="4AE696D2" w14:textId="77777777" w:rsidR="002B4066" w:rsidRPr="00DB19C7" w:rsidRDefault="002B4066" w:rsidP="002B4066">
            <w:pPr>
              <w:adjustRightInd/>
              <w:snapToGrid/>
              <w:spacing w:line="240" w:lineRule="auto"/>
              <w:jc w:val="center"/>
              <w:rPr>
                <w:color w:val="auto"/>
                <w:sz w:val="18"/>
                <w:szCs w:val="18"/>
                <w:lang w:eastAsia="en-GB" w:bidi="ar-SA"/>
              </w:rPr>
            </w:pPr>
            <w:proofErr w:type="spellStart"/>
            <w:r w:rsidRPr="00DB19C7">
              <w:rPr>
                <w:color w:val="auto"/>
                <w:sz w:val="18"/>
                <w:szCs w:val="18"/>
                <w:lang w:eastAsia="en-GB" w:bidi="ar-SA"/>
              </w:rPr>
              <w:t>Torrefied</w:t>
            </w:r>
            <w:proofErr w:type="spellEnd"/>
            <w:r w:rsidRPr="00DB19C7">
              <w:rPr>
                <w:color w:val="auto"/>
                <w:sz w:val="18"/>
                <w:szCs w:val="18"/>
                <w:lang w:eastAsia="en-GB" w:bidi="ar-SA"/>
              </w:rPr>
              <w:t xml:space="preserve"> Spruce</w:t>
            </w:r>
          </w:p>
        </w:tc>
        <w:tc>
          <w:tcPr>
            <w:tcW w:w="767" w:type="dxa"/>
            <w:tcBorders>
              <w:top w:val="nil"/>
              <w:left w:val="nil"/>
              <w:bottom w:val="single" w:sz="4" w:space="0" w:color="auto"/>
              <w:right w:val="single" w:sz="4" w:space="0" w:color="auto"/>
            </w:tcBorders>
            <w:shd w:val="clear" w:color="auto" w:fill="auto"/>
            <w:noWrap/>
            <w:vAlign w:val="center"/>
            <w:hideMark/>
          </w:tcPr>
          <w:p w14:paraId="0B34CA70" w14:textId="11002580" w:rsidR="002B4066" w:rsidRPr="00DB19C7" w:rsidRDefault="002B4066" w:rsidP="002B4066">
            <w:pPr>
              <w:adjustRightInd/>
              <w:snapToGrid/>
              <w:spacing w:line="240" w:lineRule="auto"/>
              <w:jc w:val="center"/>
              <w:rPr>
                <w:color w:val="auto"/>
                <w:sz w:val="18"/>
                <w:szCs w:val="18"/>
                <w:lang w:eastAsia="en-GB" w:bidi="ar-SA"/>
              </w:rPr>
            </w:pPr>
          </w:p>
        </w:tc>
        <w:tc>
          <w:tcPr>
            <w:tcW w:w="767" w:type="dxa"/>
            <w:tcBorders>
              <w:top w:val="nil"/>
              <w:left w:val="nil"/>
              <w:bottom w:val="single" w:sz="4" w:space="0" w:color="auto"/>
              <w:right w:val="single" w:sz="4" w:space="0" w:color="auto"/>
            </w:tcBorders>
            <w:shd w:val="clear" w:color="auto" w:fill="auto"/>
            <w:noWrap/>
            <w:vAlign w:val="center"/>
            <w:hideMark/>
          </w:tcPr>
          <w:p w14:paraId="0346DD7E" w14:textId="4DAB49FC" w:rsidR="002B4066" w:rsidRPr="00DB19C7" w:rsidRDefault="002B4066" w:rsidP="002B4066">
            <w:pPr>
              <w:adjustRightInd/>
              <w:snapToGrid/>
              <w:spacing w:line="240" w:lineRule="auto"/>
              <w:jc w:val="center"/>
              <w:rPr>
                <w:color w:val="auto"/>
                <w:sz w:val="18"/>
                <w:szCs w:val="18"/>
                <w:lang w:eastAsia="en-GB" w:bidi="ar-SA"/>
              </w:rPr>
            </w:pPr>
          </w:p>
        </w:tc>
        <w:tc>
          <w:tcPr>
            <w:tcW w:w="1018" w:type="dxa"/>
            <w:tcBorders>
              <w:top w:val="nil"/>
              <w:left w:val="nil"/>
              <w:bottom w:val="single" w:sz="4" w:space="0" w:color="auto"/>
              <w:right w:val="single" w:sz="4" w:space="0" w:color="auto"/>
            </w:tcBorders>
            <w:shd w:val="clear" w:color="auto" w:fill="auto"/>
            <w:noWrap/>
            <w:vAlign w:val="center"/>
            <w:hideMark/>
          </w:tcPr>
          <w:p w14:paraId="50ABE418" w14:textId="3F422203" w:rsidR="002B4066" w:rsidRPr="00DB19C7" w:rsidRDefault="002B4066" w:rsidP="002B4066">
            <w:pPr>
              <w:adjustRightInd/>
              <w:snapToGrid/>
              <w:spacing w:line="240" w:lineRule="auto"/>
              <w:jc w:val="center"/>
              <w:rPr>
                <w:color w:val="auto"/>
                <w:sz w:val="18"/>
                <w:szCs w:val="18"/>
                <w:lang w:eastAsia="en-GB" w:bidi="ar-SA"/>
              </w:rPr>
            </w:pPr>
          </w:p>
        </w:tc>
        <w:tc>
          <w:tcPr>
            <w:tcW w:w="1096" w:type="dxa"/>
            <w:tcBorders>
              <w:top w:val="nil"/>
              <w:left w:val="nil"/>
              <w:bottom w:val="single" w:sz="4" w:space="0" w:color="auto"/>
              <w:right w:val="single" w:sz="4" w:space="0" w:color="auto"/>
            </w:tcBorders>
            <w:shd w:val="clear" w:color="auto" w:fill="auto"/>
            <w:noWrap/>
            <w:vAlign w:val="center"/>
            <w:hideMark/>
          </w:tcPr>
          <w:p w14:paraId="6D5A44D6" w14:textId="2346DB68"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3B0FA799" w14:textId="671FA248"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629D7B1C" w14:textId="43A19227"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4E88DBE7" w14:textId="2870AE86"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73691AFC"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567" w:type="dxa"/>
            <w:tcBorders>
              <w:top w:val="nil"/>
              <w:left w:val="nil"/>
              <w:bottom w:val="single" w:sz="4" w:space="0" w:color="auto"/>
              <w:right w:val="single" w:sz="4" w:space="0" w:color="auto"/>
            </w:tcBorders>
            <w:shd w:val="clear" w:color="auto" w:fill="auto"/>
            <w:noWrap/>
            <w:vAlign w:val="center"/>
            <w:hideMark/>
          </w:tcPr>
          <w:p w14:paraId="223D2F3C" w14:textId="05E401AE"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2049C3AD"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Sieves</w:t>
            </w:r>
          </w:p>
        </w:tc>
        <w:tc>
          <w:tcPr>
            <w:tcW w:w="737" w:type="dxa"/>
            <w:tcBorders>
              <w:top w:val="nil"/>
              <w:left w:val="nil"/>
              <w:bottom w:val="single" w:sz="4" w:space="0" w:color="auto"/>
              <w:right w:val="single" w:sz="4" w:space="0" w:color="auto"/>
            </w:tcBorders>
            <w:shd w:val="clear" w:color="auto" w:fill="auto"/>
            <w:noWrap/>
            <w:vAlign w:val="center"/>
            <w:hideMark/>
          </w:tcPr>
          <w:p w14:paraId="48E48423" w14:textId="17213021"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01AE06B7" w14:textId="6F401324"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0C443F59" w14:textId="082B2BEA"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313EFAE6" w14:textId="7B406FC5"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2FE24B14" w14:textId="2A46C4CC"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{"citationItems":[{"id":"ITEM-1","itemData":{"DOI":"10.3303/CET1648068","ISBN":"9788895608396","ISSN":"22839216","abstract":"A modified Hartmann tube apparatus was used to study the explosivity properties of dusts from torrefied biomass pellets. The sensitivity of the dusts to explode was assessed by determining the minimum ignition energies (MIE) and the minimum explosible concentrations (MEC). The severity of the explosion was evaluated by flame front velocity (FFV) measurements via a method developed by ECN. A comparison was made with reference materials like white wood and coal dusts. Dust from torrefied biomass pellets presented MIE and MEC values in the same range as the white wood pellets dust, but depending on the material sometimes even higher values were obtained. The severity of an explosion of torrefied biomass dust tends to be lower when compared with white wood dust explosions, especially when comparing the impact effects of moisture, particle size and temperature, as in a real case scenario. However, torrefied biomass materials still present higher explosion reactivity than coals.","author":[{"dropping-particle":"","family":"Abelha","given":"Pedro","non-dropping-particle":"","parse-names":false,"suffix":""},{"dropping-particle":"","family":"Carbo","given":"Michiel","non-dropping-particle":"","parse-names":false,"suffix":""},{"dropping-particle":"","family":"Cieplik","given":"Mariusz","non-dropping-particle":"","parse-names":false,"suffix":""}],"container-title":"Chemical Engineering Transactions","id":"ITEM-1","issued":{"date-parts":[["2016"]]},"page":"403-408","title":"Explosivity properties of dusts from torrefied biomass pellets","type":"article-journal","volume":"48"},"uris":["http://www.mendeley.com/documents/?uuid=d999869f-fa92-40ae-93de-b15e34a53595"]}],"mendeley":{"formattedCitation":"[106]","plainTextFormattedCitation":"[106]","previouslyFormattedCitation":"[106]"},"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[106]</w:t>
            </w:r>
            <w:r w:rsidRPr="00DB19C7">
              <w:rPr>
                <w:color w:val="auto"/>
                <w:sz w:val="18"/>
                <w:szCs w:val="18"/>
                <w:lang w:eastAsia="en-GB" w:bidi="ar-SA"/>
              </w:rPr>
              <w:fldChar w:fldCharType="end"/>
            </w:r>
          </w:p>
        </w:tc>
      </w:tr>
      <w:tr w:rsidR="00DB19C7" w:rsidRPr="00DB19C7" w14:paraId="5EB1C47D" w14:textId="5C777888"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2DAA2E2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63</w:t>
            </w:r>
          </w:p>
        </w:tc>
        <w:tc>
          <w:tcPr>
            <w:tcW w:w="1746" w:type="dxa"/>
            <w:tcBorders>
              <w:top w:val="nil"/>
              <w:left w:val="nil"/>
              <w:bottom w:val="single" w:sz="4" w:space="0" w:color="auto"/>
              <w:right w:val="single" w:sz="4" w:space="0" w:color="auto"/>
            </w:tcBorders>
            <w:shd w:val="clear" w:color="auto" w:fill="auto"/>
            <w:noWrap/>
            <w:vAlign w:val="center"/>
            <w:hideMark/>
          </w:tcPr>
          <w:p w14:paraId="74BA04FB" w14:textId="77777777" w:rsidR="002B4066" w:rsidRPr="00DB19C7" w:rsidRDefault="002B4066" w:rsidP="002B4066">
            <w:pPr>
              <w:adjustRightInd/>
              <w:snapToGrid/>
              <w:spacing w:line="240" w:lineRule="auto"/>
              <w:jc w:val="center"/>
              <w:rPr>
                <w:color w:val="auto"/>
                <w:sz w:val="18"/>
                <w:szCs w:val="18"/>
                <w:lang w:eastAsia="en-GB" w:bidi="ar-SA"/>
              </w:rPr>
            </w:pPr>
            <w:proofErr w:type="spellStart"/>
            <w:r w:rsidRPr="00DB19C7">
              <w:rPr>
                <w:color w:val="auto"/>
                <w:sz w:val="18"/>
                <w:szCs w:val="18"/>
                <w:lang w:eastAsia="en-GB" w:bidi="ar-SA"/>
              </w:rPr>
              <w:t>Torrefied</w:t>
            </w:r>
            <w:proofErr w:type="spellEnd"/>
            <w:r w:rsidRPr="00DB19C7">
              <w:rPr>
                <w:color w:val="auto"/>
                <w:sz w:val="18"/>
                <w:szCs w:val="18"/>
                <w:lang w:eastAsia="en-GB" w:bidi="ar-SA"/>
              </w:rPr>
              <w:t xml:space="preserve"> wood pellets</w:t>
            </w:r>
          </w:p>
        </w:tc>
        <w:tc>
          <w:tcPr>
            <w:tcW w:w="767" w:type="dxa"/>
            <w:tcBorders>
              <w:top w:val="nil"/>
              <w:left w:val="nil"/>
              <w:bottom w:val="single" w:sz="4" w:space="0" w:color="auto"/>
              <w:right w:val="single" w:sz="4" w:space="0" w:color="auto"/>
            </w:tcBorders>
            <w:shd w:val="clear" w:color="auto" w:fill="auto"/>
            <w:noWrap/>
            <w:vAlign w:val="center"/>
            <w:hideMark/>
          </w:tcPr>
          <w:p w14:paraId="1F5DF777" w14:textId="720CC882" w:rsidR="002B4066" w:rsidRPr="00DB19C7" w:rsidRDefault="002B4066" w:rsidP="002B4066">
            <w:pPr>
              <w:adjustRightInd/>
              <w:snapToGrid/>
              <w:spacing w:line="240" w:lineRule="auto"/>
              <w:jc w:val="center"/>
              <w:rPr>
                <w:color w:val="auto"/>
                <w:sz w:val="18"/>
                <w:szCs w:val="18"/>
                <w:lang w:eastAsia="en-GB" w:bidi="ar-SA"/>
              </w:rPr>
            </w:pPr>
          </w:p>
        </w:tc>
        <w:tc>
          <w:tcPr>
            <w:tcW w:w="767" w:type="dxa"/>
            <w:tcBorders>
              <w:top w:val="nil"/>
              <w:left w:val="nil"/>
              <w:bottom w:val="single" w:sz="4" w:space="0" w:color="auto"/>
              <w:right w:val="single" w:sz="4" w:space="0" w:color="auto"/>
            </w:tcBorders>
            <w:shd w:val="clear" w:color="auto" w:fill="auto"/>
            <w:noWrap/>
            <w:vAlign w:val="center"/>
            <w:hideMark/>
          </w:tcPr>
          <w:p w14:paraId="72EB4175"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104</w:t>
            </w:r>
          </w:p>
        </w:tc>
        <w:tc>
          <w:tcPr>
            <w:tcW w:w="1018" w:type="dxa"/>
            <w:tcBorders>
              <w:top w:val="nil"/>
              <w:left w:val="nil"/>
              <w:bottom w:val="single" w:sz="4" w:space="0" w:color="auto"/>
              <w:right w:val="single" w:sz="4" w:space="0" w:color="auto"/>
            </w:tcBorders>
            <w:shd w:val="clear" w:color="auto" w:fill="auto"/>
            <w:noWrap/>
            <w:vAlign w:val="center"/>
            <w:hideMark/>
          </w:tcPr>
          <w:p w14:paraId="463B0C4E" w14:textId="6F750B73" w:rsidR="002B4066" w:rsidRPr="00DB19C7" w:rsidRDefault="002B4066" w:rsidP="002B4066">
            <w:pPr>
              <w:adjustRightInd/>
              <w:snapToGrid/>
              <w:spacing w:line="240" w:lineRule="auto"/>
              <w:jc w:val="center"/>
              <w:rPr>
                <w:color w:val="auto"/>
                <w:sz w:val="18"/>
                <w:szCs w:val="18"/>
                <w:lang w:eastAsia="en-GB" w:bidi="ar-SA"/>
              </w:rPr>
            </w:pPr>
          </w:p>
        </w:tc>
        <w:tc>
          <w:tcPr>
            <w:tcW w:w="1096" w:type="dxa"/>
            <w:tcBorders>
              <w:top w:val="nil"/>
              <w:left w:val="nil"/>
              <w:bottom w:val="single" w:sz="4" w:space="0" w:color="auto"/>
              <w:right w:val="single" w:sz="4" w:space="0" w:color="auto"/>
            </w:tcBorders>
            <w:shd w:val="clear" w:color="auto" w:fill="auto"/>
            <w:noWrap/>
            <w:vAlign w:val="center"/>
            <w:hideMark/>
          </w:tcPr>
          <w:p w14:paraId="6253EE44" w14:textId="0EDD49A5"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48E8900D"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154.8</w:t>
            </w:r>
          </w:p>
        </w:tc>
        <w:tc>
          <w:tcPr>
            <w:tcW w:w="765" w:type="dxa"/>
            <w:tcBorders>
              <w:top w:val="nil"/>
              <w:left w:val="nil"/>
              <w:bottom w:val="single" w:sz="4" w:space="0" w:color="auto"/>
              <w:right w:val="single" w:sz="4" w:space="0" w:color="auto"/>
            </w:tcBorders>
            <w:shd w:val="clear" w:color="auto" w:fill="auto"/>
            <w:noWrap/>
            <w:vAlign w:val="center"/>
            <w:hideMark/>
          </w:tcPr>
          <w:p w14:paraId="1CEB2B66"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46</w:t>
            </w:r>
          </w:p>
        </w:tc>
        <w:tc>
          <w:tcPr>
            <w:tcW w:w="1199" w:type="dxa"/>
            <w:tcBorders>
              <w:top w:val="nil"/>
              <w:left w:val="nil"/>
              <w:bottom w:val="single" w:sz="4" w:space="0" w:color="auto"/>
              <w:right w:val="single" w:sz="4" w:space="0" w:color="auto"/>
            </w:tcBorders>
            <w:shd w:val="clear" w:color="auto" w:fill="auto"/>
            <w:noWrap/>
            <w:vAlign w:val="center"/>
            <w:hideMark/>
          </w:tcPr>
          <w:p w14:paraId="04ECB862" w14:textId="3585027B"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0.13</w:t>
            </w:r>
          </w:p>
        </w:tc>
        <w:tc>
          <w:tcPr>
            <w:tcW w:w="1137" w:type="dxa"/>
            <w:tcBorders>
              <w:top w:val="nil"/>
              <w:left w:val="nil"/>
              <w:bottom w:val="single" w:sz="4" w:space="0" w:color="auto"/>
              <w:right w:val="single" w:sz="4" w:space="0" w:color="auto"/>
            </w:tcBorders>
            <w:shd w:val="clear" w:color="auto" w:fill="auto"/>
            <w:noWrap/>
            <w:vAlign w:val="center"/>
            <w:hideMark/>
          </w:tcPr>
          <w:p w14:paraId="086A304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567" w:type="dxa"/>
            <w:tcBorders>
              <w:top w:val="nil"/>
              <w:left w:val="nil"/>
              <w:bottom w:val="single" w:sz="4" w:space="0" w:color="auto"/>
              <w:right w:val="single" w:sz="4" w:space="0" w:color="auto"/>
            </w:tcBorders>
            <w:shd w:val="clear" w:color="auto" w:fill="auto"/>
            <w:noWrap/>
            <w:vAlign w:val="center"/>
            <w:hideMark/>
          </w:tcPr>
          <w:p w14:paraId="6CCB528F" w14:textId="78452E17"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4F2B235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44F6E5DE" w14:textId="1106172D"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4EDD50C3" w14:textId="31B3E5B3"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1B701DE3" w14:textId="5D7FE163"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37374729" w14:textId="0DF6793F"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50DE425B" w14:textId="77F87DA1"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{"citationItems":[{"id":"ITEM-1","itemData":{"DOI":"10.1007/s10694-018-0782-3","ISSN":"1572-8099","abstract":"Dust layers are present in every industrial facility where solid materials are generated or processed. The emergence of new fuels with still unknown flammability properties generates an increase on the risks related with these facilities that needs to be further studied. Most of these biomasses are susceptible to exothermically react, acting as an ignition source and causing fires and explosions. One of the most common causes of explosions is the ignition of dust layers deposited on the equipment, which could be avoided by a better understanding of the materials. However, the ignitability of these layers depend on several parameters as the particle size and the density of the deposited materials. This paper reports experimental work on hot surface ignition temperatures of layers of different fuels, both biofuels, such as wood or sewage sludge, and fossil fuels, coal and coke. It shows that the common practices that are well-known for fossil fuels cannot be directly extrapolated to new fuels. Unlike fossil fuels, wood-based materials present the same ignition risk in dust and bulk size, so an increase on the particle size does not ensure a safer work space. Furthermore, compacting these materials can increase the ignition risk of these type of layers, contrary to the common practices for fossil fuels storages. These differences point out the need of a complete characterisation of each material to ensure a safe working facility.","author":[{"dropping-particle":"","family":"Fernandez-Anez","given":"Nieves","non-dropping-particle":"","parse-names":false,"suffix":""},{"dropping-particle":"","family":"Garcia-Torrent","given":"Javier","non-dropping-particle":"","parse-names":false,"suffix":""}],"container-title":"Fire Technology","id":"ITEM-1","issue":"1","issued":{"date-parts":[["2019"]]},"page":"175-191","title":"Influence of Particle Size and Density on the Hot Surface Ignition of Solid Fuel Layers","type":"article-journal","volume":"55"},"uris":["http://www.mendeley.com/documents/?uuid=f107a61e-81cb-4767-8f95-3d5cff660de0"]}],"mendeley":{"formattedCitation":"[28]","plainTextFormattedCitation":"[28]","previouslyFormattedCitation":"[28]"},"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[28]</w:t>
            </w:r>
            <w:r w:rsidRPr="00DB19C7">
              <w:rPr>
                <w:color w:val="auto"/>
                <w:sz w:val="18"/>
                <w:szCs w:val="18"/>
                <w:lang w:eastAsia="en-GB" w:bidi="ar-SA"/>
              </w:rPr>
              <w:fldChar w:fldCharType="end"/>
            </w:r>
          </w:p>
        </w:tc>
      </w:tr>
      <w:tr w:rsidR="00DB19C7" w:rsidRPr="00DB19C7" w14:paraId="3DB20947" w14:textId="3D860492"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64CBCC05"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lastRenderedPageBreak/>
              <w:t>64</w:t>
            </w:r>
          </w:p>
        </w:tc>
        <w:tc>
          <w:tcPr>
            <w:tcW w:w="1746" w:type="dxa"/>
            <w:tcBorders>
              <w:top w:val="nil"/>
              <w:left w:val="nil"/>
              <w:bottom w:val="single" w:sz="4" w:space="0" w:color="auto"/>
              <w:right w:val="single" w:sz="4" w:space="0" w:color="auto"/>
            </w:tcBorders>
            <w:shd w:val="clear" w:color="auto" w:fill="auto"/>
            <w:noWrap/>
            <w:vAlign w:val="center"/>
            <w:hideMark/>
          </w:tcPr>
          <w:p w14:paraId="795EC922" w14:textId="77777777" w:rsidR="002B4066" w:rsidRPr="00DB19C7" w:rsidRDefault="002B4066" w:rsidP="002B4066">
            <w:pPr>
              <w:adjustRightInd/>
              <w:snapToGrid/>
              <w:spacing w:line="240" w:lineRule="auto"/>
              <w:jc w:val="center"/>
              <w:rPr>
                <w:color w:val="auto"/>
                <w:sz w:val="18"/>
                <w:szCs w:val="18"/>
                <w:lang w:eastAsia="en-GB" w:bidi="ar-SA"/>
              </w:rPr>
            </w:pPr>
            <w:proofErr w:type="spellStart"/>
            <w:r w:rsidRPr="00DB19C7">
              <w:rPr>
                <w:color w:val="auto"/>
                <w:sz w:val="18"/>
                <w:szCs w:val="18"/>
                <w:lang w:eastAsia="en-GB" w:bidi="ar-SA"/>
              </w:rPr>
              <w:t>Torrefied</w:t>
            </w:r>
            <w:proofErr w:type="spellEnd"/>
            <w:r w:rsidRPr="00DB19C7">
              <w:rPr>
                <w:color w:val="auto"/>
                <w:sz w:val="18"/>
                <w:szCs w:val="18"/>
                <w:lang w:eastAsia="en-GB" w:bidi="ar-SA"/>
              </w:rPr>
              <w:t xml:space="preserve"> wood pellets</w:t>
            </w:r>
          </w:p>
        </w:tc>
        <w:tc>
          <w:tcPr>
            <w:tcW w:w="767" w:type="dxa"/>
            <w:tcBorders>
              <w:top w:val="nil"/>
              <w:left w:val="nil"/>
              <w:bottom w:val="single" w:sz="4" w:space="0" w:color="auto"/>
              <w:right w:val="single" w:sz="4" w:space="0" w:color="auto"/>
            </w:tcBorders>
            <w:shd w:val="clear" w:color="auto" w:fill="auto"/>
            <w:noWrap/>
            <w:vAlign w:val="center"/>
            <w:hideMark/>
          </w:tcPr>
          <w:p w14:paraId="44571E14" w14:textId="4396170A" w:rsidR="002B4066" w:rsidRPr="00DB19C7" w:rsidRDefault="002B4066" w:rsidP="002B4066">
            <w:pPr>
              <w:adjustRightInd/>
              <w:snapToGrid/>
              <w:spacing w:line="240" w:lineRule="auto"/>
              <w:jc w:val="center"/>
              <w:rPr>
                <w:color w:val="auto"/>
                <w:sz w:val="18"/>
                <w:szCs w:val="18"/>
                <w:lang w:eastAsia="en-GB" w:bidi="ar-SA"/>
              </w:rPr>
            </w:pPr>
          </w:p>
        </w:tc>
        <w:tc>
          <w:tcPr>
            <w:tcW w:w="767" w:type="dxa"/>
            <w:tcBorders>
              <w:top w:val="nil"/>
              <w:left w:val="nil"/>
              <w:bottom w:val="single" w:sz="4" w:space="0" w:color="auto"/>
              <w:right w:val="single" w:sz="4" w:space="0" w:color="auto"/>
            </w:tcBorders>
            <w:shd w:val="clear" w:color="auto" w:fill="auto"/>
            <w:noWrap/>
            <w:vAlign w:val="center"/>
            <w:hideMark/>
          </w:tcPr>
          <w:p w14:paraId="5D29C18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3500</w:t>
            </w:r>
          </w:p>
        </w:tc>
        <w:tc>
          <w:tcPr>
            <w:tcW w:w="1018" w:type="dxa"/>
            <w:tcBorders>
              <w:top w:val="nil"/>
              <w:left w:val="nil"/>
              <w:bottom w:val="single" w:sz="4" w:space="0" w:color="auto"/>
              <w:right w:val="single" w:sz="4" w:space="0" w:color="auto"/>
            </w:tcBorders>
            <w:shd w:val="clear" w:color="auto" w:fill="auto"/>
            <w:noWrap/>
            <w:vAlign w:val="center"/>
            <w:hideMark/>
          </w:tcPr>
          <w:p w14:paraId="25F13C58" w14:textId="6FFEBA77" w:rsidR="002B4066" w:rsidRPr="00DB19C7" w:rsidRDefault="002B4066" w:rsidP="002B4066">
            <w:pPr>
              <w:adjustRightInd/>
              <w:snapToGrid/>
              <w:spacing w:line="240" w:lineRule="auto"/>
              <w:jc w:val="center"/>
              <w:rPr>
                <w:color w:val="auto"/>
                <w:sz w:val="18"/>
                <w:szCs w:val="18"/>
                <w:lang w:eastAsia="en-GB" w:bidi="ar-SA"/>
              </w:rPr>
            </w:pPr>
          </w:p>
        </w:tc>
        <w:tc>
          <w:tcPr>
            <w:tcW w:w="1096" w:type="dxa"/>
            <w:tcBorders>
              <w:top w:val="nil"/>
              <w:left w:val="nil"/>
              <w:bottom w:val="single" w:sz="4" w:space="0" w:color="auto"/>
              <w:right w:val="single" w:sz="4" w:space="0" w:color="auto"/>
            </w:tcBorders>
            <w:shd w:val="clear" w:color="auto" w:fill="auto"/>
            <w:noWrap/>
            <w:vAlign w:val="center"/>
            <w:hideMark/>
          </w:tcPr>
          <w:p w14:paraId="32A4C493" w14:textId="05929B0D"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7616159D" w14:textId="1A444D49"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48481C8C" w14:textId="4955AC48"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117C1216" w14:textId="76BF19EC"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5FCE86B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567" w:type="dxa"/>
            <w:tcBorders>
              <w:top w:val="nil"/>
              <w:left w:val="nil"/>
              <w:bottom w:val="single" w:sz="4" w:space="0" w:color="auto"/>
              <w:right w:val="single" w:sz="4" w:space="0" w:color="auto"/>
            </w:tcBorders>
            <w:shd w:val="clear" w:color="auto" w:fill="auto"/>
            <w:noWrap/>
            <w:vAlign w:val="center"/>
            <w:hideMark/>
          </w:tcPr>
          <w:p w14:paraId="1112370E" w14:textId="1C5275C9"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02D6C624"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Sieves</w:t>
            </w:r>
          </w:p>
        </w:tc>
        <w:tc>
          <w:tcPr>
            <w:tcW w:w="737" w:type="dxa"/>
            <w:tcBorders>
              <w:top w:val="nil"/>
              <w:left w:val="nil"/>
              <w:bottom w:val="single" w:sz="4" w:space="0" w:color="auto"/>
              <w:right w:val="single" w:sz="4" w:space="0" w:color="auto"/>
            </w:tcBorders>
            <w:shd w:val="clear" w:color="auto" w:fill="auto"/>
            <w:noWrap/>
            <w:vAlign w:val="center"/>
            <w:hideMark/>
          </w:tcPr>
          <w:p w14:paraId="047C1372" w14:textId="227D6E06"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2702B105" w14:textId="40F29307"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2D4DC48E" w14:textId="34FF4BE2"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1B7A4B93" w14:textId="410EFCDC"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0FB85677" w14:textId="12F87A2F"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{"citationItems":[{"id":"ITEM-1","itemData":{"DOI":"10.1007/s10694-018-0782-3","ISSN":"1572-8099","abstract":"Dust layers are present in every industrial facility where solid materials are generated or processed. The emergence of new fuels with still unknown flammability properties generates an increase on the risks related with these facilities that needs to be further studied. Most of these biomasses are susceptible to exothermically react, acting as an ignition source and causing fires and explosions. One of the most common causes of explosions is the ignition of dust layers deposited on the equipment, which could be avoided by a better understanding of the materials. However, the ignitability of these layers depend on several parameters as the particle size and the density of the deposited materials. This paper reports experimental work on hot surface ignition temperatures of layers of different fuels, both biofuels, such as wood or sewage sludge, and fossil fuels, coal and coke. It shows that the common practices that are well-known for fossil fuels cannot be directly extrapolated to new fuels. Unlike fossil fuels, wood-based materials present the same ignition risk in dust and bulk size, so an increase on the particle size does not ensure a safer work space. Furthermore, compacting these materials can increase the ignition risk of these type of layers, contrary to the common practices for fossil fuels storages. These differences point out the need of a complete characterisation of each material to ensure a safe working facility.","author":[{"dropping-particle":"","family":"Fernandez-Anez","given":"Nieves","non-dropping-particle":"","parse-names":false,"suffix":""},{"dropping-particle":"","family":"Garcia-Torrent","given":"Javier","non-dropping-particle":"","parse-names":false,"suffix":""}],"container-title":"Fire Technology","id":"ITEM-1","issue":"1","issued":{"date-parts":[["2019"]]},"page":"175-191","title":"Influence of Particle Size and Density on the Hot Surface Ignition of Solid Fuel Layers","type":"article-journal","volume":"55"},"uris":["http://www.mendeley.com/documents/?uuid=f107a61e-81cb-4767-8f95-3d5cff660de0"]}],"mendeley":{"formattedCitation":"[28]","plainTextFormattedCitation":"[28]","previouslyFormattedCitation":"[28]"},"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[28]</w:t>
            </w:r>
            <w:r w:rsidRPr="00DB19C7">
              <w:rPr>
                <w:color w:val="auto"/>
                <w:sz w:val="18"/>
                <w:szCs w:val="18"/>
                <w:lang w:eastAsia="en-GB" w:bidi="ar-SA"/>
              </w:rPr>
              <w:fldChar w:fldCharType="end"/>
            </w:r>
          </w:p>
        </w:tc>
      </w:tr>
      <w:tr w:rsidR="00DB19C7" w:rsidRPr="00DB19C7" w14:paraId="2B2C3EAA" w14:textId="5B1C2DD2"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721AB3D5"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65</w:t>
            </w:r>
          </w:p>
        </w:tc>
        <w:tc>
          <w:tcPr>
            <w:tcW w:w="1746" w:type="dxa"/>
            <w:tcBorders>
              <w:top w:val="nil"/>
              <w:left w:val="nil"/>
              <w:bottom w:val="single" w:sz="4" w:space="0" w:color="auto"/>
              <w:right w:val="single" w:sz="4" w:space="0" w:color="auto"/>
            </w:tcBorders>
            <w:shd w:val="clear" w:color="auto" w:fill="auto"/>
            <w:noWrap/>
            <w:vAlign w:val="center"/>
            <w:hideMark/>
          </w:tcPr>
          <w:p w14:paraId="0571DC08" w14:textId="77777777" w:rsidR="002B4066" w:rsidRPr="00DB19C7" w:rsidRDefault="002B4066" w:rsidP="002B4066">
            <w:pPr>
              <w:adjustRightInd/>
              <w:snapToGrid/>
              <w:spacing w:line="240" w:lineRule="auto"/>
              <w:jc w:val="center"/>
              <w:rPr>
                <w:color w:val="auto"/>
                <w:sz w:val="18"/>
                <w:szCs w:val="18"/>
                <w:lang w:eastAsia="en-GB" w:bidi="ar-SA"/>
              </w:rPr>
            </w:pPr>
            <w:proofErr w:type="spellStart"/>
            <w:r w:rsidRPr="00DB19C7">
              <w:rPr>
                <w:color w:val="auto"/>
                <w:sz w:val="18"/>
                <w:szCs w:val="18"/>
                <w:lang w:eastAsia="en-GB" w:bidi="ar-SA"/>
              </w:rPr>
              <w:t>Torrified</w:t>
            </w:r>
            <w:proofErr w:type="spellEnd"/>
            <w:r w:rsidRPr="00DB19C7">
              <w:rPr>
                <w:color w:val="auto"/>
                <w:sz w:val="18"/>
                <w:szCs w:val="18"/>
                <w:lang w:eastAsia="en-GB" w:bidi="ar-SA"/>
              </w:rPr>
              <w:t xml:space="preserve"> Norway spruce</w:t>
            </w:r>
          </w:p>
        </w:tc>
        <w:tc>
          <w:tcPr>
            <w:tcW w:w="767" w:type="dxa"/>
            <w:tcBorders>
              <w:top w:val="nil"/>
              <w:left w:val="nil"/>
              <w:bottom w:val="single" w:sz="4" w:space="0" w:color="auto"/>
              <w:right w:val="single" w:sz="4" w:space="0" w:color="auto"/>
            </w:tcBorders>
            <w:shd w:val="clear" w:color="auto" w:fill="auto"/>
            <w:noWrap/>
            <w:vAlign w:val="center"/>
            <w:hideMark/>
          </w:tcPr>
          <w:p w14:paraId="7C12D6E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15</w:t>
            </w:r>
          </w:p>
        </w:tc>
        <w:tc>
          <w:tcPr>
            <w:tcW w:w="767" w:type="dxa"/>
            <w:tcBorders>
              <w:top w:val="nil"/>
              <w:left w:val="nil"/>
              <w:bottom w:val="single" w:sz="4" w:space="0" w:color="auto"/>
              <w:right w:val="single" w:sz="4" w:space="0" w:color="auto"/>
            </w:tcBorders>
            <w:shd w:val="clear" w:color="auto" w:fill="auto"/>
            <w:noWrap/>
            <w:vAlign w:val="center"/>
            <w:hideMark/>
          </w:tcPr>
          <w:p w14:paraId="79CA4383"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67</w:t>
            </w:r>
          </w:p>
        </w:tc>
        <w:tc>
          <w:tcPr>
            <w:tcW w:w="1018" w:type="dxa"/>
            <w:tcBorders>
              <w:top w:val="nil"/>
              <w:left w:val="nil"/>
              <w:bottom w:val="single" w:sz="4" w:space="0" w:color="auto"/>
              <w:right w:val="single" w:sz="4" w:space="0" w:color="auto"/>
            </w:tcBorders>
            <w:shd w:val="clear" w:color="auto" w:fill="auto"/>
            <w:noWrap/>
            <w:vAlign w:val="center"/>
            <w:hideMark/>
          </w:tcPr>
          <w:p w14:paraId="5F8CE768"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281</w:t>
            </w:r>
          </w:p>
        </w:tc>
        <w:tc>
          <w:tcPr>
            <w:tcW w:w="1096" w:type="dxa"/>
            <w:tcBorders>
              <w:top w:val="nil"/>
              <w:left w:val="nil"/>
              <w:bottom w:val="single" w:sz="4" w:space="0" w:color="auto"/>
              <w:right w:val="single" w:sz="4" w:space="0" w:color="auto"/>
            </w:tcBorders>
            <w:shd w:val="clear" w:color="auto" w:fill="auto"/>
            <w:noWrap/>
            <w:vAlign w:val="center"/>
            <w:hideMark/>
          </w:tcPr>
          <w:p w14:paraId="3B96737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w:t>
            </w:r>
          </w:p>
        </w:tc>
        <w:tc>
          <w:tcPr>
            <w:tcW w:w="767" w:type="dxa"/>
            <w:tcBorders>
              <w:top w:val="nil"/>
              <w:left w:val="nil"/>
              <w:bottom w:val="single" w:sz="4" w:space="0" w:color="auto"/>
              <w:right w:val="single" w:sz="4" w:space="0" w:color="auto"/>
            </w:tcBorders>
            <w:shd w:val="clear" w:color="auto" w:fill="auto"/>
            <w:noWrap/>
            <w:vAlign w:val="center"/>
            <w:hideMark/>
          </w:tcPr>
          <w:p w14:paraId="15D9AC80" w14:textId="77076301"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5ABB6A6A" w14:textId="716E0A75"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62EE3C06" w14:textId="25941654"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68819203"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 - SEM</w:t>
            </w:r>
          </w:p>
        </w:tc>
        <w:tc>
          <w:tcPr>
            <w:tcW w:w="567" w:type="dxa"/>
            <w:tcBorders>
              <w:top w:val="nil"/>
              <w:left w:val="nil"/>
              <w:bottom w:val="single" w:sz="4" w:space="0" w:color="auto"/>
              <w:right w:val="single" w:sz="4" w:space="0" w:color="auto"/>
            </w:tcBorders>
            <w:shd w:val="clear" w:color="auto" w:fill="auto"/>
            <w:noWrap/>
            <w:vAlign w:val="center"/>
            <w:hideMark/>
          </w:tcPr>
          <w:p w14:paraId="4DCB6324" w14:textId="3D2956AE"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0EA7450E"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4210EFE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2.8</w:t>
            </w:r>
          </w:p>
        </w:tc>
        <w:tc>
          <w:tcPr>
            <w:tcW w:w="737" w:type="dxa"/>
            <w:tcBorders>
              <w:top w:val="nil"/>
              <w:left w:val="nil"/>
              <w:bottom w:val="single" w:sz="4" w:space="0" w:color="auto"/>
              <w:right w:val="single" w:sz="4" w:space="0" w:color="auto"/>
            </w:tcBorders>
            <w:shd w:val="clear" w:color="auto" w:fill="auto"/>
            <w:noWrap/>
            <w:vAlign w:val="center"/>
            <w:hideMark/>
          </w:tcPr>
          <w:p w14:paraId="1ED0EF4D"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77</w:t>
            </w:r>
          </w:p>
        </w:tc>
        <w:tc>
          <w:tcPr>
            <w:tcW w:w="737" w:type="dxa"/>
            <w:tcBorders>
              <w:top w:val="nil"/>
              <w:left w:val="nil"/>
              <w:bottom w:val="single" w:sz="4" w:space="0" w:color="auto"/>
              <w:right w:val="single" w:sz="4" w:space="0" w:color="auto"/>
            </w:tcBorders>
            <w:shd w:val="clear" w:color="auto" w:fill="auto"/>
            <w:noWrap/>
            <w:vAlign w:val="center"/>
            <w:hideMark/>
          </w:tcPr>
          <w:p w14:paraId="50792A26"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4.1</w:t>
            </w:r>
          </w:p>
        </w:tc>
        <w:tc>
          <w:tcPr>
            <w:tcW w:w="737" w:type="dxa"/>
            <w:tcBorders>
              <w:top w:val="nil"/>
              <w:left w:val="nil"/>
              <w:bottom w:val="single" w:sz="4" w:space="0" w:color="auto"/>
              <w:right w:val="single" w:sz="4" w:space="0" w:color="auto"/>
            </w:tcBorders>
            <w:shd w:val="clear" w:color="auto" w:fill="auto"/>
            <w:noWrap/>
            <w:vAlign w:val="center"/>
            <w:hideMark/>
          </w:tcPr>
          <w:p w14:paraId="5352D117"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15.9</w:t>
            </w:r>
          </w:p>
        </w:tc>
        <w:tc>
          <w:tcPr>
            <w:tcW w:w="617" w:type="dxa"/>
            <w:tcBorders>
              <w:top w:val="single" w:sz="4" w:space="0" w:color="auto"/>
              <w:left w:val="nil"/>
              <w:bottom w:val="single" w:sz="4" w:space="0" w:color="auto"/>
              <w:right w:val="single" w:sz="4" w:space="0" w:color="auto"/>
            </w:tcBorders>
            <w:vAlign w:val="center"/>
          </w:tcPr>
          <w:p w14:paraId="6124B0E5" w14:textId="617417BE"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{"citationItems":[{"id":"ITEM-1","itemData":{"DOI":"10.1016/j.jlp.2014.12.009","ISSN":"0950-4230","abstract":"Pulverised biomass is increasingly being used for power generation in 100% biomass plants or mixed with coal as a way of reducing greenhouse gas emissions. The fire and explosion hazards of pulverised wood and other agricultural waste materials have been recognised for some time. However, safety data for biomass are very scarce in the public literature, and non-existent for upgraded biomass products such as torrefied biomass. This is largely due to the challenges that biomass poses for explosion characterisation in the standard methods (1 m3 ISO vessel or 20 L sphere). The authors have developed and calibrated a new system for the 1 m3 ISO vessel that overcomes these challenges. In this work we present the first data in the open literature for the explosion characteristics of torrefied biomass. Results for untreated Norway spruce wood and Kellingley coal are also included for comparison. Flame speeds and post-explosion residue analysis results are also presented. Torrefied spruce wood was found to be more reactive than Kellingley coal and slightly more reactive than its parent material in terms of KSt, Pmax and flame speed. The differences between coal and biomass samples highlight that it should not be assumed that safety systems for coal can be applied to torrefied or raw wood materials without suitable modifications.","author":[{"dropping-particle":"","family":"Huéscar Medina","given":"Clara","non-dropping-particle":"","parse-names":false,"suffix":""},{"dropping-particle":"","family":"Sattar","given":"Hamed","non-dropping-particle":"","parse-names":false,"suffix":""},{"dropping-particle":"","family":"Phylaktou","given":"Herodotos N","non-dropping-particle":"","parse-names":false,"suffix":""},{"dropping-particle":"","family":"Andrews","given":"Gordon E","non-dropping-particle":"","parse-names":false,"suffix":""},{"dropping-particle":"","family":"Gibbs","given":"Bernard M","non-dropping-particle":"","parse-names":false,"suffix":""}],"container-title":"Journal of Loss Prevention in the Process Industries","id":"ITEM-1","issued":{"date-parts":[["2015"]]},"page":"287-295","title":"Explosion reactivity characterisation of pulverised torrefied spruce wood","type":"article-journal","volume":"36"},"uris":["http://www.mendeley.com/documents/?uuid=0f4b7f7c-9c65-4eb5-a48e-d77f7a31cef8"]}],"mendeley":{"formattedCitation":"[148]","plainTextFormattedCitation":"[148]","previouslyFormattedCitation":"[148]"},"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[148]</w:t>
            </w:r>
            <w:r w:rsidRPr="00DB19C7">
              <w:rPr>
                <w:color w:val="auto"/>
                <w:sz w:val="18"/>
                <w:szCs w:val="18"/>
                <w:lang w:eastAsia="en-GB" w:bidi="ar-SA"/>
              </w:rPr>
              <w:fldChar w:fldCharType="end"/>
            </w:r>
          </w:p>
        </w:tc>
      </w:tr>
      <w:tr w:rsidR="00DB19C7" w:rsidRPr="00DB19C7" w14:paraId="38524802" w14:textId="79DD8991"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5B6CDB65"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66</w:t>
            </w:r>
          </w:p>
        </w:tc>
        <w:tc>
          <w:tcPr>
            <w:tcW w:w="1746" w:type="dxa"/>
            <w:tcBorders>
              <w:top w:val="nil"/>
              <w:left w:val="nil"/>
              <w:bottom w:val="single" w:sz="4" w:space="0" w:color="auto"/>
              <w:right w:val="single" w:sz="4" w:space="0" w:color="auto"/>
            </w:tcBorders>
            <w:shd w:val="clear" w:color="auto" w:fill="auto"/>
            <w:noWrap/>
            <w:vAlign w:val="center"/>
            <w:hideMark/>
          </w:tcPr>
          <w:p w14:paraId="7A299126" w14:textId="77777777" w:rsidR="002B4066" w:rsidRPr="00DB19C7" w:rsidRDefault="002B4066" w:rsidP="002B4066">
            <w:pPr>
              <w:adjustRightInd/>
              <w:snapToGrid/>
              <w:spacing w:line="240" w:lineRule="auto"/>
              <w:jc w:val="center"/>
              <w:rPr>
                <w:color w:val="auto"/>
                <w:sz w:val="18"/>
                <w:szCs w:val="18"/>
                <w:lang w:eastAsia="en-GB" w:bidi="ar-SA"/>
              </w:rPr>
            </w:pPr>
            <w:proofErr w:type="spellStart"/>
            <w:r w:rsidRPr="00DB19C7">
              <w:rPr>
                <w:color w:val="auto"/>
                <w:sz w:val="18"/>
                <w:szCs w:val="18"/>
                <w:lang w:eastAsia="en-GB" w:bidi="ar-SA"/>
              </w:rPr>
              <w:t>Torrified</w:t>
            </w:r>
            <w:proofErr w:type="spellEnd"/>
            <w:r w:rsidRPr="00DB19C7">
              <w:rPr>
                <w:color w:val="auto"/>
                <w:sz w:val="18"/>
                <w:szCs w:val="18"/>
                <w:lang w:eastAsia="en-GB" w:bidi="ar-SA"/>
              </w:rPr>
              <w:t xml:space="preserve"> Norway spruce (</w:t>
            </w:r>
            <w:proofErr w:type="spellStart"/>
            <w:r w:rsidRPr="00DB19C7">
              <w:rPr>
                <w:color w:val="auto"/>
                <w:sz w:val="18"/>
                <w:szCs w:val="18"/>
                <w:lang w:eastAsia="en-GB" w:bidi="ar-SA"/>
              </w:rPr>
              <w:t>Picea</w:t>
            </w:r>
            <w:proofErr w:type="spellEnd"/>
            <w:r w:rsidRPr="00DB19C7">
              <w:rPr>
                <w:color w:val="auto"/>
                <w:sz w:val="18"/>
                <w:szCs w:val="18"/>
                <w:lang w:eastAsia="en-GB" w:bidi="ar-SA"/>
              </w:rPr>
              <w:t xml:space="preserve"> </w:t>
            </w:r>
            <w:proofErr w:type="spellStart"/>
            <w:r w:rsidRPr="00DB19C7">
              <w:rPr>
                <w:color w:val="auto"/>
                <w:sz w:val="18"/>
                <w:szCs w:val="18"/>
                <w:lang w:eastAsia="en-GB" w:bidi="ar-SA"/>
              </w:rPr>
              <w:t>abies</w:t>
            </w:r>
            <w:proofErr w:type="spellEnd"/>
            <w:r w:rsidRPr="00DB19C7">
              <w:rPr>
                <w:color w:val="auto"/>
                <w:sz w:val="18"/>
                <w:szCs w:val="18"/>
                <w:lang w:eastAsia="en-GB" w:bidi="ar-SA"/>
              </w:rPr>
              <w:t>)</w:t>
            </w:r>
          </w:p>
        </w:tc>
        <w:tc>
          <w:tcPr>
            <w:tcW w:w="767" w:type="dxa"/>
            <w:tcBorders>
              <w:top w:val="nil"/>
              <w:left w:val="nil"/>
              <w:bottom w:val="single" w:sz="4" w:space="0" w:color="auto"/>
              <w:right w:val="single" w:sz="4" w:space="0" w:color="auto"/>
            </w:tcBorders>
            <w:shd w:val="clear" w:color="auto" w:fill="auto"/>
            <w:noWrap/>
            <w:vAlign w:val="center"/>
            <w:hideMark/>
          </w:tcPr>
          <w:p w14:paraId="27B24861" w14:textId="75EF1398" w:rsidR="002B4066" w:rsidRPr="00DB19C7" w:rsidRDefault="002B4066" w:rsidP="002B4066">
            <w:pPr>
              <w:adjustRightInd/>
              <w:snapToGrid/>
              <w:spacing w:line="240" w:lineRule="auto"/>
              <w:jc w:val="center"/>
              <w:rPr>
                <w:color w:val="auto"/>
                <w:sz w:val="18"/>
                <w:szCs w:val="18"/>
                <w:lang w:eastAsia="en-GB" w:bidi="ar-SA"/>
              </w:rPr>
            </w:pPr>
          </w:p>
        </w:tc>
        <w:tc>
          <w:tcPr>
            <w:tcW w:w="767" w:type="dxa"/>
            <w:tcBorders>
              <w:top w:val="nil"/>
              <w:left w:val="nil"/>
              <w:bottom w:val="single" w:sz="4" w:space="0" w:color="auto"/>
              <w:right w:val="single" w:sz="4" w:space="0" w:color="auto"/>
            </w:tcBorders>
            <w:shd w:val="clear" w:color="auto" w:fill="auto"/>
            <w:noWrap/>
            <w:vAlign w:val="center"/>
            <w:hideMark/>
          </w:tcPr>
          <w:p w14:paraId="7D8F8887"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38.5</w:t>
            </w:r>
          </w:p>
        </w:tc>
        <w:tc>
          <w:tcPr>
            <w:tcW w:w="1018" w:type="dxa"/>
            <w:tcBorders>
              <w:top w:val="nil"/>
              <w:left w:val="nil"/>
              <w:bottom w:val="single" w:sz="4" w:space="0" w:color="auto"/>
              <w:right w:val="single" w:sz="4" w:space="0" w:color="auto"/>
            </w:tcBorders>
            <w:shd w:val="clear" w:color="auto" w:fill="auto"/>
            <w:noWrap/>
            <w:vAlign w:val="center"/>
            <w:hideMark/>
          </w:tcPr>
          <w:p w14:paraId="06759457" w14:textId="6FCFABDF" w:rsidR="002B4066" w:rsidRPr="00DB19C7" w:rsidRDefault="002B4066" w:rsidP="002B4066">
            <w:pPr>
              <w:adjustRightInd/>
              <w:snapToGrid/>
              <w:spacing w:line="240" w:lineRule="auto"/>
              <w:jc w:val="center"/>
              <w:rPr>
                <w:color w:val="auto"/>
                <w:sz w:val="18"/>
                <w:szCs w:val="18"/>
                <w:lang w:eastAsia="en-GB" w:bidi="ar-SA"/>
              </w:rPr>
            </w:pPr>
          </w:p>
        </w:tc>
        <w:tc>
          <w:tcPr>
            <w:tcW w:w="1096" w:type="dxa"/>
            <w:tcBorders>
              <w:top w:val="nil"/>
              <w:left w:val="nil"/>
              <w:bottom w:val="single" w:sz="4" w:space="0" w:color="auto"/>
              <w:right w:val="single" w:sz="4" w:space="0" w:color="auto"/>
            </w:tcBorders>
            <w:shd w:val="clear" w:color="auto" w:fill="auto"/>
            <w:noWrap/>
            <w:vAlign w:val="center"/>
            <w:hideMark/>
          </w:tcPr>
          <w:p w14:paraId="67C8734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w:t>
            </w:r>
          </w:p>
        </w:tc>
        <w:tc>
          <w:tcPr>
            <w:tcW w:w="767" w:type="dxa"/>
            <w:tcBorders>
              <w:top w:val="nil"/>
              <w:left w:val="nil"/>
              <w:bottom w:val="single" w:sz="4" w:space="0" w:color="auto"/>
              <w:right w:val="single" w:sz="4" w:space="0" w:color="auto"/>
            </w:tcBorders>
            <w:shd w:val="clear" w:color="auto" w:fill="auto"/>
            <w:noWrap/>
            <w:vAlign w:val="center"/>
            <w:hideMark/>
          </w:tcPr>
          <w:p w14:paraId="0FFBEC1A" w14:textId="0D017B62"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4E9D4B7B" w14:textId="0CE70B56"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036583B5" w14:textId="4E37A822"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2.1</w:t>
            </w:r>
          </w:p>
        </w:tc>
        <w:tc>
          <w:tcPr>
            <w:tcW w:w="1137" w:type="dxa"/>
            <w:tcBorders>
              <w:top w:val="nil"/>
              <w:left w:val="nil"/>
              <w:bottom w:val="single" w:sz="4" w:space="0" w:color="auto"/>
              <w:right w:val="single" w:sz="4" w:space="0" w:color="auto"/>
            </w:tcBorders>
            <w:shd w:val="clear" w:color="auto" w:fill="auto"/>
            <w:noWrap/>
            <w:vAlign w:val="center"/>
            <w:hideMark/>
          </w:tcPr>
          <w:p w14:paraId="687A57F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567" w:type="dxa"/>
            <w:tcBorders>
              <w:top w:val="nil"/>
              <w:left w:val="nil"/>
              <w:bottom w:val="single" w:sz="4" w:space="0" w:color="auto"/>
              <w:right w:val="single" w:sz="4" w:space="0" w:color="auto"/>
            </w:tcBorders>
            <w:shd w:val="clear" w:color="auto" w:fill="auto"/>
            <w:noWrap/>
            <w:vAlign w:val="center"/>
            <w:hideMark/>
          </w:tcPr>
          <w:p w14:paraId="388CCAA9" w14:textId="16AAA694"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0C4796E1"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w:t>
            </w:r>
          </w:p>
        </w:tc>
        <w:tc>
          <w:tcPr>
            <w:tcW w:w="737" w:type="dxa"/>
            <w:tcBorders>
              <w:top w:val="nil"/>
              <w:left w:val="nil"/>
              <w:bottom w:val="single" w:sz="4" w:space="0" w:color="auto"/>
              <w:right w:val="single" w:sz="4" w:space="0" w:color="auto"/>
            </w:tcBorders>
            <w:shd w:val="clear" w:color="auto" w:fill="auto"/>
            <w:noWrap/>
            <w:vAlign w:val="center"/>
            <w:hideMark/>
          </w:tcPr>
          <w:p w14:paraId="3173F547"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2.7</w:t>
            </w:r>
          </w:p>
        </w:tc>
        <w:tc>
          <w:tcPr>
            <w:tcW w:w="737" w:type="dxa"/>
            <w:tcBorders>
              <w:top w:val="nil"/>
              <w:left w:val="nil"/>
              <w:bottom w:val="single" w:sz="4" w:space="0" w:color="auto"/>
              <w:right w:val="single" w:sz="4" w:space="0" w:color="auto"/>
            </w:tcBorders>
            <w:shd w:val="clear" w:color="auto" w:fill="auto"/>
            <w:noWrap/>
            <w:vAlign w:val="center"/>
            <w:hideMark/>
          </w:tcPr>
          <w:p w14:paraId="48957FD5"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69.4</w:t>
            </w:r>
          </w:p>
        </w:tc>
        <w:tc>
          <w:tcPr>
            <w:tcW w:w="737" w:type="dxa"/>
            <w:tcBorders>
              <w:top w:val="nil"/>
              <w:left w:val="nil"/>
              <w:bottom w:val="single" w:sz="4" w:space="0" w:color="auto"/>
              <w:right w:val="single" w:sz="4" w:space="0" w:color="auto"/>
            </w:tcBorders>
            <w:shd w:val="clear" w:color="auto" w:fill="auto"/>
            <w:noWrap/>
            <w:vAlign w:val="center"/>
            <w:hideMark/>
          </w:tcPr>
          <w:p w14:paraId="2A55DC75"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5.8</w:t>
            </w:r>
          </w:p>
        </w:tc>
        <w:tc>
          <w:tcPr>
            <w:tcW w:w="737" w:type="dxa"/>
            <w:tcBorders>
              <w:top w:val="nil"/>
              <w:left w:val="nil"/>
              <w:bottom w:val="single" w:sz="4" w:space="0" w:color="auto"/>
              <w:right w:val="single" w:sz="4" w:space="0" w:color="auto"/>
            </w:tcBorders>
            <w:shd w:val="clear" w:color="auto" w:fill="auto"/>
            <w:noWrap/>
            <w:vAlign w:val="center"/>
            <w:hideMark/>
          </w:tcPr>
          <w:p w14:paraId="3AF7325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22.1</w:t>
            </w:r>
          </w:p>
        </w:tc>
        <w:tc>
          <w:tcPr>
            <w:tcW w:w="617" w:type="dxa"/>
            <w:tcBorders>
              <w:top w:val="single" w:sz="4" w:space="0" w:color="auto"/>
              <w:left w:val="nil"/>
              <w:bottom w:val="single" w:sz="4" w:space="0" w:color="auto"/>
              <w:right w:val="single" w:sz="4" w:space="0" w:color="auto"/>
            </w:tcBorders>
            <w:vAlign w:val="center"/>
          </w:tcPr>
          <w:p w14:paraId="6B75A6D1" w14:textId="3DBFB67B"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{"citationItems":[{"id":"ITEM-1","itemData":{"DOI":"10.1016/j.biombioe.2013.03.008","ISSN":"0961-9534","abstract":"Biomass powders, in both raw and thermally treated (torrefied) form, are used in 100% biomass fired or in coal co-fired plants for power generation. They pose significant fire and explosion risks during storage, handling, processing and combustion, and therefore their explosibility characteristics need to be assessed for the design of safe systems and operations. Wood biomass powders are difficult to characterise for explosibility through standard methods because of their bulky and fibrous nature. This has resulted in the lack of reliable data on the explosibility of these materials. In this study we present a new methodology – with example measurements – for the determination of the minimum explosible concentrations (MECs) of raw and torrefied wood biomass powders, using a modified Hartmann tube. This equipment can also be used as a fast screening tool for the determination of other reactivity parameters, such as flame speeds and rates of pressure rise, through which the most reactive mixture can be identified for more detailed measurements in the larger ISO 1 m3 vessel. MEC measurements reported in this paper showed that both raw and torrefied pulverised wood biomass, were explosible at equivalence ratios as low as 0.2. This was one-third (1/3) the corresponding concentration for Kellingley coal (measured with the same method). Flame speeds 5–10 times higher than those of coal were measured for biomass. Flame speed differences will also have a direct effect on burner performance and flame stability for systems originally designed to burn coal and now firing biomass without modifications.","author":[{"dropping-particle":"","family":"Huéscar Medina","given":"C","non-dropping-particle":"","parse-names":false,"suffix":""},{"dropping-particle":"","family":"Phylaktou","given":"H N","non-dropping-particle":"","parse-names":false,"suffix":""},{"dropping-particle":"","family":"Sattar","given":"H","non-dropping-particle":"","parse-names":false,"suffix":""},{"dropping-particle":"","family":"Andrews","given":"G E","non-dropping-particle":"","parse-names":false,"suffix":""},{"dropping-particle":"","family":"Gibbs","given":"B M","non-dropping-particle":"","parse-names":false,"suffix":""}],"container-title":"Biomass and Bioenergy","id":"ITEM-1","issued":{"date-parts":[["2013"]]},"note":"20th European Biomass Conference","page":"95-104","title":"The development of an experimental method for the determination of the minimum explosible concentration of biomass powders","type":"article-journal","volume":"53"},"uris":["http://www.mendeley.com/documents/?uuid=e460354a-e41e-4af9-ad5f-439bb23b9ee3"]}],"mendeley":{"formattedCitation":"[128]","plainTextFormattedCitation":"[128]","previouslyFormattedCitation":"[128]"},"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[128]</w:t>
            </w:r>
            <w:r w:rsidRPr="00DB19C7">
              <w:rPr>
                <w:color w:val="auto"/>
                <w:sz w:val="18"/>
                <w:szCs w:val="18"/>
                <w:lang w:eastAsia="en-GB" w:bidi="ar-SA"/>
              </w:rPr>
              <w:fldChar w:fldCharType="end"/>
            </w:r>
          </w:p>
        </w:tc>
      </w:tr>
      <w:tr w:rsidR="00DB19C7" w:rsidRPr="00DB19C7" w14:paraId="62D6F563" w14:textId="135822A9"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47A154DC"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67</w:t>
            </w:r>
          </w:p>
        </w:tc>
        <w:tc>
          <w:tcPr>
            <w:tcW w:w="1746" w:type="dxa"/>
            <w:tcBorders>
              <w:top w:val="nil"/>
              <w:left w:val="nil"/>
              <w:bottom w:val="single" w:sz="4" w:space="0" w:color="auto"/>
              <w:right w:val="single" w:sz="4" w:space="0" w:color="auto"/>
            </w:tcBorders>
            <w:shd w:val="clear" w:color="auto" w:fill="auto"/>
            <w:noWrap/>
            <w:vAlign w:val="center"/>
            <w:hideMark/>
          </w:tcPr>
          <w:p w14:paraId="1341577D" w14:textId="77777777" w:rsidR="002B4066" w:rsidRPr="00DB19C7" w:rsidRDefault="002B4066" w:rsidP="002B4066">
            <w:pPr>
              <w:adjustRightInd/>
              <w:snapToGrid/>
              <w:spacing w:line="240" w:lineRule="auto"/>
              <w:jc w:val="center"/>
              <w:rPr>
                <w:color w:val="auto"/>
                <w:sz w:val="18"/>
                <w:szCs w:val="18"/>
                <w:lang w:eastAsia="en-GB" w:bidi="ar-SA"/>
              </w:rPr>
            </w:pPr>
            <w:proofErr w:type="spellStart"/>
            <w:r w:rsidRPr="00DB19C7">
              <w:rPr>
                <w:color w:val="auto"/>
                <w:sz w:val="18"/>
                <w:szCs w:val="18"/>
                <w:lang w:eastAsia="en-GB" w:bidi="ar-SA"/>
              </w:rPr>
              <w:t>Torrified</w:t>
            </w:r>
            <w:proofErr w:type="spellEnd"/>
            <w:r w:rsidRPr="00DB19C7">
              <w:rPr>
                <w:color w:val="auto"/>
                <w:sz w:val="18"/>
                <w:szCs w:val="18"/>
                <w:lang w:eastAsia="en-GB" w:bidi="ar-SA"/>
              </w:rPr>
              <w:t xml:space="preserve"> southern pine</w:t>
            </w:r>
          </w:p>
        </w:tc>
        <w:tc>
          <w:tcPr>
            <w:tcW w:w="767" w:type="dxa"/>
            <w:tcBorders>
              <w:top w:val="nil"/>
              <w:left w:val="nil"/>
              <w:bottom w:val="single" w:sz="4" w:space="0" w:color="auto"/>
              <w:right w:val="single" w:sz="4" w:space="0" w:color="auto"/>
            </w:tcBorders>
            <w:shd w:val="clear" w:color="auto" w:fill="auto"/>
            <w:noWrap/>
            <w:vAlign w:val="center"/>
            <w:hideMark/>
          </w:tcPr>
          <w:p w14:paraId="4CC60889" w14:textId="2BC5486B" w:rsidR="002B4066" w:rsidRPr="00DB19C7" w:rsidRDefault="002B4066" w:rsidP="002B4066">
            <w:pPr>
              <w:adjustRightInd/>
              <w:snapToGrid/>
              <w:spacing w:line="240" w:lineRule="auto"/>
              <w:jc w:val="center"/>
              <w:rPr>
                <w:color w:val="auto"/>
                <w:sz w:val="18"/>
                <w:szCs w:val="18"/>
                <w:lang w:eastAsia="en-GB" w:bidi="ar-SA"/>
              </w:rPr>
            </w:pPr>
          </w:p>
        </w:tc>
        <w:tc>
          <w:tcPr>
            <w:tcW w:w="767" w:type="dxa"/>
            <w:tcBorders>
              <w:top w:val="nil"/>
              <w:left w:val="nil"/>
              <w:bottom w:val="single" w:sz="4" w:space="0" w:color="auto"/>
              <w:right w:val="single" w:sz="4" w:space="0" w:color="auto"/>
            </w:tcBorders>
            <w:shd w:val="clear" w:color="auto" w:fill="auto"/>
            <w:noWrap/>
            <w:vAlign w:val="center"/>
            <w:hideMark/>
          </w:tcPr>
          <w:p w14:paraId="64425D76"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36.6</w:t>
            </w:r>
          </w:p>
        </w:tc>
        <w:tc>
          <w:tcPr>
            <w:tcW w:w="1018" w:type="dxa"/>
            <w:tcBorders>
              <w:top w:val="nil"/>
              <w:left w:val="nil"/>
              <w:bottom w:val="single" w:sz="4" w:space="0" w:color="auto"/>
              <w:right w:val="single" w:sz="4" w:space="0" w:color="auto"/>
            </w:tcBorders>
            <w:shd w:val="clear" w:color="auto" w:fill="auto"/>
            <w:noWrap/>
            <w:vAlign w:val="center"/>
            <w:hideMark/>
          </w:tcPr>
          <w:p w14:paraId="61087512" w14:textId="4A7803BE" w:rsidR="002B4066" w:rsidRPr="00DB19C7" w:rsidRDefault="002B4066" w:rsidP="002B4066">
            <w:pPr>
              <w:adjustRightInd/>
              <w:snapToGrid/>
              <w:spacing w:line="240" w:lineRule="auto"/>
              <w:jc w:val="center"/>
              <w:rPr>
                <w:color w:val="auto"/>
                <w:sz w:val="18"/>
                <w:szCs w:val="18"/>
                <w:lang w:eastAsia="en-GB" w:bidi="ar-SA"/>
              </w:rPr>
            </w:pPr>
          </w:p>
        </w:tc>
        <w:tc>
          <w:tcPr>
            <w:tcW w:w="1096" w:type="dxa"/>
            <w:tcBorders>
              <w:top w:val="nil"/>
              <w:left w:val="nil"/>
              <w:bottom w:val="single" w:sz="4" w:space="0" w:color="auto"/>
              <w:right w:val="single" w:sz="4" w:space="0" w:color="auto"/>
            </w:tcBorders>
            <w:shd w:val="clear" w:color="auto" w:fill="auto"/>
            <w:noWrap/>
            <w:vAlign w:val="center"/>
            <w:hideMark/>
          </w:tcPr>
          <w:p w14:paraId="1C802163"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w:t>
            </w:r>
          </w:p>
        </w:tc>
        <w:tc>
          <w:tcPr>
            <w:tcW w:w="767" w:type="dxa"/>
            <w:tcBorders>
              <w:top w:val="nil"/>
              <w:left w:val="nil"/>
              <w:bottom w:val="single" w:sz="4" w:space="0" w:color="auto"/>
              <w:right w:val="single" w:sz="4" w:space="0" w:color="auto"/>
            </w:tcBorders>
            <w:shd w:val="clear" w:color="auto" w:fill="auto"/>
            <w:noWrap/>
            <w:vAlign w:val="center"/>
            <w:hideMark/>
          </w:tcPr>
          <w:p w14:paraId="7A8D9160" w14:textId="793465D0"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240F1BD8" w14:textId="6A32DBF0"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72ABECA1" w14:textId="73CFB501"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1.47</w:t>
            </w:r>
          </w:p>
        </w:tc>
        <w:tc>
          <w:tcPr>
            <w:tcW w:w="1137" w:type="dxa"/>
            <w:tcBorders>
              <w:top w:val="nil"/>
              <w:left w:val="nil"/>
              <w:bottom w:val="single" w:sz="4" w:space="0" w:color="auto"/>
              <w:right w:val="single" w:sz="4" w:space="0" w:color="auto"/>
            </w:tcBorders>
            <w:shd w:val="clear" w:color="auto" w:fill="auto"/>
            <w:noWrap/>
            <w:vAlign w:val="center"/>
            <w:hideMark/>
          </w:tcPr>
          <w:p w14:paraId="48A1E169"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 - SEM</w:t>
            </w:r>
          </w:p>
        </w:tc>
        <w:tc>
          <w:tcPr>
            <w:tcW w:w="567" w:type="dxa"/>
            <w:tcBorders>
              <w:top w:val="nil"/>
              <w:left w:val="nil"/>
              <w:bottom w:val="single" w:sz="4" w:space="0" w:color="auto"/>
              <w:right w:val="single" w:sz="4" w:space="0" w:color="auto"/>
            </w:tcBorders>
            <w:shd w:val="clear" w:color="auto" w:fill="auto"/>
            <w:noWrap/>
            <w:vAlign w:val="center"/>
            <w:hideMark/>
          </w:tcPr>
          <w:p w14:paraId="05515BFB" w14:textId="3C2C7E4C"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1D424FB4"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w:t>
            </w:r>
          </w:p>
        </w:tc>
        <w:tc>
          <w:tcPr>
            <w:tcW w:w="737" w:type="dxa"/>
            <w:tcBorders>
              <w:top w:val="nil"/>
              <w:left w:val="nil"/>
              <w:bottom w:val="single" w:sz="4" w:space="0" w:color="auto"/>
              <w:right w:val="single" w:sz="4" w:space="0" w:color="auto"/>
            </w:tcBorders>
            <w:shd w:val="clear" w:color="auto" w:fill="auto"/>
            <w:noWrap/>
            <w:vAlign w:val="center"/>
            <w:hideMark/>
          </w:tcPr>
          <w:p w14:paraId="13F8639E"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3.3</w:t>
            </w:r>
          </w:p>
        </w:tc>
        <w:tc>
          <w:tcPr>
            <w:tcW w:w="737" w:type="dxa"/>
            <w:tcBorders>
              <w:top w:val="nil"/>
              <w:left w:val="nil"/>
              <w:bottom w:val="single" w:sz="4" w:space="0" w:color="auto"/>
              <w:right w:val="single" w:sz="4" w:space="0" w:color="auto"/>
            </w:tcBorders>
            <w:shd w:val="clear" w:color="auto" w:fill="auto"/>
            <w:noWrap/>
            <w:vAlign w:val="center"/>
            <w:hideMark/>
          </w:tcPr>
          <w:p w14:paraId="3B1252D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70.3</w:t>
            </w:r>
          </w:p>
        </w:tc>
        <w:tc>
          <w:tcPr>
            <w:tcW w:w="737" w:type="dxa"/>
            <w:tcBorders>
              <w:top w:val="nil"/>
              <w:left w:val="nil"/>
              <w:bottom w:val="single" w:sz="4" w:space="0" w:color="auto"/>
              <w:right w:val="single" w:sz="4" w:space="0" w:color="auto"/>
            </w:tcBorders>
            <w:shd w:val="clear" w:color="auto" w:fill="auto"/>
            <w:noWrap/>
            <w:vAlign w:val="center"/>
            <w:hideMark/>
          </w:tcPr>
          <w:p w14:paraId="490166B6"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4.3</w:t>
            </w:r>
          </w:p>
        </w:tc>
        <w:tc>
          <w:tcPr>
            <w:tcW w:w="737" w:type="dxa"/>
            <w:tcBorders>
              <w:top w:val="nil"/>
              <w:left w:val="nil"/>
              <w:bottom w:val="single" w:sz="4" w:space="0" w:color="auto"/>
              <w:right w:val="single" w:sz="4" w:space="0" w:color="auto"/>
            </w:tcBorders>
            <w:shd w:val="clear" w:color="auto" w:fill="auto"/>
            <w:noWrap/>
            <w:vAlign w:val="center"/>
            <w:hideMark/>
          </w:tcPr>
          <w:p w14:paraId="55CE3513"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22.1</w:t>
            </w:r>
          </w:p>
        </w:tc>
        <w:tc>
          <w:tcPr>
            <w:tcW w:w="617" w:type="dxa"/>
            <w:tcBorders>
              <w:top w:val="single" w:sz="4" w:space="0" w:color="auto"/>
              <w:left w:val="nil"/>
              <w:bottom w:val="single" w:sz="4" w:space="0" w:color="auto"/>
              <w:right w:val="single" w:sz="4" w:space="0" w:color="auto"/>
            </w:tcBorders>
            <w:vAlign w:val="center"/>
          </w:tcPr>
          <w:p w14:paraId="06A50285" w14:textId="7EC85A15"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{"citationItems":[{"id":"ITEM-1","itemData":{"DOI":"10.1016/j.biombioe.2013.03.008","ISSN":"0961-9534","abstract":"Biomass powders, in both raw and thermally treated (torrefied) form, are used in 100% biomass fired or in coal co-fired plants for power generation. They pose significant fire and explosion risks during storage, handling, processing and combustion, and therefore their explosibility characteristics need to be assessed for the design of safe systems and operations. Wood biomass powders are difficult to characterise for explosibility through standard methods because of their bulky and fibrous nature. This has resulted in the lack of reliable data on the explosibility of these materials. In this study we present a new methodology – with example measurements – for the determination of the minimum explosible concentrations (MECs) of raw and torrefied wood biomass powders, using a modified Hartmann tube. This equipment can also be used as a fast screening tool for the determination of other reactivity parameters, such as flame speeds and rates of pressure rise, through which the most reactive mixture can be identified for more detailed measurements in the larger ISO 1 m3 vessel. MEC measurements reported in this paper showed that both raw and torrefied pulverised wood biomass, were explosible at equivalence ratios as low as 0.2. This was one-third (1/3) the corresponding concentration for Kellingley coal (measured with the same method). Flame speeds 5–10 times higher than those of coal were measured for biomass. Flame speed differences will also have a direct effect on burner performance and flame stability for systems originally designed to burn coal and now firing biomass without modifications.","author":[{"dropping-particle":"","family":"Huéscar Medina","given":"C","non-dropping-particle":"","parse-names":false,"suffix":""},{"dropping-particle":"","family":"Phylaktou","given":"H N","non-dropping-particle":"","parse-names":false,"suffix":""},{"dropping-particle":"","family":"Sattar","given":"H","non-dropping-particle":"","parse-names":false,"suffix":""},{"dropping-particle":"","family":"Andrews","given":"G E","non-dropping-particle":"","parse-names":false,"suffix":""},{"dropping-particle":"","family":"Gibbs","given":"B M","non-dropping-particle":"","parse-names":false,"suffix":""}],"container-title":"Biomass and Bioenergy","id":"ITEM-1","issued":{"date-parts":[["2013"]]},"note":"20th European Biomass Conference","page":"95-104","title":"The development of an experimental method for the determination of the minimum explosible concentration of biomass powders","type":"article-journal","volume":"53"},"uris":["http://www.mendeley.com/documents/?uuid=e460354a-e41e-4af9-ad5f-439bb23b9ee3"]}],"mendeley":{"formattedCitation":"[128]","plainTextFormattedCitation":"[128]","previouslyFormattedCitation":"[128]"},"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[128]</w:t>
            </w:r>
            <w:r w:rsidRPr="00DB19C7">
              <w:rPr>
                <w:color w:val="auto"/>
                <w:sz w:val="18"/>
                <w:szCs w:val="18"/>
                <w:lang w:eastAsia="en-GB" w:bidi="ar-SA"/>
              </w:rPr>
              <w:fldChar w:fldCharType="end"/>
            </w:r>
          </w:p>
        </w:tc>
      </w:tr>
      <w:tr w:rsidR="00DB19C7" w:rsidRPr="00DB19C7" w14:paraId="315EE0E0" w14:textId="3C37BC4C"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6B90CED9"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68</w:t>
            </w:r>
          </w:p>
        </w:tc>
        <w:tc>
          <w:tcPr>
            <w:tcW w:w="1746" w:type="dxa"/>
            <w:tcBorders>
              <w:top w:val="nil"/>
              <w:left w:val="nil"/>
              <w:bottom w:val="single" w:sz="4" w:space="0" w:color="auto"/>
              <w:right w:val="single" w:sz="4" w:space="0" w:color="auto"/>
            </w:tcBorders>
            <w:shd w:val="clear" w:color="auto" w:fill="auto"/>
            <w:noWrap/>
            <w:vAlign w:val="center"/>
            <w:hideMark/>
          </w:tcPr>
          <w:p w14:paraId="2D5C4CA6"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Vine shoot</w:t>
            </w:r>
          </w:p>
        </w:tc>
        <w:tc>
          <w:tcPr>
            <w:tcW w:w="767" w:type="dxa"/>
            <w:tcBorders>
              <w:top w:val="nil"/>
              <w:left w:val="nil"/>
              <w:bottom w:val="single" w:sz="4" w:space="0" w:color="auto"/>
              <w:right w:val="single" w:sz="4" w:space="0" w:color="auto"/>
            </w:tcBorders>
            <w:shd w:val="clear" w:color="auto" w:fill="auto"/>
            <w:noWrap/>
            <w:vAlign w:val="center"/>
            <w:hideMark/>
          </w:tcPr>
          <w:p w14:paraId="48F552D9"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9.9</w:t>
            </w:r>
          </w:p>
        </w:tc>
        <w:tc>
          <w:tcPr>
            <w:tcW w:w="767" w:type="dxa"/>
            <w:tcBorders>
              <w:top w:val="nil"/>
              <w:left w:val="nil"/>
              <w:bottom w:val="single" w:sz="4" w:space="0" w:color="auto"/>
              <w:right w:val="single" w:sz="4" w:space="0" w:color="auto"/>
            </w:tcBorders>
            <w:shd w:val="clear" w:color="auto" w:fill="auto"/>
            <w:noWrap/>
            <w:vAlign w:val="center"/>
            <w:hideMark/>
          </w:tcPr>
          <w:p w14:paraId="067820C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37.5</w:t>
            </w:r>
          </w:p>
        </w:tc>
        <w:tc>
          <w:tcPr>
            <w:tcW w:w="1018" w:type="dxa"/>
            <w:tcBorders>
              <w:top w:val="nil"/>
              <w:left w:val="nil"/>
              <w:bottom w:val="single" w:sz="4" w:space="0" w:color="auto"/>
              <w:right w:val="single" w:sz="4" w:space="0" w:color="auto"/>
            </w:tcBorders>
            <w:shd w:val="clear" w:color="auto" w:fill="auto"/>
            <w:noWrap/>
            <w:vAlign w:val="center"/>
            <w:hideMark/>
          </w:tcPr>
          <w:p w14:paraId="498F4DBC"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199.7</w:t>
            </w:r>
          </w:p>
        </w:tc>
        <w:tc>
          <w:tcPr>
            <w:tcW w:w="1096" w:type="dxa"/>
            <w:tcBorders>
              <w:top w:val="nil"/>
              <w:left w:val="nil"/>
              <w:bottom w:val="single" w:sz="4" w:space="0" w:color="auto"/>
              <w:right w:val="single" w:sz="4" w:space="0" w:color="auto"/>
            </w:tcBorders>
            <w:shd w:val="clear" w:color="auto" w:fill="auto"/>
            <w:noWrap/>
            <w:vAlign w:val="center"/>
            <w:hideMark/>
          </w:tcPr>
          <w:p w14:paraId="19A60967" w14:textId="5BBE0C68"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11C381AC" w14:textId="11F609F8"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14526161" w14:textId="26E93933"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376E7B10" w14:textId="5C4425A7"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2473F0D4"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567" w:type="dxa"/>
            <w:tcBorders>
              <w:top w:val="nil"/>
              <w:left w:val="nil"/>
              <w:bottom w:val="single" w:sz="4" w:space="0" w:color="auto"/>
              <w:right w:val="single" w:sz="4" w:space="0" w:color="auto"/>
            </w:tcBorders>
            <w:shd w:val="clear" w:color="auto" w:fill="auto"/>
            <w:noWrap/>
            <w:vAlign w:val="center"/>
            <w:hideMark/>
          </w:tcPr>
          <w:p w14:paraId="0EEAAA98"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5.06</w:t>
            </w:r>
          </w:p>
        </w:tc>
        <w:tc>
          <w:tcPr>
            <w:tcW w:w="1134" w:type="dxa"/>
            <w:tcBorders>
              <w:top w:val="nil"/>
              <w:left w:val="nil"/>
              <w:bottom w:val="single" w:sz="4" w:space="0" w:color="auto"/>
              <w:right w:val="single" w:sz="4" w:space="0" w:color="auto"/>
            </w:tcBorders>
            <w:shd w:val="clear" w:color="auto" w:fill="auto"/>
            <w:noWrap/>
            <w:vAlign w:val="center"/>
            <w:hideMark/>
          </w:tcPr>
          <w:p w14:paraId="5B9F37D3"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062D72B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6.2</w:t>
            </w:r>
          </w:p>
        </w:tc>
        <w:tc>
          <w:tcPr>
            <w:tcW w:w="737" w:type="dxa"/>
            <w:tcBorders>
              <w:top w:val="nil"/>
              <w:left w:val="nil"/>
              <w:bottom w:val="single" w:sz="4" w:space="0" w:color="auto"/>
              <w:right w:val="single" w:sz="4" w:space="0" w:color="auto"/>
            </w:tcBorders>
            <w:shd w:val="clear" w:color="auto" w:fill="auto"/>
            <w:noWrap/>
            <w:vAlign w:val="center"/>
            <w:hideMark/>
          </w:tcPr>
          <w:p w14:paraId="1897BBBE"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54.72</w:t>
            </w:r>
          </w:p>
        </w:tc>
        <w:tc>
          <w:tcPr>
            <w:tcW w:w="737" w:type="dxa"/>
            <w:tcBorders>
              <w:top w:val="nil"/>
              <w:left w:val="nil"/>
              <w:bottom w:val="single" w:sz="4" w:space="0" w:color="auto"/>
              <w:right w:val="single" w:sz="4" w:space="0" w:color="auto"/>
            </w:tcBorders>
            <w:shd w:val="clear" w:color="auto" w:fill="auto"/>
            <w:noWrap/>
            <w:vAlign w:val="center"/>
            <w:hideMark/>
          </w:tcPr>
          <w:p w14:paraId="100A1DE6"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36.77</w:t>
            </w:r>
          </w:p>
        </w:tc>
        <w:tc>
          <w:tcPr>
            <w:tcW w:w="737" w:type="dxa"/>
            <w:tcBorders>
              <w:top w:val="nil"/>
              <w:left w:val="nil"/>
              <w:bottom w:val="single" w:sz="4" w:space="0" w:color="auto"/>
              <w:right w:val="single" w:sz="4" w:space="0" w:color="auto"/>
            </w:tcBorders>
            <w:shd w:val="clear" w:color="auto" w:fill="auto"/>
            <w:noWrap/>
            <w:vAlign w:val="center"/>
            <w:hideMark/>
          </w:tcPr>
          <w:p w14:paraId="6F29CB08"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2.31</w:t>
            </w:r>
          </w:p>
        </w:tc>
        <w:tc>
          <w:tcPr>
            <w:tcW w:w="617" w:type="dxa"/>
            <w:tcBorders>
              <w:top w:val="single" w:sz="4" w:space="0" w:color="auto"/>
              <w:left w:val="nil"/>
              <w:bottom w:val="single" w:sz="4" w:space="0" w:color="auto"/>
              <w:right w:val="single" w:sz="4" w:space="0" w:color="auto"/>
            </w:tcBorders>
            <w:vAlign w:val="center"/>
          </w:tcPr>
          <w:p w14:paraId="659A58D9" w14:textId="6734C9D1"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{"citationItems":[{"id":"ITEM-1","itemData":{"DOI":"10.1016/j.fuel.2016.07.045","ISSN":"00162361","abstract":"Biomasses are materials highly demanded nowadays for energy production. One of the main features of these materials is that they present a great variability in terms of chemical composition and physical behavior (O/C and H/C ratios, granulometric structure, ash content…). Nowadays, there is a lack of information concerning its characterization to determine its flammability and explosibility behavior. The objective of this study is to provide flammability and explosibility data as well as some parameters to assess the spontaneous combustion tendency of these products and to relate this thermal susceptibility with the composition. Initial results showed that risk assessments based on the activation energy were not effective for biomass as it is for coals, and that a greater tendency to self-ignition was observed in those biomasses having higher H/C ratios, on the contrary than in coals. This behavior can be explained because the most important stage for coals is the beginning of the self-heating reaction, which present a different resistance (activation energy) depending on its ranking, while biomasses present an initial stage easily achievable even at moderate temperatures, so the differentiation for biomasses should be found in the ability to spread this incipient reaction.","author":[{"dropping-particle":"","family":"García Torrent","given":"Javier","non-dropping-particle":"","parse-names":false,"suffix":""},{"dropping-particle":"","family":"Ramírez-Gómez","given":"Álvaro","non-dropping-particle":"","parse-names":false,"suffix":""},{"dropping-particle":"","family":"Fernandez-Anez","given":"Nieves","non-dropping-particle":"","parse-names":false,"suffix":""},{"dropping-particle":"","family":"Medic Pejic","given":"Ljiljana","non-dropping-particle":"","parse-names":false,"suffix":""},{"dropping-particle":"","family":"Tascón","given":"Alberto","non-dropping-particle":"","parse-names":false,"suffix":""}],"container-title":"Fuel","id":"ITEM-1","issued":{"date-parts":[["2016"]]},"page":"503-511","title":"Influence of the composition of solid biomass in the flammability and susceptibility to spontaneous combustion","type":"article-journal","volume":"184"},"uris":["http://www.mendeley.com/documents/?uuid=9fcb7e1d-bebe-4dfb-9ee6-81a5efa6af83"]}],"mendeley":{"formattedCitation":"[142]","plainTextFormattedCitation":"[142]","previouslyFormattedCitation":"[142]"},"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[142]</w:t>
            </w:r>
            <w:r w:rsidRPr="00DB19C7">
              <w:rPr>
                <w:color w:val="auto"/>
                <w:sz w:val="18"/>
                <w:szCs w:val="18"/>
                <w:lang w:eastAsia="en-GB" w:bidi="ar-SA"/>
              </w:rPr>
              <w:fldChar w:fldCharType="end"/>
            </w:r>
          </w:p>
        </w:tc>
      </w:tr>
      <w:tr w:rsidR="00DB19C7" w:rsidRPr="00DB19C7" w14:paraId="5E150FA9" w14:textId="3B9D4891"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1FE5CBAA"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69</w:t>
            </w:r>
          </w:p>
        </w:tc>
        <w:tc>
          <w:tcPr>
            <w:tcW w:w="1746" w:type="dxa"/>
            <w:tcBorders>
              <w:top w:val="nil"/>
              <w:left w:val="nil"/>
              <w:bottom w:val="single" w:sz="4" w:space="0" w:color="auto"/>
              <w:right w:val="single" w:sz="4" w:space="0" w:color="auto"/>
            </w:tcBorders>
            <w:shd w:val="clear" w:color="auto" w:fill="auto"/>
            <w:noWrap/>
            <w:vAlign w:val="center"/>
            <w:hideMark/>
          </w:tcPr>
          <w:p w14:paraId="4DC30DE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Walnut shells</w:t>
            </w:r>
          </w:p>
        </w:tc>
        <w:tc>
          <w:tcPr>
            <w:tcW w:w="767" w:type="dxa"/>
            <w:tcBorders>
              <w:top w:val="nil"/>
              <w:left w:val="nil"/>
              <w:bottom w:val="single" w:sz="4" w:space="0" w:color="auto"/>
              <w:right w:val="single" w:sz="4" w:space="0" w:color="auto"/>
            </w:tcBorders>
            <w:shd w:val="clear" w:color="auto" w:fill="auto"/>
            <w:noWrap/>
            <w:vAlign w:val="center"/>
            <w:hideMark/>
          </w:tcPr>
          <w:p w14:paraId="4EF83167"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9.05</w:t>
            </w:r>
          </w:p>
        </w:tc>
        <w:tc>
          <w:tcPr>
            <w:tcW w:w="767" w:type="dxa"/>
            <w:tcBorders>
              <w:top w:val="nil"/>
              <w:left w:val="nil"/>
              <w:bottom w:val="single" w:sz="4" w:space="0" w:color="auto"/>
              <w:right w:val="single" w:sz="4" w:space="0" w:color="auto"/>
            </w:tcBorders>
            <w:shd w:val="clear" w:color="auto" w:fill="auto"/>
            <w:noWrap/>
            <w:vAlign w:val="center"/>
            <w:hideMark/>
          </w:tcPr>
          <w:p w14:paraId="228C0CE5"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51.86</w:t>
            </w:r>
          </w:p>
        </w:tc>
        <w:tc>
          <w:tcPr>
            <w:tcW w:w="1018" w:type="dxa"/>
            <w:tcBorders>
              <w:top w:val="nil"/>
              <w:left w:val="nil"/>
              <w:bottom w:val="single" w:sz="4" w:space="0" w:color="auto"/>
              <w:right w:val="single" w:sz="4" w:space="0" w:color="auto"/>
            </w:tcBorders>
            <w:shd w:val="clear" w:color="auto" w:fill="auto"/>
            <w:noWrap/>
            <w:vAlign w:val="center"/>
            <w:hideMark/>
          </w:tcPr>
          <w:p w14:paraId="71D763D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310.76</w:t>
            </w:r>
          </w:p>
        </w:tc>
        <w:tc>
          <w:tcPr>
            <w:tcW w:w="1096" w:type="dxa"/>
            <w:tcBorders>
              <w:top w:val="nil"/>
              <w:left w:val="nil"/>
              <w:bottom w:val="single" w:sz="4" w:space="0" w:color="auto"/>
              <w:right w:val="single" w:sz="4" w:space="0" w:color="auto"/>
            </w:tcBorders>
            <w:shd w:val="clear" w:color="auto" w:fill="auto"/>
            <w:noWrap/>
            <w:vAlign w:val="center"/>
            <w:hideMark/>
          </w:tcPr>
          <w:p w14:paraId="6F1D0C5C" w14:textId="7B817C5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4870118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114.79</w:t>
            </w:r>
          </w:p>
        </w:tc>
        <w:tc>
          <w:tcPr>
            <w:tcW w:w="765" w:type="dxa"/>
            <w:tcBorders>
              <w:top w:val="nil"/>
              <w:left w:val="nil"/>
              <w:bottom w:val="single" w:sz="4" w:space="0" w:color="auto"/>
              <w:right w:val="single" w:sz="4" w:space="0" w:color="auto"/>
            </w:tcBorders>
            <w:shd w:val="clear" w:color="auto" w:fill="auto"/>
            <w:noWrap/>
            <w:vAlign w:val="center"/>
            <w:hideMark/>
          </w:tcPr>
          <w:p w14:paraId="0E5DDF89"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15.91</w:t>
            </w:r>
          </w:p>
        </w:tc>
        <w:tc>
          <w:tcPr>
            <w:tcW w:w="1199" w:type="dxa"/>
            <w:tcBorders>
              <w:top w:val="nil"/>
              <w:left w:val="nil"/>
              <w:bottom w:val="single" w:sz="4" w:space="0" w:color="auto"/>
              <w:right w:val="single" w:sz="4" w:space="0" w:color="auto"/>
            </w:tcBorders>
            <w:shd w:val="clear" w:color="auto" w:fill="auto"/>
            <w:noWrap/>
            <w:vAlign w:val="center"/>
            <w:hideMark/>
          </w:tcPr>
          <w:p w14:paraId="42553CAC" w14:textId="3D65667D"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5B056B46"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567" w:type="dxa"/>
            <w:tcBorders>
              <w:top w:val="nil"/>
              <w:left w:val="nil"/>
              <w:bottom w:val="single" w:sz="4" w:space="0" w:color="auto"/>
              <w:right w:val="single" w:sz="4" w:space="0" w:color="auto"/>
            </w:tcBorders>
            <w:shd w:val="clear" w:color="auto" w:fill="auto"/>
            <w:noWrap/>
            <w:vAlign w:val="center"/>
            <w:hideMark/>
          </w:tcPr>
          <w:p w14:paraId="79F13FA2" w14:textId="761995AF"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37231693"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5825CE75"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4.9</w:t>
            </w:r>
          </w:p>
        </w:tc>
        <w:tc>
          <w:tcPr>
            <w:tcW w:w="737" w:type="dxa"/>
            <w:tcBorders>
              <w:top w:val="nil"/>
              <w:left w:val="nil"/>
              <w:bottom w:val="single" w:sz="4" w:space="0" w:color="auto"/>
              <w:right w:val="single" w:sz="4" w:space="0" w:color="auto"/>
            </w:tcBorders>
            <w:shd w:val="clear" w:color="auto" w:fill="auto"/>
            <w:noWrap/>
            <w:vAlign w:val="center"/>
            <w:hideMark/>
          </w:tcPr>
          <w:p w14:paraId="3D6E3C2A"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74.4</w:t>
            </w:r>
          </w:p>
        </w:tc>
        <w:tc>
          <w:tcPr>
            <w:tcW w:w="737" w:type="dxa"/>
            <w:tcBorders>
              <w:top w:val="nil"/>
              <w:left w:val="nil"/>
              <w:bottom w:val="single" w:sz="4" w:space="0" w:color="auto"/>
              <w:right w:val="single" w:sz="4" w:space="0" w:color="auto"/>
            </w:tcBorders>
            <w:shd w:val="clear" w:color="auto" w:fill="auto"/>
            <w:noWrap/>
            <w:vAlign w:val="center"/>
            <w:hideMark/>
          </w:tcPr>
          <w:p w14:paraId="4906F30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6.2</w:t>
            </w:r>
          </w:p>
        </w:tc>
        <w:tc>
          <w:tcPr>
            <w:tcW w:w="737" w:type="dxa"/>
            <w:tcBorders>
              <w:top w:val="nil"/>
              <w:left w:val="nil"/>
              <w:bottom w:val="single" w:sz="4" w:space="0" w:color="auto"/>
              <w:right w:val="single" w:sz="4" w:space="0" w:color="auto"/>
            </w:tcBorders>
            <w:shd w:val="clear" w:color="auto" w:fill="auto"/>
            <w:noWrap/>
            <w:vAlign w:val="center"/>
            <w:hideMark/>
          </w:tcPr>
          <w:p w14:paraId="2AA6DA65"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14.5</w:t>
            </w:r>
          </w:p>
        </w:tc>
        <w:tc>
          <w:tcPr>
            <w:tcW w:w="617" w:type="dxa"/>
            <w:tcBorders>
              <w:top w:val="single" w:sz="4" w:space="0" w:color="auto"/>
              <w:left w:val="nil"/>
              <w:bottom w:val="single" w:sz="4" w:space="0" w:color="auto"/>
              <w:right w:val="single" w:sz="4" w:space="0" w:color="auto"/>
            </w:tcBorders>
            <w:vAlign w:val="center"/>
          </w:tcPr>
          <w:p w14:paraId="24BC1683" w14:textId="6F2F503B"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{"citationItems":[{"id":"ITEM-1","itemData":{"author":[{"dropping-particle":"","family":"Sattar","given":"Hamed","non-dropping-particle":"","parse-names":false,"suffix":""},{"dropping-particle":"","family":"Phylaktou","given":"Herodotos N.","non-dropping-particle":"","parse-names":false,"suffix":""},{"dropping-particle":"","family":"Andrews","given":"Gordon E.","non-dropping-particle":"","parse-names":false,"suffix":""},{"dropping-particle":"","family":"Gibbs","given":"Bernard M.","non-dropping-particle":"","parse-names":false,"suffix":""}],"container-title":"ISHPMIE","id":"ITEM-1","issued":{"date-parts":[["2012"]]},"publisher-place":"Krakow","title":"Explosions and Flame Propagation in Nut-shell Biomass Powders","type":"paper-conference"},"uris":["http://www.mendeley.com/documents/?uuid=ac2f9135-c048-4366-9ea5-0066f9cbf002"]}],"mendeley":{"formattedCitation":"[109]","plainTextFormattedCitation":"[109]","previouslyFormattedCitation":"[109]"},"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[109]</w:t>
            </w:r>
            <w:r w:rsidRPr="00DB19C7">
              <w:rPr>
                <w:color w:val="auto"/>
                <w:sz w:val="18"/>
                <w:szCs w:val="18"/>
                <w:lang w:eastAsia="en-GB" w:bidi="ar-SA"/>
              </w:rPr>
              <w:fldChar w:fldCharType="end"/>
            </w:r>
          </w:p>
        </w:tc>
      </w:tr>
      <w:tr w:rsidR="00DB19C7" w:rsidRPr="00DB19C7" w14:paraId="46ECBF68" w14:textId="399C302D"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69069E5C"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70</w:t>
            </w:r>
          </w:p>
        </w:tc>
        <w:tc>
          <w:tcPr>
            <w:tcW w:w="1746" w:type="dxa"/>
            <w:tcBorders>
              <w:top w:val="nil"/>
              <w:left w:val="nil"/>
              <w:bottom w:val="single" w:sz="4" w:space="0" w:color="auto"/>
              <w:right w:val="single" w:sz="4" w:space="0" w:color="auto"/>
            </w:tcBorders>
            <w:shd w:val="clear" w:color="auto" w:fill="auto"/>
            <w:noWrap/>
            <w:vAlign w:val="center"/>
            <w:hideMark/>
          </w:tcPr>
          <w:p w14:paraId="3DF612B4"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Wheat straw</w:t>
            </w:r>
          </w:p>
        </w:tc>
        <w:tc>
          <w:tcPr>
            <w:tcW w:w="767" w:type="dxa"/>
            <w:tcBorders>
              <w:top w:val="nil"/>
              <w:left w:val="nil"/>
              <w:bottom w:val="single" w:sz="4" w:space="0" w:color="auto"/>
              <w:right w:val="single" w:sz="4" w:space="0" w:color="auto"/>
            </w:tcBorders>
            <w:shd w:val="clear" w:color="auto" w:fill="auto"/>
            <w:noWrap/>
            <w:vAlign w:val="center"/>
            <w:hideMark/>
          </w:tcPr>
          <w:p w14:paraId="243850B8" w14:textId="4E905754" w:rsidR="002B4066" w:rsidRPr="00DB19C7" w:rsidRDefault="002B4066" w:rsidP="002B4066">
            <w:pPr>
              <w:adjustRightInd/>
              <w:snapToGrid/>
              <w:spacing w:line="240" w:lineRule="auto"/>
              <w:jc w:val="center"/>
              <w:rPr>
                <w:color w:val="auto"/>
                <w:sz w:val="18"/>
                <w:szCs w:val="18"/>
                <w:lang w:eastAsia="en-GB" w:bidi="ar-SA"/>
              </w:rPr>
            </w:pPr>
          </w:p>
        </w:tc>
        <w:tc>
          <w:tcPr>
            <w:tcW w:w="767" w:type="dxa"/>
            <w:tcBorders>
              <w:top w:val="nil"/>
              <w:left w:val="nil"/>
              <w:bottom w:val="single" w:sz="4" w:space="0" w:color="auto"/>
              <w:right w:val="single" w:sz="4" w:space="0" w:color="auto"/>
            </w:tcBorders>
            <w:shd w:val="clear" w:color="auto" w:fill="auto"/>
            <w:noWrap/>
            <w:vAlign w:val="center"/>
            <w:hideMark/>
          </w:tcPr>
          <w:p w14:paraId="1F7D67B5"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171.2</w:t>
            </w:r>
          </w:p>
        </w:tc>
        <w:tc>
          <w:tcPr>
            <w:tcW w:w="1018" w:type="dxa"/>
            <w:tcBorders>
              <w:top w:val="nil"/>
              <w:left w:val="nil"/>
              <w:bottom w:val="single" w:sz="4" w:space="0" w:color="auto"/>
              <w:right w:val="single" w:sz="4" w:space="0" w:color="auto"/>
            </w:tcBorders>
            <w:shd w:val="clear" w:color="auto" w:fill="auto"/>
            <w:noWrap/>
            <w:vAlign w:val="center"/>
            <w:hideMark/>
          </w:tcPr>
          <w:p w14:paraId="29003B76" w14:textId="12731BFE" w:rsidR="002B4066" w:rsidRPr="00DB19C7" w:rsidRDefault="002B4066" w:rsidP="002B4066">
            <w:pPr>
              <w:adjustRightInd/>
              <w:snapToGrid/>
              <w:spacing w:line="240" w:lineRule="auto"/>
              <w:jc w:val="center"/>
              <w:rPr>
                <w:color w:val="auto"/>
                <w:sz w:val="18"/>
                <w:szCs w:val="18"/>
                <w:lang w:eastAsia="en-GB" w:bidi="ar-SA"/>
              </w:rPr>
            </w:pPr>
          </w:p>
        </w:tc>
        <w:tc>
          <w:tcPr>
            <w:tcW w:w="1096" w:type="dxa"/>
            <w:tcBorders>
              <w:top w:val="nil"/>
              <w:left w:val="nil"/>
              <w:bottom w:val="single" w:sz="4" w:space="0" w:color="auto"/>
              <w:right w:val="single" w:sz="4" w:space="0" w:color="auto"/>
            </w:tcBorders>
            <w:shd w:val="clear" w:color="auto" w:fill="auto"/>
            <w:noWrap/>
            <w:vAlign w:val="center"/>
            <w:hideMark/>
          </w:tcPr>
          <w:p w14:paraId="08F5D3E5" w14:textId="64618CA3"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59CEAA3E"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230.3</w:t>
            </w:r>
          </w:p>
        </w:tc>
        <w:tc>
          <w:tcPr>
            <w:tcW w:w="765" w:type="dxa"/>
            <w:tcBorders>
              <w:top w:val="nil"/>
              <w:left w:val="nil"/>
              <w:bottom w:val="single" w:sz="4" w:space="0" w:color="auto"/>
              <w:right w:val="single" w:sz="4" w:space="0" w:color="auto"/>
            </w:tcBorders>
            <w:shd w:val="clear" w:color="auto" w:fill="auto"/>
            <w:noWrap/>
            <w:vAlign w:val="center"/>
            <w:hideMark/>
          </w:tcPr>
          <w:p w14:paraId="6865F33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78.5</w:t>
            </w:r>
          </w:p>
        </w:tc>
        <w:tc>
          <w:tcPr>
            <w:tcW w:w="1199" w:type="dxa"/>
            <w:tcBorders>
              <w:top w:val="nil"/>
              <w:left w:val="nil"/>
              <w:bottom w:val="single" w:sz="4" w:space="0" w:color="auto"/>
              <w:right w:val="single" w:sz="4" w:space="0" w:color="auto"/>
            </w:tcBorders>
            <w:shd w:val="clear" w:color="auto" w:fill="auto"/>
            <w:noWrap/>
            <w:vAlign w:val="center"/>
            <w:hideMark/>
          </w:tcPr>
          <w:p w14:paraId="2A31B937" w14:textId="0A886C63"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0.076</w:t>
            </w:r>
          </w:p>
        </w:tc>
        <w:tc>
          <w:tcPr>
            <w:tcW w:w="1137" w:type="dxa"/>
            <w:tcBorders>
              <w:top w:val="nil"/>
              <w:left w:val="nil"/>
              <w:bottom w:val="single" w:sz="4" w:space="0" w:color="auto"/>
              <w:right w:val="single" w:sz="4" w:space="0" w:color="auto"/>
            </w:tcBorders>
            <w:shd w:val="clear" w:color="auto" w:fill="auto"/>
            <w:noWrap/>
            <w:vAlign w:val="center"/>
            <w:hideMark/>
          </w:tcPr>
          <w:p w14:paraId="509B3A16"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567" w:type="dxa"/>
            <w:tcBorders>
              <w:top w:val="nil"/>
              <w:left w:val="nil"/>
              <w:bottom w:val="single" w:sz="4" w:space="0" w:color="auto"/>
              <w:right w:val="single" w:sz="4" w:space="0" w:color="auto"/>
            </w:tcBorders>
            <w:shd w:val="clear" w:color="auto" w:fill="auto"/>
            <w:noWrap/>
            <w:vAlign w:val="center"/>
            <w:hideMark/>
          </w:tcPr>
          <w:p w14:paraId="6E10464A" w14:textId="65059705"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01657F18"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2DC97916" w14:textId="227F7A0D"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253711C5" w14:textId="0F7A1965"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4CB16A33" w14:textId="5A2CF4E8"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4D440E7D" w14:textId="09BC517C"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7A47C356" w14:textId="0525EA90"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{"citationItems":[{"id":"ITEM-1","itemData":{"DOI":"10.1007/s10694-018-0782-3","ISSN":"1572-8099","abstract":"Dust layers are present in every industrial facility where solid materials are generated or processed. The emergence of new fuels with still unknown flammability properties generates an increase on the risks related with these facilities that needs to be further studied. Most of these biomasses are susceptible to exothermically react, acting as an ignition source and causing fires and explosions. One of the most common causes of explosions is the ignition of dust layers deposited on the equipment, which could be avoided by a better understanding of the materials. However, the ignitability of these layers depend on several parameters as the particle size and the density of the deposited materials. This paper reports experimental work on hot surface ignition temperatures of layers of different fuels, both biofuels, such as wood or sewage sludge, and fossil fuels, coal and coke. It shows that the common practices that are well-known for fossil fuels cannot be directly extrapolated to new fuels. Unlike fossil fuels, wood-based materials present the same ignition risk in dust and bulk size, so an increase on the particle size does not ensure a safer work space. Furthermore, compacting these materials can increase the ignition risk of these type of layers, contrary to the common practices for fossil fuels storages. These differences point out the need of a complete characterisation of each material to ensure a safe working facility.","author":[{"dropping-particle":"","family":"Fernandez-Anez","given":"Nieves","non-dropping-particle":"","parse-names":false,"suffix":""},{"dropping-particle":"","family":"Garcia-Torrent","given":"Javier","non-dropping-particle":"","parse-names":false,"suffix":""}],"container-title":"Fire Technology","id":"ITEM-1","issue":"1","issued":{"date-parts":[["2019"]]},"page":"175-191","title":"Influence of Particle Size and Density on the Hot Surface Ignition of Solid Fuel Layers","type":"article-journal","volume":"55"},"uris":["http://www.mendeley.com/documents/?uuid=f107a61e-81cb-4767-8f95-3d5cff660de0"]}],"mendeley":{"formattedCitation":"[28]","plainTextFormattedCitation":"[28]","previouslyFormattedCitation":"[28]"},"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[28]</w:t>
            </w:r>
            <w:r w:rsidRPr="00DB19C7">
              <w:rPr>
                <w:color w:val="auto"/>
                <w:sz w:val="18"/>
                <w:szCs w:val="18"/>
                <w:lang w:eastAsia="en-GB" w:bidi="ar-SA"/>
              </w:rPr>
              <w:fldChar w:fldCharType="end"/>
            </w:r>
          </w:p>
        </w:tc>
      </w:tr>
      <w:tr w:rsidR="00DB19C7" w:rsidRPr="00DB19C7" w14:paraId="6D60CDD9" w14:textId="30F9F778"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0377C523"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71</w:t>
            </w:r>
          </w:p>
        </w:tc>
        <w:tc>
          <w:tcPr>
            <w:tcW w:w="1746" w:type="dxa"/>
            <w:tcBorders>
              <w:top w:val="nil"/>
              <w:left w:val="nil"/>
              <w:bottom w:val="single" w:sz="4" w:space="0" w:color="auto"/>
              <w:right w:val="single" w:sz="4" w:space="0" w:color="auto"/>
            </w:tcBorders>
            <w:shd w:val="clear" w:color="auto" w:fill="auto"/>
            <w:noWrap/>
            <w:vAlign w:val="center"/>
            <w:hideMark/>
          </w:tcPr>
          <w:p w14:paraId="24D286B7"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White wood</w:t>
            </w:r>
          </w:p>
        </w:tc>
        <w:tc>
          <w:tcPr>
            <w:tcW w:w="767" w:type="dxa"/>
            <w:tcBorders>
              <w:top w:val="nil"/>
              <w:left w:val="nil"/>
              <w:bottom w:val="single" w:sz="4" w:space="0" w:color="auto"/>
              <w:right w:val="single" w:sz="4" w:space="0" w:color="auto"/>
            </w:tcBorders>
            <w:shd w:val="clear" w:color="auto" w:fill="auto"/>
            <w:noWrap/>
            <w:vAlign w:val="center"/>
            <w:hideMark/>
          </w:tcPr>
          <w:p w14:paraId="3B86DA65" w14:textId="188EB66D" w:rsidR="002B4066" w:rsidRPr="00DB19C7" w:rsidRDefault="002B4066" w:rsidP="002B4066">
            <w:pPr>
              <w:adjustRightInd/>
              <w:snapToGrid/>
              <w:spacing w:line="240" w:lineRule="auto"/>
              <w:jc w:val="center"/>
              <w:rPr>
                <w:color w:val="auto"/>
                <w:sz w:val="18"/>
                <w:szCs w:val="18"/>
                <w:lang w:eastAsia="en-GB" w:bidi="ar-SA"/>
              </w:rPr>
            </w:pPr>
          </w:p>
        </w:tc>
        <w:tc>
          <w:tcPr>
            <w:tcW w:w="767" w:type="dxa"/>
            <w:tcBorders>
              <w:top w:val="nil"/>
              <w:left w:val="nil"/>
              <w:bottom w:val="single" w:sz="4" w:space="0" w:color="auto"/>
              <w:right w:val="single" w:sz="4" w:space="0" w:color="auto"/>
            </w:tcBorders>
            <w:shd w:val="clear" w:color="auto" w:fill="auto"/>
            <w:noWrap/>
            <w:vAlign w:val="center"/>
            <w:hideMark/>
          </w:tcPr>
          <w:p w14:paraId="3F752C35" w14:textId="35F925CD" w:rsidR="002B4066" w:rsidRPr="00DB19C7" w:rsidRDefault="002B4066" w:rsidP="002B4066">
            <w:pPr>
              <w:adjustRightInd/>
              <w:snapToGrid/>
              <w:spacing w:line="240" w:lineRule="auto"/>
              <w:jc w:val="center"/>
              <w:rPr>
                <w:color w:val="auto"/>
                <w:sz w:val="18"/>
                <w:szCs w:val="18"/>
                <w:lang w:eastAsia="en-GB" w:bidi="ar-SA"/>
              </w:rPr>
            </w:pPr>
          </w:p>
        </w:tc>
        <w:tc>
          <w:tcPr>
            <w:tcW w:w="1018" w:type="dxa"/>
            <w:tcBorders>
              <w:top w:val="nil"/>
              <w:left w:val="nil"/>
              <w:bottom w:val="single" w:sz="4" w:space="0" w:color="auto"/>
              <w:right w:val="single" w:sz="4" w:space="0" w:color="auto"/>
            </w:tcBorders>
            <w:shd w:val="clear" w:color="auto" w:fill="auto"/>
            <w:noWrap/>
            <w:vAlign w:val="center"/>
            <w:hideMark/>
          </w:tcPr>
          <w:p w14:paraId="0D2DCD17" w14:textId="322BF7C6" w:rsidR="002B4066" w:rsidRPr="00DB19C7" w:rsidRDefault="002B4066" w:rsidP="002B4066">
            <w:pPr>
              <w:adjustRightInd/>
              <w:snapToGrid/>
              <w:spacing w:line="240" w:lineRule="auto"/>
              <w:jc w:val="center"/>
              <w:rPr>
                <w:color w:val="auto"/>
                <w:sz w:val="18"/>
                <w:szCs w:val="18"/>
                <w:lang w:eastAsia="en-GB" w:bidi="ar-SA"/>
              </w:rPr>
            </w:pPr>
          </w:p>
        </w:tc>
        <w:tc>
          <w:tcPr>
            <w:tcW w:w="1096" w:type="dxa"/>
            <w:tcBorders>
              <w:top w:val="nil"/>
              <w:left w:val="nil"/>
              <w:bottom w:val="single" w:sz="4" w:space="0" w:color="auto"/>
              <w:right w:val="single" w:sz="4" w:space="0" w:color="auto"/>
            </w:tcBorders>
            <w:shd w:val="clear" w:color="auto" w:fill="auto"/>
            <w:noWrap/>
            <w:vAlign w:val="center"/>
            <w:hideMark/>
          </w:tcPr>
          <w:p w14:paraId="3121AB0C" w14:textId="4B24AA1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73ABADF8" w14:textId="5BCD39A6"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1C3DEF4B" w14:textId="6B298386"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0F11CED1" w14:textId="32A78CF0"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3937CEBD"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567" w:type="dxa"/>
            <w:tcBorders>
              <w:top w:val="nil"/>
              <w:left w:val="nil"/>
              <w:bottom w:val="single" w:sz="4" w:space="0" w:color="auto"/>
              <w:right w:val="single" w:sz="4" w:space="0" w:color="auto"/>
            </w:tcBorders>
            <w:shd w:val="clear" w:color="auto" w:fill="auto"/>
            <w:noWrap/>
            <w:vAlign w:val="center"/>
            <w:hideMark/>
          </w:tcPr>
          <w:p w14:paraId="2D0305F3" w14:textId="60D6A455"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6807F439"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Sieves</w:t>
            </w:r>
          </w:p>
        </w:tc>
        <w:tc>
          <w:tcPr>
            <w:tcW w:w="737" w:type="dxa"/>
            <w:tcBorders>
              <w:top w:val="nil"/>
              <w:left w:val="nil"/>
              <w:bottom w:val="single" w:sz="4" w:space="0" w:color="auto"/>
              <w:right w:val="single" w:sz="4" w:space="0" w:color="auto"/>
            </w:tcBorders>
            <w:shd w:val="clear" w:color="auto" w:fill="auto"/>
            <w:noWrap/>
            <w:vAlign w:val="center"/>
            <w:hideMark/>
          </w:tcPr>
          <w:p w14:paraId="14310A59" w14:textId="256B4638"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3866B16E" w14:textId="1F71970E"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56B18C2C" w14:textId="63BCBD37"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745B4B33" w14:textId="5AB3CB9C"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4D2FA0F1" w14:textId="1AA444FF"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{"citationItems":[{"id":"ITEM-1","itemData":{"DOI":"10.3303/CET1648068","ISBN":"9788895608396","ISSN":"22839216","abstract":"A modified Hartmann tube apparatus was used to study the explosivity properties of dusts from torrefied biomass pellets. The sensitivity of the dusts to explode was assessed by determining the minimum ignition energies (MIE) and the minimum explosible concentrations (MEC). The severity of the explosion was evaluated by flame front velocity (FFV) measurements via a method developed by ECN. A comparison was made with reference materials like white wood and coal dusts. Dust from torrefied biomass pellets presented MIE and MEC values in the same range as the white wood pellets dust, but depending on the material sometimes even higher values were obtained. The severity of an explosion of torrefied biomass dust tends to be lower when compared with white wood dust explosions, especially when comparing the impact effects of moisture, particle size and temperature, as in a real case scenario. However, torrefied biomass materials still present higher explosion reactivity than coals.","author":[{"dropping-particle":"","family":"Abelha","given":"Pedro","non-dropping-particle":"","parse-names":false,"suffix":""},{"dropping-particle":"","family":"Carbo","given":"Michiel","non-dropping-particle":"","parse-names":false,"suffix":""},{"dropping-particle":"","family":"Cieplik","given":"Mariusz","non-dropping-particle":"","parse-names":false,"suffix":""}],"container-title":"Chemical Engineering Transactions","id":"ITEM-1","issued":{"date-parts":[["2016"]]},"page":"403-408","title":"Explosivity properties of dusts from torrefied biomass pellets","type":"article-journal","volume":"48"},"uris":["http://www.mendeley.com/documents/?uuid=d999869f-fa92-40ae-93de-b15e34a53595"]}],"mendeley":{"formattedCitation":"[106]","plainTextFormattedCitation":"[106]","previouslyFormattedCitation":"[106]"},"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[106]</w:t>
            </w:r>
            <w:r w:rsidRPr="00DB19C7">
              <w:rPr>
                <w:color w:val="auto"/>
                <w:sz w:val="18"/>
                <w:szCs w:val="18"/>
                <w:lang w:eastAsia="en-GB" w:bidi="ar-SA"/>
              </w:rPr>
              <w:fldChar w:fldCharType="end"/>
            </w:r>
          </w:p>
        </w:tc>
      </w:tr>
      <w:tr w:rsidR="00DB19C7" w:rsidRPr="00DB19C7" w14:paraId="0D5BD570" w14:textId="50986EFD"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35C5F47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72</w:t>
            </w:r>
          </w:p>
        </w:tc>
        <w:tc>
          <w:tcPr>
            <w:tcW w:w="1746" w:type="dxa"/>
            <w:tcBorders>
              <w:top w:val="nil"/>
              <w:left w:val="nil"/>
              <w:bottom w:val="single" w:sz="4" w:space="0" w:color="auto"/>
              <w:right w:val="single" w:sz="4" w:space="0" w:color="auto"/>
            </w:tcBorders>
            <w:shd w:val="clear" w:color="auto" w:fill="auto"/>
            <w:noWrap/>
            <w:vAlign w:val="center"/>
            <w:hideMark/>
          </w:tcPr>
          <w:p w14:paraId="063F8193"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Wood (90% birch, 10% spruce)</w:t>
            </w:r>
          </w:p>
        </w:tc>
        <w:tc>
          <w:tcPr>
            <w:tcW w:w="767" w:type="dxa"/>
            <w:tcBorders>
              <w:top w:val="nil"/>
              <w:left w:val="nil"/>
              <w:bottom w:val="single" w:sz="4" w:space="0" w:color="auto"/>
              <w:right w:val="single" w:sz="4" w:space="0" w:color="auto"/>
            </w:tcBorders>
            <w:shd w:val="clear" w:color="auto" w:fill="auto"/>
            <w:noWrap/>
            <w:vAlign w:val="center"/>
            <w:hideMark/>
          </w:tcPr>
          <w:p w14:paraId="4D5A94CE" w14:textId="3E96F757" w:rsidR="002B4066" w:rsidRPr="00DB19C7" w:rsidRDefault="002B4066" w:rsidP="002B4066">
            <w:pPr>
              <w:adjustRightInd/>
              <w:snapToGrid/>
              <w:spacing w:line="240" w:lineRule="auto"/>
              <w:jc w:val="center"/>
              <w:rPr>
                <w:color w:val="auto"/>
                <w:sz w:val="18"/>
                <w:szCs w:val="18"/>
                <w:lang w:eastAsia="en-GB" w:bidi="ar-SA"/>
              </w:rPr>
            </w:pPr>
          </w:p>
        </w:tc>
        <w:tc>
          <w:tcPr>
            <w:tcW w:w="767" w:type="dxa"/>
            <w:tcBorders>
              <w:top w:val="nil"/>
              <w:left w:val="nil"/>
              <w:bottom w:val="single" w:sz="4" w:space="0" w:color="auto"/>
              <w:right w:val="single" w:sz="4" w:space="0" w:color="auto"/>
            </w:tcBorders>
            <w:shd w:val="clear" w:color="auto" w:fill="auto"/>
            <w:noWrap/>
            <w:vAlign w:val="center"/>
            <w:hideMark/>
          </w:tcPr>
          <w:p w14:paraId="270B89B7"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80</w:t>
            </w:r>
          </w:p>
        </w:tc>
        <w:tc>
          <w:tcPr>
            <w:tcW w:w="1018" w:type="dxa"/>
            <w:tcBorders>
              <w:top w:val="nil"/>
              <w:left w:val="nil"/>
              <w:bottom w:val="single" w:sz="4" w:space="0" w:color="auto"/>
              <w:right w:val="single" w:sz="4" w:space="0" w:color="auto"/>
            </w:tcBorders>
            <w:shd w:val="clear" w:color="auto" w:fill="auto"/>
            <w:noWrap/>
            <w:vAlign w:val="center"/>
            <w:hideMark/>
          </w:tcPr>
          <w:p w14:paraId="00AEF405" w14:textId="409B8C03" w:rsidR="002B4066" w:rsidRPr="00DB19C7" w:rsidRDefault="002B4066" w:rsidP="002B4066">
            <w:pPr>
              <w:adjustRightInd/>
              <w:snapToGrid/>
              <w:spacing w:line="240" w:lineRule="auto"/>
              <w:jc w:val="center"/>
              <w:rPr>
                <w:color w:val="auto"/>
                <w:sz w:val="18"/>
                <w:szCs w:val="18"/>
                <w:lang w:eastAsia="en-GB" w:bidi="ar-SA"/>
              </w:rPr>
            </w:pPr>
          </w:p>
        </w:tc>
        <w:tc>
          <w:tcPr>
            <w:tcW w:w="1096" w:type="dxa"/>
            <w:tcBorders>
              <w:top w:val="nil"/>
              <w:left w:val="nil"/>
              <w:bottom w:val="single" w:sz="4" w:space="0" w:color="auto"/>
              <w:right w:val="single" w:sz="4" w:space="0" w:color="auto"/>
            </w:tcBorders>
            <w:shd w:val="clear" w:color="auto" w:fill="auto"/>
            <w:noWrap/>
            <w:vAlign w:val="center"/>
            <w:hideMark/>
          </w:tcPr>
          <w:p w14:paraId="52D422AE" w14:textId="1D888072"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w:t>
            </w:r>
          </w:p>
        </w:tc>
        <w:tc>
          <w:tcPr>
            <w:tcW w:w="767" w:type="dxa"/>
            <w:tcBorders>
              <w:top w:val="nil"/>
              <w:left w:val="nil"/>
              <w:bottom w:val="single" w:sz="4" w:space="0" w:color="auto"/>
              <w:right w:val="single" w:sz="4" w:space="0" w:color="auto"/>
            </w:tcBorders>
            <w:shd w:val="clear" w:color="auto" w:fill="auto"/>
            <w:noWrap/>
            <w:vAlign w:val="center"/>
            <w:hideMark/>
          </w:tcPr>
          <w:p w14:paraId="2F435643" w14:textId="2A572CE7"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4551209B" w14:textId="6D625D47"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545CB319" w14:textId="71A151F2"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034FA94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 - SEM</w:t>
            </w:r>
          </w:p>
        </w:tc>
        <w:tc>
          <w:tcPr>
            <w:tcW w:w="567" w:type="dxa"/>
            <w:tcBorders>
              <w:top w:val="nil"/>
              <w:left w:val="nil"/>
              <w:bottom w:val="single" w:sz="4" w:space="0" w:color="auto"/>
              <w:right w:val="single" w:sz="4" w:space="0" w:color="auto"/>
            </w:tcBorders>
            <w:shd w:val="clear" w:color="auto" w:fill="auto"/>
            <w:noWrap/>
            <w:vAlign w:val="center"/>
            <w:hideMark/>
          </w:tcPr>
          <w:p w14:paraId="221E423E" w14:textId="54D19325"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7DE00D81"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1772FB9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1.65</w:t>
            </w:r>
          </w:p>
        </w:tc>
        <w:tc>
          <w:tcPr>
            <w:tcW w:w="737" w:type="dxa"/>
            <w:tcBorders>
              <w:top w:val="nil"/>
              <w:left w:val="nil"/>
              <w:bottom w:val="single" w:sz="4" w:space="0" w:color="auto"/>
              <w:right w:val="single" w:sz="4" w:space="0" w:color="auto"/>
            </w:tcBorders>
            <w:shd w:val="clear" w:color="auto" w:fill="auto"/>
            <w:noWrap/>
            <w:vAlign w:val="center"/>
            <w:hideMark/>
          </w:tcPr>
          <w:p w14:paraId="312973C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81.87</w:t>
            </w:r>
          </w:p>
        </w:tc>
        <w:tc>
          <w:tcPr>
            <w:tcW w:w="737" w:type="dxa"/>
            <w:tcBorders>
              <w:top w:val="nil"/>
              <w:left w:val="nil"/>
              <w:bottom w:val="single" w:sz="4" w:space="0" w:color="auto"/>
              <w:right w:val="single" w:sz="4" w:space="0" w:color="auto"/>
            </w:tcBorders>
            <w:shd w:val="clear" w:color="auto" w:fill="auto"/>
            <w:noWrap/>
            <w:vAlign w:val="center"/>
            <w:hideMark/>
          </w:tcPr>
          <w:p w14:paraId="1E4BFA3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0.39</w:t>
            </w:r>
          </w:p>
        </w:tc>
        <w:tc>
          <w:tcPr>
            <w:tcW w:w="737" w:type="dxa"/>
            <w:tcBorders>
              <w:top w:val="nil"/>
              <w:left w:val="nil"/>
              <w:bottom w:val="single" w:sz="4" w:space="0" w:color="auto"/>
              <w:right w:val="single" w:sz="4" w:space="0" w:color="auto"/>
            </w:tcBorders>
            <w:shd w:val="clear" w:color="auto" w:fill="auto"/>
            <w:noWrap/>
            <w:vAlign w:val="center"/>
            <w:hideMark/>
          </w:tcPr>
          <w:p w14:paraId="63CB67D9" w14:textId="0706D161"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2BD94472" w14:textId="2AF7A455"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{"citationItems":[{"id":"ITEM-1","itemData":{"ISSN":"12350621","abstract":"The overall objective of this research project was to create new data on the safety-technical characteristics of renewable fuels, low-rank coals and mixtures of these. Knowledge of basic handling and safety-technical chracteristics is of crucial significance for the design of handling equipment and safety systems, and for the assessment of explosion and fire hazards. Ten biomass and lignite fuel samples and two fuel mixtures were included in the work programme. Extensive physical and chemical characterisation was performed for all samples. The reactivity of the combustible dusts was characterised by thermal analysis (DTA-TGA). Based on the thermal runaway temperatures of the dusts the samples are listed by order of reactivity. Self-ignition properties of the fuels were studied at normal and elevated pressure (1-25 bar). The results of the self-ignition tests for the fuel samples are mainly in line with the reactivity tests carried out on DTA-TGA. The elevated pressure had a significant effect on the self-ignition temperature of all fuel samples. Partial inerting increased the self-ignition temperature, but to a rather low degree. Dust explosion tests were performed in 1 m3 vessels and 20 litre spheres. Dust explosion parameters were determined both in normal conditions and at elevated temperature and pressure. A linear correlation was found between the maximum explosion pressure Pmax and the initial pressure. The values measured for the rate of pressure rise, the KSt-value, were considerably more scattered. Most differences can probably be associated with diverse turbulence conditions inside the explosion vessel. In most cases, the lower oxygen concentration LOC slightly increased with increasing initial pressure. LOC decreases with increasing initial temperature, around 1-3 vol% per 100 °C temperature rise. Suppression systems are frequently used in industry as a measure of explosion protection. The suppression tests were conducted in a heatable the 1 m3 vessel. Increasing the temperature makes the suppression of the dust explosion more demanding. Use of partly inert atmosphere led to an increased efficiency of the explosion suppression system.","author":[{"dropping-particle":"","family":"Wilén","given":"Carl","non-dropping-particle":"","parse-names":false,"suffix":""},{"dropping-particle":"","family":"Moilanen","given":"Antero","non-dropping-particle":"","parse-names":false,"suffix":""},{"dropping-particle":"","family":"Rautalin","given":"Aimo","non-dropping-particle":"","parse-names":false,"suffix":""},{"dropping-particle":"","family":"Torrent","given":"Javier","non-dropping-particle":"","parse-names":false,"suffix":""},{"dropping-particle":"","family":"Conde","given":"Eduardo","non-dropping-particle":"","parse-names":false,"suffix":""},{"dropping-particle":"","family":"Lödel","given":"Roland","non-dropping-particle":"","parse-names":false,"suffix":""},{"dropping-particle":"","family":"Carson","given":"Douglas","non-dropping-particle":"","parse-names":false,"suffix":""},{"dropping-particle":"","family":"Timmers","given":"Piet","non-dropping-particle":"","parse-names":false,"suffix":""},{"dropping-particle":"","family":"Brehm","given":"Konrad","non-dropping-particle":"","parse-names":false,"suffix":""}],"container-title":"VTT Publications","id":"ITEM-1","issue":"394","issued":{"date-parts":[["1999"]]},"title":"Safe handling of renewable fuels and fuel mixtures","type":"article-journal"},"uris":["http://www.mendeley.com/documents/?uuid=cc30f0b2-ca37-46f2-b198-10337f3ca782"]}],"mendeley":{"formattedCitation":"[17]","plainTextFormattedCitation":"[17]","previouslyFormattedCitation":"[17]"},"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[17]</w:t>
            </w:r>
            <w:r w:rsidRPr="00DB19C7">
              <w:rPr>
                <w:color w:val="auto"/>
                <w:sz w:val="18"/>
                <w:szCs w:val="18"/>
                <w:lang w:eastAsia="en-GB" w:bidi="ar-SA"/>
              </w:rPr>
              <w:fldChar w:fldCharType="end"/>
            </w:r>
          </w:p>
        </w:tc>
      </w:tr>
      <w:tr w:rsidR="00DB19C7" w:rsidRPr="00DB19C7" w14:paraId="3414E81B" w14:textId="69202FFF"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1717E8D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73</w:t>
            </w:r>
          </w:p>
        </w:tc>
        <w:tc>
          <w:tcPr>
            <w:tcW w:w="1746" w:type="dxa"/>
            <w:tcBorders>
              <w:top w:val="nil"/>
              <w:left w:val="nil"/>
              <w:bottom w:val="single" w:sz="4" w:space="0" w:color="auto"/>
              <w:right w:val="single" w:sz="4" w:space="0" w:color="auto"/>
            </w:tcBorders>
            <w:shd w:val="clear" w:color="auto" w:fill="auto"/>
            <w:noWrap/>
            <w:vAlign w:val="center"/>
            <w:hideMark/>
          </w:tcPr>
          <w:p w14:paraId="0B4CD1C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 xml:space="preserve">Wood (fibrous sample), as received: 41%  &lt; 500 </w:t>
            </w:r>
            <w:proofErr w:type="spellStart"/>
            <w:r w:rsidRPr="00DB19C7">
              <w:rPr>
                <w:color w:val="auto"/>
                <w:sz w:val="18"/>
                <w:szCs w:val="18"/>
                <w:lang w:eastAsia="en-GB" w:bidi="ar-SA"/>
              </w:rPr>
              <w:t>μm</w:t>
            </w:r>
            <w:proofErr w:type="spellEnd"/>
            <w:r w:rsidRPr="00DB19C7">
              <w:rPr>
                <w:color w:val="auto"/>
                <w:sz w:val="18"/>
                <w:szCs w:val="18"/>
                <w:lang w:eastAsia="en-GB" w:bidi="ar-SA"/>
              </w:rPr>
              <w:t xml:space="preserve"> and 0.3%  &lt; 75 </w:t>
            </w:r>
            <w:proofErr w:type="spellStart"/>
            <w:r w:rsidRPr="00DB19C7">
              <w:rPr>
                <w:color w:val="auto"/>
                <w:sz w:val="18"/>
                <w:szCs w:val="18"/>
                <w:lang w:eastAsia="en-GB" w:bidi="ar-SA"/>
              </w:rPr>
              <w:t>μm</w:t>
            </w:r>
            <w:proofErr w:type="spellEnd"/>
          </w:p>
        </w:tc>
        <w:tc>
          <w:tcPr>
            <w:tcW w:w="767" w:type="dxa"/>
            <w:tcBorders>
              <w:top w:val="nil"/>
              <w:left w:val="nil"/>
              <w:bottom w:val="single" w:sz="4" w:space="0" w:color="auto"/>
              <w:right w:val="single" w:sz="4" w:space="0" w:color="auto"/>
            </w:tcBorders>
            <w:shd w:val="clear" w:color="auto" w:fill="auto"/>
            <w:noWrap/>
            <w:vAlign w:val="center"/>
            <w:hideMark/>
          </w:tcPr>
          <w:p w14:paraId="1D17BBCC" w14:textId="2B9B2F09" w:rsidR="002B4066" w:rsidRPr="00DB19C7" w:rsidRDefault="002B4066" w:rsidP="002B4066">
            <w:pPr>
              <w:adjustRightInd/>
              <w:snapToGrid/>
              <w:spacing w:line="240" w:lineRule="auto"/>
              <w:jc w:val="center"/>
              <w:rPr>
                <w:color w:val="auto"/>
                <w:sz w:val="18"/>
                <w:szCs w:val="18"/>
                <w:lang w:eastAsia="en-GB" w:bidi="ar-SA"/>
              </w:rPr>
            </w:pPr>
          </w:p>
        </w:tc>
        <w:tc>
          <w:tcPr>
            <w:tcW w:w="767" w:type="dxa"/>
            <w:tcBorders>
              <w:top w:val="nil"/>
              <w:left w:val="nil"/>
              <w:bottom w:val="single" w:sz="4" w:space="0" w:color="auto"/>
              <w:right w:val="single" w:sz="4" w:space="0" w:color="auto"/>
            </w:tcBorders>
            <w:shd w:val="clear" w:color="auto" w:fill="auto"/>
            <w:noWrap/>
            <w:vAlign w:val="center"/>
            <w:hideMark/>
          </w:tcPr>
          <w:p w14:paraId="328C3D0E" w14:textId="7B6839F8" w:rsidR="002B4066" w:rsidRPr="00DB19C7" w:rsidRDefault="002B4066" w:rsidP="002B4066">
            <w:pPr>
              <w:adjustRightInd/>
              <w:snapToGrid/>
              <w:spacing w:line="240" w:lineRule="auto"/>
              <w:jc w:val="center"/>
              <w:rPr>
                <w:color w:val="auto"/>
                <w:sz w:val="18"/>
                <w:szCs w:val="18"/>
                <w:lang w:eastAsia="en-GB" w:bidi="ar-SA"/>
              </w:rPr>
            </w:pPr>
          </w:p>
        </w:tc>
        <w:tc>
          <w:tcPr>
            <w:tcW w:w="1018" w:type="dxa"/>
            <w:tcBorders>
              <w:top w:val="nil"/>
              <w:left w:val="nil"/>
              <w:bottom w:val="single" w:sz="4" w:space="0" w:color="auto"/>
              <w:right w:val="single" w:sz="4" w:space="0" w:color="auto"/>
            </w:tcBorders>
            <w:shd w:val="clear" w:color="auto" w:fill="auto"/>
            <w:noWrap/>
            <w:vAlign w:val="center"/>
            <w:hideMark/>
          </w:tcPr>
          <w:p w14:paraId="490F018D" w14:textId="6884C6CB" w:rsidR="002B4066" w:rsidRPr="00DB19C7" w:rsidRDefault="002B4066" w:rsidP="002B4066">
            <w:pPr>
              <w:adjustRightInd/>
              <w:snapToGrid/>
              <w:spacing w:line="240" w:lineRule="auto"/>
              <w:jc w:val="center"/>
              <w:rPr>
                <w:color w:val="auto"/>
                <w:sz w:val="18"/>
                <w:szCs w:val="18"/>
                <w:lang w:eastAsia="en-GB" w:bidi="ar-SA"/>
              </w:rPr>
            </w:pPr>
          </w:p>
        </w:tc>
        <w:tc>
          <w:tcPr>
            <w:tcW w:w="1096" w:type="dxa"/>
            <w:tcBorders>
              <w:top w:val="nil"/>
              <w:left w:val="nil"/>
              <w:bottom w:val="single" w:sz="4" w:space="0" w:color="auto"/>
              <w:right w:val="single" w:sz="4" w:space="0" w:color="auto"/>
            </w:tcBorders>
            <w:shd w:val="clear" w:color="auto" w:fill="auto"/>
            <w:noWrap/>
            <w:vAlign w:val="center"/>
            <w:hideMark/>
          </w:tcPr>
          <w:p w14:paraId="5FBB524A" w14:textId="44792FFB"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3050D972" w14:textId="48CB4292"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28B2A7DB" w14:textId="38C5B94D"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68DE544C" w14:textId="146285C8"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3454DC59"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 xml:space="preserve">Yes - digital </w:t>
            </w:r>
            <w:proofErr w:type="spellStart"/>
            <w:r w:rsidRPr="00DB19C7">
              <w:rPr>
                <w:color w:val="auto"/>
                <w:sz w:val="18"/>
                <w:szCs w:val="18"/>
                <w:lang w:eastAsia="en-GB" w:bidi="ar-SA"/>
              </w:rPr>
              <w:t>camara</w:t>
            </w:r>
            <w:proofErr w:type="spellEnd"/>
            <w:r w:rsidRPr="00DB19C7">
              <w:rPr>
                <w:color w:val="auto"/>
                <w:sz w:val="18"/>
                <w:szCs w:val="18"/>
                <w:lang w:eastAsia="en-GB" w:bidi="ar-SA"/>
              </w:rPr>
              <w:t xml:space="preserve"> photo</w:t>
            </w:r>
          </w:p>
        </w:tc>
        <w:tc>
          <w:tcPr>
            <w:tcW w:w="567" w:type="dxa"/>
            <w:tcBorders>
              <w:top w:val="nil"/>
              <w:left w:val="nil"/>
              <w:bottom w:val="single" w:sz="4" w:space="0" w:color="auto"/>
              <w:right w:val="single" w:sz="4" w:space="0" w:color="auto"/>
            </w:tcBorders>
            <w:shd w:val="clear" w:color="auto" w:fill="auto"/>
            <w:noWrap/>
            <w:vAlign w:val="center"/>
            <w:hideMark/>
          </w:tcPr>
          <w:p w14:paraId="36961C06" w14:textId="22B31616"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37BDD5EA"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w:t>
            </w:r>
          </w:p>
        </w:tc>
        <w:tc>
          <w:tcPr>
            <w:tcW w:w="737" w:type="dxa"/>
            <w:tcBorders>
              <w:top w:val="nil"/>
              <w:left w:val="nil"/>
              <w:bottom w:val="single" w:sz="4" w:space="0" w:color="auto"/>
              <w:right w:val="single" w:sz="4" w:space="0" w:color="auto"/>
            </w:tcBorders>
            <w:shd w:val="clear" w:color="auto" w:fill="auto"/>
            <w:noWrap/>
            <w:vAlign w:val="center"/>
            <w:hideMark/>
          </w:tcPr>
          <w:p w14:paraId="08C453A5" w14:textId="31EA64BA"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60</w:t>
            </w:r>
          </w:p>
        </w:tc>
        <w:tc>
          <w:tcPr>
            <w:tcW w:w="737" w:type="dxa"/>
            <w:tcBorders>
              <w:top w:val="nil"/>
              <w:left w:val="nil"/>
              <w:bottom w:val="single" w:sz="4" w:space="0" w:color="auto"/>
              <w:right w:val="single" w:sz="4" w:space="0" w:color="auto"/>
            </w:tcBorders>
            <w:shd w:val="clear" w:color="auto" w:fill="auto"/>
            <w:noWrap/>
            <w:vAlign w:val="center"/>
            <w:hideMark/>
          </w:tcPr>
          <w:p w14:paraId="6EC9880D" w14:textId="4B6307F5"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447553E2" w14:textId="31352429"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641FD400" w14:textId="5EB910C9"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27168426" w14:textId="79682578"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{"citationItems":[{"id":"ITEM-1","itemData":{"DOI":"10.1016/j.jlp.2012.05.007","ISSN":"0950-4230","abstract":"The research presented in this paper is focused on dust explosions of coarse and fine flocculent (or fibrous) samples of wood and polyethylene. Hybrid mixtures of fibrous polyethylene and admixed ethylene were also studied. Experimentation was conducted by following standardized test procedures and using standardized apparatus for determination of maximum explosion pressure, size-normalized maximum rate of pressure rise, minimum explosible concentration, minimum ignition energy, and minimum ignition temperature. A general trend was observed of enhanced explosion likelihood and consequence severity with a decrease in material diameter, as well as enhanced consequence severity with admixture of a flammable gas to the combustion atmosphere. The same phenomena are well-established for dusts composed of spherical particles; this highlights the importance of inherently safer design and the principle of moderation in avoiding the generation of fine sizes of flocculent dusts and hybrid mixtures of such materials with flammable gases. In addition to presenting experimental findings, the paper describes phenomenological modelling efforts for the flocculent polyethylene using four geometric equivalence models: radial equivalence, volumetric equivalence, surface area equivalence, and specific surface area equivalence. The surface area equivalence model was found to yield the best estimates of maximum rate of pressure rise for the flocculent polyethylene samples investigated experimentally.","author":[{"dropping-particle":"","family":"Amyotte","given":"Paul R","non-dropping-particle":"","parse-names":false,"suffix":""},{"dropping-particle":"","family":"Cloney","given":"Chris T","non-dropping-particle":"","parse-names":false,"suffix":""},{"dropping-particle":"","family":"Khan","given":"Faisal I","non-dropping-particle":"","parse-names":false,"suffix":""},{"dropping-particle":"","family":"Ripley","given":"Robert C","non-dropping-particle":"","parse-names":false,"suffix":""}],"container-title":"Journal of Loss Prevention in the Process Industries","id":"ITEM-1","issue":"5","issued":{"date-parts":[["2012"]]},"page":"862-869","title":"Dust explosion risk moderation for flocculent dusts","type":"article-journal","volume":"25"},"uris":["http://www.mendeley.com/documents/?uuid=a6655299-e3de-4ddd-a10c-c57f03ade195"]}],"mendeley":{"formattedCitation":"[150]","plainTextFormattedCitation":"[150]","previouslyFormattedCitation":"[150]"},"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[150]</w:t>
            </w:r>
            <w:r w:rsidRPr="00DB19C7">
              <w:rPr>
                <w:color w:val="auto"/>
                <w:sz w:val="18"/>
                <w:szCs w:val="18"/>
                <w:lang w:eastAsia="en-GB" w:bidi="ar-SA"/>
              </w:rPr>
              <w:fldChar w:fldCharType="end"/>
            </w:r>
          </w:p>
        </w:tc>
      </w:tr>
      <w:tr w:rsidR="00DB19C7" w:rsidRPr="00DB19C7" w14:paraId="7272C63B" w14:textId="705158FE"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2119211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74</w:t>
            </w:r>
          </w:p>
        </w:tc>
        <w:tc>
          <w:tcPr>
            <w:tcW w:w="1746" w:type="dxa"/>
            <w:tcBorders>
              <w:top w:val="nil"/>
              <w:left w:val="nil"/>
              <w:bottom w:val="single" w:sz="4" w:space="0" w:color="auto"/>
              <w:right w:val="single" w:sz="4" w:space="0" w:color="auto"/>
            </w:tcBorders>
            <w:shd w:val="clear" w:color="auto" w:fill="auto"/>
            <w:noWrap/>
            <w:vAlign w:val="center"/>
            <w:hideMark/>
          </w:tcPr>
          <w:p w14:paraId="5C1620B4"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 xml:space="preserve">Wood (fibrous sample), fraction &lt; 75 </w:t>
            </w:r>
            <w:proofErr w:type="spellStart"/>
            <w:r w:rsidRPr="00DB19C7">
              <w:rPr>
                <w:color w:val="auto"/>
                <w:sz w:val="18"/>
                <w:szCs w:val="18"/>
                <w:lang w:eastAsia="en-GB" w:bidi="ar-SA"/>
              </w:rPr>
              <w:t>μm</w:t>
            </w:r>
            <w:proofErr w:type="spellEnd"/>
          </w:p>
        </w:tc>
        <w:tc>
          <w:tcPr>
            <w:tcW w:w="767" w:type="dxa"/>
            <w:tcBorders>
              <w:top w:val="nil"/>
              <w:left w:val="nil"/>
              <w:bottom w:val="single" w:sz="4" w:space="0" w:color="auto"/>
              <w:right w:val="single" w:sz="4" w:space="0" w:color="auto"/>
            </w:tcBorders>
            <w:shd w:val="clear" w:color="auto" w:fill="auto"/>
            <w:noWrap/>
            <w:vAlign w:val="center"/>
            <w:hideMark/>
          </w:tcPr>
          <w:p w14:paraId="57F17494" w14:textId="7CC5CB54" w:rsidR="002B4066" w:rsidRPr="00DB19C7" w:rsidRDefault="002B4066" w:rsidP="002B4066">
            <w:pPr>
              <w:adjustRightInd/>
              <w:snapToGrid/>
              <w:spacing w:line="240" w:lineRule="auto"/>
              <w:jc w:val="center"/>
              <w:rPr>
                <w:color w:val="auto"/>
                <w:sz w:val="18"/>
                <w:szCs w:val="18"/>
                <w:lang w:eastAsia="en-GB" w:bidi="ar-SA"/>
              </w:rPr>
            </w:pPr>
          </w:p>
        </w:tc>
        <w:tc>
          <w:tcPr>
            <w:tcW w:w="767" w:type="dxa"/>
            <w:tcBorders>
              <w:top w:val="nil"/>
              <w:left w:val="nil"/>
              <w:bottom w:val="single" w:sz="4" w:space="0" w:color="auto"/>
              <w:right w:val="single" w:sz="4" w:space="0" w:color="auto"/>
            </w:tcBorders>
            <w:shd w:val="clear" w:color="auto" w:fill="auto"/>
            <w:noWrap/>
            <w:vAlign w:val="center"/>
            <w:hideMark/>
          </w:tcPr>
          <w:p w14:paraId="65122DC7" w14:textId="4B164D53" w:rsidR="002B4066" w:rsidRPr="00DB19C7" w:rsidRDefault="002B4066" w:rsidP="002B4066">
            <w:pPr>
              <w:adjustRightInd/>
              <w:snapToGrid/>
              <w:spacing w:line="240" w:lineRule="auto"/>
              <w:jc w:val="center"/>
              <w:rPr>
                <w:color w:val="auto"/>
                <w:sz w:val="18"/>
                <w:szCs w:val="18"/>
                <w:lang w:eastAsia="en-GB" w:bidi="ar-SA"/>
              </w:rPr>
            </w:pPr>
          </w:p>
        </w:tc>
        <w:tc>
          <w:tcPr>
            <w:tcW w:w="1018" w:type="dxa"/>
            <w:tcBorders>
              <w:top w:val="nil"/>
              <w:left w:val="nil"/>
              <w:bottom w:val="single" w:sz="4" w:space="0" w:color="auto"/>
              <w:right w:val="single" w:sz="4" w:space="0" w:color="auto"/>
            </w:tcBorders>
            <w:shd w:val="clear" w:color="auto" w:fill="auto"/>
            <w:noWrap/>
            <w:vAlign w:val="center"/>
            <w:hideMark/>
          </w:tcPr>
          <w:p w14:paraId="0573073C" w14:textId="31A15414" w:rsidR="002B4066" w:rsidRPr="00DB19C7" w:rsidRDefault="002B4066" w:rsidP="002B4066">
            <w:pPr>
              <w:adjustRightInd/>
              <w:snapToGrid/>
              <w:spacing w:line="240" w:lineRule="auto"/>
              <w:jc w:val="center"/>
              <w:rPr>
                <w:color w:val="auto"/>
                <w:sz w:val="18"/>
                <w:szCs w:val="18"/>
                <w:lang w:eastAsia="en-GB" w:bidi="ar-SA"/>
              </w:rPr>
            </w:pPr>
          </w:p>
        </w:tc>
        <w:tc>
          <w:tcPr>
            <w:tcW w:w="1096" w:type="dxa"/>
            <w:tcBorders>
              <w:top w:val="nil"/>
              <w:left w:val="nil"/>
              <w:bottom w:val="single" w:sz="4" w:space="0" w:color="auto"/>
              <w:right w:val="single" w:sz="4" w:space="0" w:color="auto"/>
            </w:tcBorders>
            <w:shd w:val="clear" w:color="auto" w:fill="auto"/>
            <w:noWrap/>
            <w:vAlign w:val="center"/>
            <w:hideMark/>
          </w:tcPr>
          <w:p w14:paraId="28E93767" w14:textId="44F184D8"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15FF4383" w14:textId="15233E76"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7CCDAAF0" w14:textId="041FFB61"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7923BBC9" w14:textId="59FB68CA"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6AE7FEE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 xml:space="preserve">Yes - digital </w:t>
            </w:r>
            <w:proofErr w:type="spellStart"/>
            <w:r w:rsidRPr="00DB19C7">
              <w:rPr>
                <w:color w:val="auto"/>
                <w:sz w:val="18"/>
                <w:szCs w:val="18"/>
                <w:lang w:eastAsia="en-GB" w:bidi="ar-SA"/>
              </w:rPr>
              <w:t>camara</w:t>
            </w:r>
            <w:proofErr w:type="spellEnd"/>
            <w:r w:rsidRPr="00DB19C7">
              <w:rPr>
                <w:color w:val="auto"/>
                <w:sz w:val="18"/>
                <w:szCs w:val="18"/>
                <w:lang w:eastAsia="en-GB" w:bidi="ar-SA"/>
              </w:rPr>
              <w:t xml:space="preserve"> photo</w:t>
            </w:r>
          </w:p>
        </w:tc>
        <w:tc>
          <w:tcPr>
            <w:tcW w:w="567" w:type="dxa"/>
            <w:tcBorders>
              <w:top w:val="nil"/>
              <w:left w:val="nil"/>
              <w:bottom w:val="single" w:sz="4" w:space="0" w:color="auto"/>
              <w:right w:val="single" w:sz="4" w:space="0" w:color="auto"/>
            </w:tcBorders>
            <w:shd w:val="clear" w:color="auto" w:fill="auto"/>
            <w:noWrap/>
            <w:vAlign w:val="center"/>
            <w:hideMark/>
          </w:tcPr>
          <w:p w14:paraId="612C0CD6" w14:textId="1CF00233"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71F54AE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Sieves</w:t>
            </w:r>
          </w:p>
        </w:tc>
        <w:tc>
          <w:tcPr>
            <w:tcW w:w="737" w:type="dxa"/>
            <w:tcBorders>
              <w:top w:val="nil"/>
              <w:left w:val="nil"/>
              <w:bottom w:val="single" w:sz="4" w:space="0" w:color="auto"/>
              <w:right w:val="single" w:sz="4" w:space="0" w:color="auto"/>
            </w:tcBorders>
            <w:shd w:val="clear" w:color="auto" w:fill="auto"/>
            <w:noWrap/>
            <w:vAlign w:val="center"/>
            <w:hideMark/>
          </w:tcPr>
          <w:p w14:paraId="6A466B1C" w14:textId="16110721"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60</w:t>
            </w:r>
          </w:p>
        </w:tc>
        <w:tc>
          <w:tcPr>
            <w:tcW w:w="737" w:type="dxa"/>
            <w:tcBorders>
              <w:top w:val="nil"/>
              <w:left w:val="nil"/>
              <w:bottom w:val="single" w:sz="4" w:space="0" w:color="auto"/>
              <w:right w:val="single" w:sz="4" w:space="0" w:color="auto"/>
            </w:tcBorders>
            <w:shd w:val="clear" w:color="auto" w:fill="auto"/>
            <w:noWrap/>
            <w:vAlign w:val="center"/>
            <w:hideMark/>
          </w:tcPr>
          <w:p w14:paraId="2A87F534" w14:textId="3E9118D2"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3CD6922D" w14:textId="5F721644"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0EB28A5D" w14:textId="36CD10B6"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1701D8FB" w14:textId="2B726F92"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{"citationItems":[{"id":"ITEM-1","itemData":{"DOI":"10.1016/j.jlp.2012.05.007","ISSN":"0950-4230","abstract":"The research presented in this paper is focused on dust explosions of coarse and fine flocculent (or fibrous) samples of wood and polyethylene. Hybrid mixtures of fibrous polyethylene and admixed ethylene were also studied. Experimentation was conducted by following standardized test procedures and using standardized apparatus for determination of maximum explosion pressure, size-normalized maximum rate of pressure rise, minimum explosible concentration, minimum ignition energy, and minimum ignition temperature. A general trend was observed of enhanced explosion likelihood and consequence severity with a decrease in material diameter, as well as enhanced consequence severity with admixture of a flammable gas to the combustion atmosphere. The same phenomena are well-established for dusts composed of spherical particles; this highlights the importance of inherently safer design and the principle of moderation in avoiding the generation of fine sizes of flocculent dusts and hybrid mixtures of such materials with flammable gases. In addition to presenting experimental findings, the paper describes phenomenological modelling efforts for the flocculent polyethylene using four geometric equivalence models: radial equivalence, volumetric equivalence, surface area equivalence, and specific surface area equivalence. The surface area equivalence model was found to yield the best estimates of maximum rate of pressure rise for the flocculent polyethylene samples investigated experimentally.","author":[{"dropping-particle":"","family":"Amyotte","given":"Paul R","non-dropping-particle":"","parse-names":false,"suffix":""},{"dropping-particle":"","family":"Cloney","given":"Chris T","non-dropping-particle":"","parse-names":false,"suffix":""},{"dropping-particle":"","family":"Khan","given":"Faisal I","non-dropping-particle":"","parse-names":false,"suffix":""},{"dropping-particle":"","family":"Ripley","given":"Robert C","non-dropping-particle":"","parse-names":false,"suffix":""}],"container-title":"Journal of Loss Prevention in the Process Industries","id":"ITEM-1","issue":"5","issued":{"date-parts":[["2012"]]},"page":"862-869","title":"Dust explosion risk moderation for flocculent dusts","type":"article-journal","volume":"25"},"uris":["http://www.mendeley.com/documents/?uuid=a6655299-e3de-4ddd-a10c-c57f03ade195"]}],"mendeley":{"formattedCitation":"[150]","plainTextFormattedCitation":"[150]","previouslyFormattedCitation":"[150]"},"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[150]</w:t>
            </w:r>
            <w:r w:rsidRPr="00DB19C7">
              <w:rPr>
                <w:color w:val="auto"/>
                <w:sz w:val="18"/>
                <w:szCs w:val="18"/>
                <w:lang w:eastAsia="en-GB" w:bidi="ar-SA"/>
              </w:rPr>
              <w:fldChar w:fldCharType="end"/>
            </w:r>
          </w:p>
        </w:tc>
      </w:tr>
      <w:tr w:rsidR="00DB19C7" w:rsidRPr="00DB19C7" w14:paraId="39C94044" w14:textId="72CE90EF"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382BCB55"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75</w:t>
            </w:r>
          </w:p>
        </w:tc>
        <w:tc>
          <w:tcPr>
            <w:tcW w:w="1746" w:type="dxa"/>
            <w:tcBorders>
              <w:top w:val="nil"/>
              <w:left w:val="nil"/>
              <w:bottom w:val="single" w:sz="4" w:space="0" w:color="auto"/>
              <w:right w:val="single" w:sz="4" w:space="0" w:color="auto"/>
            </w:tcBorders>
            <w:shd w:val="clear" w:color="auto" w:fill="auto"/>
            <w:noWrap/>
            <w:vAlign w:val="center"/>
            <w:hideMark/>
          </w:tcPr>
          <w:p w14:paraId="03244623"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 xml:space="preserve">Wood (fibrous sample), fraction &lt; 75 </w:t>
            </w:r>
            <w:proofErr w:type="spellStart"/>
            <w:r w:rsidRPr="00DB19C7">
              <w:rPr>
                <w:color w:val="auto"/>
                <w:sz w:val="18"/>
                <w:szCs w:val="18"/>
                <w:lang w:eastAsia="en-GB" w:bidi="ar-SA"/>
              </w:rPr>
              <w:t>μm</w:t>
            </w:r>
            <w:proofErr w:type="spellEnd"/>
          </w:p>
        </w:tc>
        <w:tc>
          <w:tcPr>
            <w:tcW w:w="767" w:type="dxa"/>
            <w:tcBorders>
              <w:top w:val="nil"/>
              <w:left w:val="nil"/>
              <w:bottom w:val="single" w:sz="4" w:space="0" w:color="auto"/>
              <w:right w:val="single" w:sz="4" w:space="0" w:color="auto"/>
            </w:tcBorders>
            <w:shd w:val="clear" w:color="auto" w:fill="auto"/>
            <w:noWrap/>
            <w:vAlign w:val="center"/>
            <w:hideMark/>
          </w:tcPr>
          <w:p w14:paraId="21A3606B" w14:textId="7406E012" w:rsidR="002B4066" w:rsidRPr="00DB19C7" w:rsidRDefault="002B4066" w:rsidP="002B4066">
            <w:pPr>
              <w:adjustRightInd/>
              <w:snapToGrid/>
              <w:spacing w:line="240" w:lineRule="auto"/>
              <w:jc w:val="center"/>
              <w:rPr>
                <w:color w:val="auto"/>
                <w:sz w:val="18"/>
                <w:szCs w:val="18"/>
                <w:lang w:eastAsia="en-GB" w:bidi="ar-SA"/>
              </w:rPr>
            </w:pPr>
          </w:p>
        </w:tc>
        <w:tc>
          <w:tcPr>
            <w:tcW w:w="767" w:type="dxa"/>
            <w:tcBorders>
              <w:top w:val="nil"/>
              <w:left w:val="nil"/>
              <w:bottom w:val="single" w:sz="4" w:space="0" w:color="auto"/>
              <w:right w:val="single" w:sz="4" w:space="0" w:color="auto"/>
            </w:tcBorders>
            <w:shd w:val="clear" w:color="auto" w:fill="auto"/>
            <w:noWrap/>
            <w:vAlign w:val="center"/>
            <w:hideMark/>
          </w:tcPr>
          <w:p w14:paraId="13B6A917" w14:textId="46CEF718" w:rsidR="002B4066" w:rsidRPr="00DB19C7" w:rsidRDefault="002B4066" w:rsidP="002B4066">
            <w:pPr>
              <w:adjustRightInd/>
              <w:snapToGrid/>
              <w:spacing w:line="240" w:lineRule="auto"/>
              <w:jc w:val="center"/>
              <w:rPr>
                <w:color w:val="auto"/>
                <w:sz w:val="18"/>
                <w:szCs w:val="18"/>
                <w:lang w:eastAsia="en-GB" w:bidi="ar-SA"/>
              </w:rPr>
            </w:pPr>
          </w:p>
        </w:tc>
        <w:tc>
          <w:tcPr>
            <w:tcW w:w="1018" w:type="dxa"/>
            <w:tcBorders>
              <w:top w:val="nil"/>
              <w:left w:val="nil"/>
              <w:bottom w:val="single" w:sz="4" w:space="0" w:color="auto"/>
              <w:right w:val="single" w:sz="4" w:space="0" w:color="auto"/>
            </w:tcBorders>
            <w:shd w:val="clear" w:color="auto" w:fill="auto"/>
            <w:noWrap/>
            <w:vAlign w:val="center"/>
            <w:hideMark/>
          </w:tcPr>
          <w:p w14:paraId="61819505" w14:textId="0CEA2492" w:rsidR="002B4066" w:rsidRPr="00DB19C7" w:rsidRDefault="002B4066" w:rsidP="002B4066">
            <w:pPr>
              <w:adjustRightInd/>
              <w:snapToGrid/>
              <w:spacing w:line="240" w:lineRule="auto"/>
              <w:jc w:val="center"/>
              <w:rPr>
                <w:color w:val="auto"/>
                <w:sz w:val="18"/>
                <w:szCs w:val="18"/>
                <w:lang w:eastAsia="en-GB" w:bidi="ar-SA"/>
              </w:rPr>
            </w:pPr>
          </w:p>
        </w:tc>
        <w:tc>
          <w:tcPr>
            <w:tcW w:w="1096" w:type="dxa"/>
            <w:tcBorders>
              <w:top w:val="nil"/>
              <w:left w:val="nil"/>
              <w:bottom w:val="single" w:sz="4" w:space="0" w:color="auto"/>
              <w:right w:val="single" w:sz="4" w:space="0" w:color="auto"/>
            </w:tcBorders>
            <w:shd w:val="clear" w:color="auto" w:fill="auto"/>
            <w:noWrap/>
            <w:vAlign w:val="center"/>
            <w:hideMark/>
          </w:tcPr>
          <w:p w14:paraId="433ECD76" w14:textId="1D9CDC5B"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5B5D103E" w14:textId="0D89A825"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1C44F557" w14:textId="75044245"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1C84C3C7" w14:textId="3F6F3F10"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2C577379"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567" w:type="dxa"/>
            <w:tcBorders>
              <w:top w:val="nil"/>
              <w:left w:val="nil"/>
              <w:bottom w:val="single" w:sz="4" w:space="0" w:color="auto"/>
              <w:right w:val="single" w:sz="4" w:space="0" w:color="auto"/>
            </w:tcBorders>
            <w:shd w:val="clear" w:color="auto" w:fill="auto"/>
            <w:noWrap/>
            <w:vAlign w:val="center"/>
            <w:hideMark/>
          </w:tcPr>
          <w:p w14:paraId="31F5BC0E" w14:textId="29D3152B"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3B3C296C"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Sieves</w:t>
            </w:r>
          </w:p>
        </w:tc>
        <w:tc>
          <w:tcPr>
            <w:tcW w:w="737" w:type="dxa"/>
            <w:tcBorders>
              <w:top w:val="nil"/>
              <w:left w:val="nil"/>
              <w:bottom w:val="single" w:sz="4" w:space="0" w:color="auto"/>
              <w:right w:val="single" w:sz="4" w:space="0" w:color="auto"/>
            </w:tcBorders>
            <w:shd w:val="clear" w:color="auto" w:fill="auto"/>
            <w:noWrap/>
            <w:vAlign w:val="center"/>
            <w:hideMark/>
          </w:tcPr>
          <w:p w14:paraId="0E0DE0E4" w14:textId="5940B499"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60</w:t>
            </w:r>
          </w:p>
        </w:tc>
        <w:tc>
          <w:tcPr>
            <w:tcW w:w="737" w:type="dxa"/>
            <w:tcBorders>
              <w:top w:val="nil"/>
              <w:left w:val="nil"/>
              <w:bottom w:val="single" w:sz="4" w:space="0" w:color="auto"/>
              <w:right w:val="single" w:sz="4" w:space="0" w:color="auto"/>
            </w:tcBorders>
            <w:shd w:val="clear" w:color="auto" w:fill="auto"/>
            <w:noWrap/>
            <w:vAlign w:val="center"/>
            <w:hideMark/>
          </w:tcPr>
          <w:p w14:paraId="45793756" w14:textId="21DFC99F"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564CB409" w14:textId="214698AE"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57A39649" w14:textId="2C5BFC5E"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2385AFB2" w14:textId="602EFAFF"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{"citationItems":[{"id":"ITEM-1","itemData":{"DOI":"10.1016/j.jlp.2012.05.007","ISSN":"0950-4230","abstract":"The research presented in this paper is focused on dust explosions of coarse and fine flocculent (or fibrous) samples of wood and polyethylene. Hybrid mixtures of fibrous polyethylene and admixed ethylene were also studied. Experimentation was conducted by following standardized test procedures and using standardized apparatus for determination of maximum explosion pressure, size-normalized maximum rate of pressure rise, minimum explosible concentration, minimum ignition energy, and minimum ignition temperature. A general trend was observed of enhanced explosion likelihood and consequence severity with a decrease in material diameter, as well as enhanced consequence severity with admixture of a flammable gas to the combustion atmosphere. The same phenomena are well-established for dusts composed of spherical particles; this highlights the importance of inherently safer design and the principle of moderation in avoiding the generation of fine sizes of flocculent dusts and hybrid mixtures of such materials with flammable gases. In addition to presenting experimental findings, the paper describes phenomenological modelling efforts for the flocculent polyethylene using four geometric equivalence models: radial equivalence, volumetric equivalence, surface area equivalence, and specific surface area equivalence. The surface area equivalence model was found to yield the best estimates of maximum rate of pressure rise for the flocculent polyethylene samples investigated experimentally.","author":[{"dropping-particle":"","family":"Amyotte","given":"Paul R","non-dropping-particle":"","parse-names":false,"suffix":""},{"dropping-particle":"","family":"Cloney","given":"Chris T","non-dropping-particle":"","parse-names":false,"suffix":""},{"dropping-particle":"","family":"Khan","given":"Faisal I","non-dropping-particle":"","parse-names":false,"suffix":""},{"dropping-particle":"","family":"Ripley","given":"Robert C","non-dropping-particle":"","parse-names":false,"suffix":""}],"container-title":"Journal of Loss Prevention in the Process Industries","id":"ITEM-1","issue":"5","issued":{"date-parts":[["2012"]]},"page":"862-869","title":"Dust explosion risk moderation for flocculent dusts","type":"article-journal","volume":"25"},"uris":["http://www.mendeley.com/documents/?uuid=a6655299-e3de-4ddd-a10c-c57f03ade195"]}],"mendeley":{"formattedCitation":"[150]","plainTextFormattedCitation":"[150]","previouslyFormattedCitation":"[150]"},"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[150]</w:t>
            </w:r>
            <w:r w:rsidRPr="00DB19C7">
              <w:rPr>
                <w:color w:val="auto"/>
                <w:sz w:val="18"/>
                <w:szCs w:val="18"/>
                <w:lang w:eastAsia="en-GB" w:bidi="ar-SA"/>
              </w:rPr>
              <w:fldChar w:fldCharType="end"/>
            </w:r>
          </w:p>
        </w:tc>
      </w:tr>
      <w:tr w:rsidR="00DB19C7" w:rsidRPr="00DB19C7" w14:paraId="59095C0A" w14:textId="4F37DC53"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78B3510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76</w:t>
            </w:r>
          </w:p>
        </w:tc>
        <w:tc>
          <w:tcPr>
            <w:tcW w:w="1746" w:type="dxa"/>
            <w:tcBorders>
              <w:top w:val="nil"/>
              <w:left w:val="nil"/>
              <w:bottom w:val="single" w:sz="4" w:space="0" w:color="auto"/>
              <w:right w:val="single" w:sz="4" w:space="0" w:color="auto"/>
            </w:tcBorders>
            <w:shd w:val="clear" w:color="auto" w:fill="auto"/>
            <w:noWrap/>
            <w:vAlign w:val="center"/>
            <w:hideMark/>
          </w:tcPr>
          <w:p w14:paraId="12399CE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 xml:space="preserve">wood (mixture of beech and oak), fraction 25-45 </w:t>
            </w:r>
            <w:proofErr w:type="spellStart"/>
            <w:r w:rsidRPr="00DB19C7">
              <w:rPr>
                <w:color w:val="auto"/>
                <w:sz w:val="18"/>
                <w:szCs w:val="18"/>
                <w:lang w:eastAsia="en-GB" w:bidi="ar-SA"/>
              </w:rPr>
              <w:t>μm</w:t>
            </w:r>
            <w:proofErr w:type="spellEnd"/>
          </w:p>
        </w:tc>
        <w:tc>
          <w:tcPr>
            <w:tcW w:w="767" w:type="dxa"/>
            <w:tcBorders>
              <w:top w:val="nil"/>
              <w:left w:val="nil"/>
              <w:bottom w:val="single" w:sz="4" w:space="0" w:color="auto"/>
              <w:right w:val="single" w:sz="4" w:space="0" w:color="auto"/>
            </w:tcBorders>
            <w:shd w:val="clear" w:color="auto" w:fill="auto"/>
            <w:noWrap/>
            <w:vAlign w:val="center"/>
            <w:hideMark/>
          </w:tcPr>
          <w:p w14:paraId="4745AF93" w14:textId="5FED5B9E" w:rsidR="002B4066" w:rsidRPr="00DB19C7" w:rsidRDefault="002B4066" w:rsidP="002B4066">
            <w:pPr>
              <w:adjustRightInd/>
              <w:snapToGrid/>
              <w:spacing w:line="240" w:lineRule="auto"/>
              <w:jc w:val="center"/>
              <w:rPr>
                <w:color w:val="auto"/>
                <w:sz w:val="18"/>
                <w:szCs w:val="18"/>
                <w:lang w:eastAsia="en-GB" w:bidi="ar-SA"/>
              </w:rPr>
            </w:pPr>
          </w:p>
        </w:tc>
        <w:tc>
          <w:tcPr>
            <w:tcW w:w="767" w:type="dxa"/>
            <w:tcBorders>
              <w:top w:val="nil"/>
              <w:left w:val="nil"/>
              <w:bottom w:val="single" w:sz="4" w:space="0" w:color="auto"/>
              <w:right w:val="single" w:sz="4" w:space="0" w:color="auto"/>
            </w:tcBorders>
            <w:shd w:val="clear" w:color="auto" w:fill="auto"/>
            <w:noWrap/>
            <w:vAlign w:val="center"/>
            <w:hideMark/>
          </w:tcPr>
          <w:p w14:paraId="576D69D3" w14:textId="2FE0A274" w:rsidR="002B4066" w:rsidRPr="00DB19C7" w:rsidRDefault="002B4066" w:rsidP="002B4066">
            <w:pPr>
              <w:adjustRightInd/>
              <w:snapToGrid/>
              <w:spacing w:line="240" w:lineRule="auto"/>
              <w:jc w:val="center"/>
              <w:rPr>
                <w:color w:val="auto"/>
                <w:sz w:val="18"/>
                <w:szCs w:val="18"/>
                <w:lang w:eastAsia="en-GB" w:bidi="ar-SA"/>
              </w:rPr>
            </w:pPr>
          </w:p>
        </w:tc>
        <w:tc>
          <w:tcPr>
            <w:tcW w:w="1018" w:type="dxa"/>
            <w:tcBorders>
              <w:top w:val="nil"/>
              <w:left w:val="nil"/>
              <w:bottom w:val="single" w:sz="4" w:space="0" w:color="auto"/>
              <w:right w:val="single" w:sz="4" w:space="0" w:color="auto"/>
            </w:tcBorders>
            <w:shd w:val="clear" w:color="auto" w:fill="auto"/>
            <w:noWrap/>
            <w:vAlign w:val="center"/>
            <w:hideMark/>
          </w:tcPr>
          <w:p w14:paraId="1B81B22D" w14:textId="57C4FEC0" w:rsidR="002B4066" w:rsidRPr="00DB19C7" w:rsidRDefault="002B4066" w:rsidP="002B4066">
            <w:pPr>
              <w:adjustRightInd/>
              <w:snapToGrid/>
              <w:spacing w:line="240" w:lineRule="auto"/>
              <w:jc w:val="center"/>
              <w:rPr>
                <w:color w:val="auto"/>
                <w:sz w:val="18"/>
                <w:szCs w:val="18"/>
                <w:lang w:eastAsia="en-GB" w:bidi="ar-SA"/>
              </w:rPr>
            </w:pPr>
          </w:p>
        </w:tc>
        <w:tc>
          <w:tcPr>
            <w:tcW w:w="1096" w:type="dxa"/>
            <w:tcBorders>
              <w:top w:val="nil"/>
              <w:left w:val="nil"/>
              <w:bottom w:val="single" w:sz="4" w:space="0" w:color="auto"/>
              <w:right w:val="single" w:sz="4" w:space="0" w:color="auto"/>
            </w:tcBorders>
            <w:shd w:val="clear" w:color="auto" w:fill="auto"/>
            <w:noWrap/>
            <w:vAlign w:val="center"/>
            <w:hideMark/>
          </w:tcPr>
          <w:p w14:paraId="599D18C0" w14:textId="10EE4938"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7ACB64A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23.5</w:t>
            </w:r>
          </w:p>
        </w:tc>
        <w:tc>
          <w:tcPr>
            <w:tcW w:w="765" w:type="dxa"/>
            <w:tcBorders>
              <w:top w:val="nil"/>
              <w:left w:val="nil"/>
              <w:bottom w:val="single" w:sz="4" w:space="0" w:color="auto"/>
              <w:right w:val="single" w:sz="4" w:space="0" w:color="auto"/>
            </w:tcBorders>
            <w:shd w:val="clear" w:color="auto" w:fill="auto"/>
            <w:noWrap/>
            <w:vAlign w:val="center"/>
            <w:hideMark/>
          </w:tcPr>
          <w:p w14:paraId="67E03706" w14:textId="3B6DF7F2"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1FABC669" w14:textId="04CDE3D9"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1BE76CD5"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567" w:type="dxa"/>
            <w:tcBorders>
              <w:top w:val="nil"/>
              <w:left w:val="nil"/>
              <w:bottom w:val="single" w:sz="4" w:space="0" w:color="auto"/>
              <w:right w:val="single" w:sz="4" w:space="0" w:color="auto"/>
            </w:tcBorders>
            <w:shd w:val="clear" w:color="auto" w:fill="auto"/>
            <w:noWrap/>
            <w:vAlign w:val="center"/>
            <w:hideMark/>
          </w:tcPr>
          <w:p w14:paraId="1846F42F" w14:textId="69AAA2A5"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75126984"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Coulter counter</w:t>
            </w:r>
          </w:p>
        </w:tc>
        <w:tc>
          <w:tcPr>
            <w:tcW w:w="737" w:type="dxa"/>
            <w:tcBorders>
              <w:top w:val="nil"/>
              <w:left w:val="nil"/>
              <w:bottom w:val="single" w:sz="4" w:space="0" w:color="auto"/>
              <w:right w:val="single" w:sz="4" w:space="0" w:color="auto"/>
            </w:tcBorders>
            <w:shd w:val="clear" w:color="auto" w:fill="auto"/>
            <w:noWrap/>
            <w:vAlign w:val="center"/>
            <w:hideMark/>
          </w:tcPr>
          <w:p w14:paraId="5E66E0DE" w14:textId="60260553"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40</w:t>
            </w:r>
          </w:p>
        </w:tc>
        <w:tc>
          <w:tcPr>
            <w:tcW w:w="737" w:type="dxa"/>
            <w:tcBorders>
              <w:top w:val="nil"/>
              <w:left w:val="nil"/>
              <w:bottom w:val="single" w:sz="4" w:space="0" w:color="auto"/>
              <w:right w:val="single" w:sz="4" w:space="0" w:color="auto"/>
            </w:tcBorders>
            <w:shd w:val="clear" w:color="auto" w:fill="auto"/>
            <w:noWrap/>
            <w:vAlign w:val="center"/>
            <w:hideMark/>
          </w:tcPr>
          <w:p w14:paraId="2BCD7E7D" w14:textId="522E713A"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057A5316" w14:textId="5ABA9D61"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40D22605" w14:textId="44346DE0"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25927151" w14:textId="055FE301"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{"citationItems":[{"id":"ITEM-1","itemData":{"DOI":"10.1016/j.powtec.2005.05.021","ISSN":"0032-5910","abstract":"The explosion ability of wood dust was characterized by a 20 L explosion sphere (Kühner). The overpressure inside the sphere is recorded during the explosion. The results show that the violence of the explosion is all the more important that the particle size is low. A model based on balances on chemical reaction, kinetics and thermodynamics leads to the representation of the pressure change during the explosion. There is a good agreement between the calculations and the experiments.","author":[{"dropping-particle":"","family":"Callé","given":"S","non-dropping-particle":"","parse-names":false,"suffix":""},{"dropping-particle":"","family":"Klaba","given":"L","non-dropping-particle":"","parse-names":false,"suffix":""},{"dropping-particle":"","family":"Thomas","given":"D","non-dropping-particle":"","parse-names":false,"suffix":""},{"dropping-particle":"","family":"Perrin","given":"L","non-dropping-particle":"","parse-names":false,"suffix":""},{"dropping-particle":"","family":"Dufaud","given":"O","non-dropping-particle":"","parse-names":false,"suffix":""}],"container-title":"Powder Technology","id":"ITEM-1","issue":"1","issued":{"date-parts":[["2005"]]},"page":"144-148","title":"Influence of the size distribution and concentration on wood dust explosion: Experiments and reaction modelling","type":"article-journal","volume":"157"},"uris":["http://www.mendeley.com/documents/?uuid=2c7744c8-4e7d-4bf0-8013-aefbf9b4ecdc"]}],"mendeley":{"formattedCitation":"[151]","plainTextFormattedCitation":"[151]","previouslyFormattedCitation":"[151]"},"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[151]</w:t>
            </w:r>
            <w:r w:rsidRPr="00DB19C7">
              <w:rPr>
                <w:color w:val="auto"/>
                <w:sz w:val="18"/>
                <w:szCs w:val="18"/>
                <w:lang w:eastAsia="en-GB" w:bidi="ar-SA"/>
              </w:rPr>
              <w:fldChar w:fldCharType="end"/>
            </w:r>
          </w:p>
        </w:tc>
      </w:tr>
      <w:tr w:rsidR="00DB19C7" w:rsidRPr="00DB19C7" w14:paraId="794281A0" w14:textId="48AE20E0"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571CDDB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77</w:t>
            </w:r>
          </w:p>
        </w:tc>
        <w:tc>
          <w:tcPr>
            <w:tcW w:w="1746" w:type="dxa"/>
            <w:tcBorders>
              <w:top w:val="nil"/>
              <w:left w:val="nil"/>
              <w:bottom w:val="single" w:sz="4" w:space="0" w:color="auto"/>
              <w:right w:val="single" w:sz="4" w:space="0" w:color="auto"/>
            </w:tcBorders>
            <w:shd w:val="clear" w:color="auto" w:fill="auto"/>
            <w:noWrap/>
            <w:vAlign w:val="center"/>
            <w:hideMark/>
          </w:tcPr>
          <w:p w14:paraId="0973DABB" w14:textId="2A6809D6"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 xml:space="preserve">wood (mixture of beech and oak), fraction 45-71 </w:t>
            </w:r>
            <w:proofErr w:type="spellStart"/>
            <w:r w:rsidRPr="00DB19C7">
              <w:rPr>
                <w:color w:val="auto"/>
                <w:sz w:val="18"/>
                <w:szCs w:val="18"/>
                <w:lang w:eastAsia="en-GB" w:bidi="ar-SA"/>
              </w:rPr>
              <w:t>μm</w:t>
            </w:r>
            <w:proofErr w:type="spellEnd"/>
          </w:p>
        </w:tc>
        <w:tc>
          <w:tcPr>
            <w:tcW w:w="767" w:type="dxa"/>
            <w:tcBorders>
              <w:top w:val="nil"/>
              <w:left w:val="nil"/>
              <w:bottom w:val="single" w:sz="4" w:space="0" w:color="auto"/>
              <w:right w:val="single" w:sz="4" w:space="0" w:color="auto"/>
            </w:tcBorders>
            <w:shd w:val="clear" w:color="auto" w:fill="auto"/>
            <w:noWrap/>
            <w:vAlign w:val="center"/>
            <w:hideMark/>
          </w:tcPr>
          <w:p w14:paraId="3C9AF274" w14:textId="744E19F3" w:rsidR="002B4066" w:rsidRPr="00DB19C7" w:rsidRDefault="002B4066" w:rsidP="002B4066">
            <w:pPr>
              <w:adjustRightInd/>
              <w:snapToGrid/>
              <w:spacing w:line="240" w:lineRule="auto"/>
              <w:jc w:val="center"/>
              <w:rPr>
                <w:color w:val="auto"/>
                <w:sz w:val="18"/>
                <w:szCs w:val="18"/>
                <w:lang w:eastAsia="en-GB" w:bidi="ar-SA"/>
              </w:rPr>
            </w:pPr>
          </w:p>
        </w:tc>
        <w:tc>
          <w:tcPr>
            <w:tcW w:w="767" w:type="dxa"/>
            <w:tcBorders>
              <w:top w:val="nil"/>
              <w:left w:val="nil"/>
              <w:bottom w:val="single" w:sz="4" w:space="0" w:color="auto"/>
              <w:right w:val="single" w:sz="4" w:space="0" w:color="auto"/>
            </w:tcBorders>
            <w:shd w:val="clear" w:color="auto" w:fill="auto"/>
            <w:noWrap/>
            <w:vAlign w:val="center"/>
            <w:hideMark/>
          </w:tcPr>
          <w:p w14:paraId="1F5420A9" w14:textId="73467CDB" w:rsidR="002B4066" w:rsidRPr="00DB19C7" w:rsidRDefault="002B4066" w:rsidP="002B4066">
            <w:pPr>
              <w:adjustRightInd/>
              <w:snapToGrid/>
              <w:spacing w:line="240" w:lineRule="auto"/>
              <w:jc w:val="center"/>
              <w:rPr>
                <w:color w:val="auto"/>
                <w:sz w:val="18"/>
                <w:szCs w:val="18"/>
                <w:lang w:eastAsia="en-GB" w:bidi="ar-SA"/>
              </w:rPr>
            </w:pPr>
          </w:p>
        </w:tc>
        <w:tc>
          <w:tcPr>
            <w:tcW w:w="1018" w:type="dxa"/>
            <w:tcBorders>
              <w:top w:val="nil"/>
              <w:left w:val="nil"/>
              <w:bottom w:val="single" w:sz="4" w:space="0" w:color="auto"/>
              <w:right w:val="single" w:sz="4" w:space="0" w:color="auto"/>
            </w:tcBorders>
            <w:shd w:val="clear" w:color="auto" w:fill="auto"/>
            <w:noWrap/>
            <w:vAlign w:val="center"/>
            <w:hideMark/>
          </w:tcPr>
          <w:p w14:paraId="7975C909" w14:textId="7230C7E1" w:rsidR="002B4066" w:rsidRPr="00DB19C7" w:rsidRDefault="002B4066" w:rsidP="002B4066">
            <w:pPr>
              <w:adjustRightInd/>
              <w:snapToGrid/>
              <w:spacing w:line="240" w:lineRule="auto"/>
              <w:jc w:val="center"/>
              <w:rPr>
                <w:color w:val="auto"/>
                <w:sz w:val="18"/>
                <w:szCs w:val="18"/>
                <w:lang w:eastAsia="en-GB" w:bidi="ar-SA"/>
              </w:rPr>
            </w:pPr>
          </w:p>
        </w:tc>
        <w:tc>
          <w:tcPr>
            <w:tcW w:w="1096" w:type="dxa"/>
            <w:tcBorders>
              <w:top w:val="nil"/>
              <w:left w:val="nil"/>
              <w:bottom w:val="single" w:sz="4" w:space="0" w:color="auto"/>
              <w:right w:val="single" w:sz="4" w:space="0" w:color="auto"/>
            </w:tcBorders>
            <w:shd w:val="clear" w:color="auto" w:fill="auto"/>
            <w:noWrap/>
            <w:vAlign w:val="center"/>
            <w:hideMark/>
          </w:tcPr>
          <w:p w14:paraId="36AE4FB6" w14:textId="4317B08F"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5834D341"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42.7</w:t>
            </w:r>
          </w:p>
        </w:tc>
        <w:tc>
          <w:tcPr>
            <w:tcW w:w="765" w:type="dxa"/>
            <w:tcBorders>
              <w:top w:val="nil"/>
              <w:left w:val="nil"/>
              <w:bottom w:val="single" w:sz="4" w:space="0" w:color="auto"/>
              <w:right w:val="single" w:sz="4" w:space="0" w:color="auto"/>
            </w:tcBorders>
            <w:shd w:val="clear" w:color="auto" w:fill="auto"/>
            <w:noWrap/>
            <w:vAlign w:val="center"/>
            <w:hideMark/>
          </w:tcPr>
          <w:p w14:paraId="7D995228" w14:textId="5470F959"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7DF1B7CC" w14:textId="0D1AB9DB"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3D250346"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567" w:type="dxa"/>
            <w:tcBorders>
              <w:top w:val="nil"/>
              <w:left w:val="nil"/>
              <w:bottom w:val="single" w:sz="4" w:space="0" w:color="auto"/>
              <w:right w:val="single" w:sz="4" w:space="0" w:color="auto"/>
            </w:tcBorders>
            <w:shd w:val="clear" w:color="auto" w:fill="auto"/>
            <w:noWrap/>
            <w:vAlign w:val="center"/>
            <w:hideMark/>
          </w:tcPr>
          <w:p w14:paraId="4FFB5923" w14:textId="5558B6F6"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78978334"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Coulter counter</w:t>
            </w:r>
          </w:p>
        </w:tc>
        <w:tc>
          <w:tcPr>
            <w:tcW w:w="737" w:type="dxa"/>
            <w:tcBorders>
              <w:top w:val="nil"/>
              <w:left w:val="nil"/>
              <w:bottom w:val="single" w:sz="4" w:space="0" w:color="auto"/>
              <w:right w:val="single" w:sz="4" w:space="0" w:color="auto"/>
            </w:tcBorders>
            <w:shd w:val="clear" w:color="auto" w:fill="auto"/>
            <w:noWrap/>
            <w:vAlign w:val="center"/>
            <w:hideMark/>
          </w:tcPr>
          <w:p w14:paraId="67916CE1" w14:textId="2DA729FA"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40</w:t>
            </w:r>
          </w:p>
        </w:tc>
        <w:tc>
          <w:tcPr>
            <w:tcW w:w="737" w:type="dxa"/>
            <w:tcBorders>
              <w:top w:val="nil"/>
              <w:left w:val="nil"/>
              <w:bottom w:val="single" w:sz="4" w:space="0" w:color="auto"/>
              <w:right w:val="single" w:sz="4" w:space="0" w:color="auto"/>
            </w:tcBorders>
            <w:shd w:val="clear" w:color="auto" w:fill="auto"/>
            <w:noWrap/>
            <w:vAlign w:val="center"/>
            <w:hideMark/>
          </w:tcPr>
          <w:p w14:paraId="510AF1D8" w14:textId="476FE23E"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2BECB9D8" w14:textId="2A474D6D"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33A26D29" w14:textId="0C720D77"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0F7EA026" w14:textId="4A945316"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{"citationItems":[{"id":"ITEM-1","itemData":{"DOI":"10.1016/j.powtec.2005.05.021","ISSN":"0032-5910","abstract":"The explosion ability of wood dust was characterized by a 20 L explosion sphere (Kühner). The overpressure inside the sphere is recorded during the explosion. The results show that the violence of the explosion is all the more important that the particle size is low. A model based on balances on chemical reaction, kinetics and thermodynamics leads to the representation of the pressure change during the explosion. There is a good agreement between the calculations and the experiments.","author":[{"dropping-particle":"","family":"Callé","given":"S","non-dropping-particle":"","parse-names":false,"suffix":""},{"dropping-particle":"","family":"Klaba","given":"L","non-dropping-particle":"","parse-names":false,"suffix":""},{"dropping-particle":"","family":"Thomas","given":"D","non-dropping-particle":"","parse-names":false,"suffix":""},{"dropping-particle":"","family":"Perrin","given":"L","non-dropping-particle":"","parse-names":false,"suffix":""},{"dropping-particle":"","family":"Dufaud","given":"O","non-dropping-particle":"","parse-names":false,"suffix":""}],"container-title":"Powder Technology","id":"ITEM-1","issue":"1","issued":{"date-parts":[["2005"]]},"page":"144-148","title":"Influence of the size distribution and concentration on wood dust explosion: Experiments and reaction modelling","type":"article-journal","volume":"157"},"uris":["http://www.mendeley.com/documents/?uuid=2c7744c8-4e7d-4bf0-8013-aefbf9b4ecdc"]}],"mendeley":{"formattedCitation":"[151]","plainTextFormattedCitation":"[151]","previouslyFormattedCitation":"[151]"},"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[151]</w:t>
            </w:r>
            <w:r w:rsidRPr="00DB19C7">
              <w:rPr>
                <w:color w:val="auto"/>
                <w:sz w:val="18"/>
                <w:szCs w:val="18"/>
                <w:lang w:eastAsia="en-GB" w:bidi="ar-SA"/>
              </w:rPr>
              <w:fldChar w:fldCharType="end"/>
            </w:r>
          </w:p>
        </w:tc>
      </w:tr>
      <w:tr w:rsidR="00DB19C7" w:rsidRPr="00DB19C7" w14:paraId="56A21C08" w14:textId="5EB7BCCE"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0773DF2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78</w:t>
            </w:r>
          </w:p>
        </w:tc>
        <w:tc>
          <w:tcPr>
            <w:tcW w:w="1746" w:type="dxa"/>
            <w:tcBorders>
              <w:top w:val="nil"/>
              <w:left w:val="nil"/>
              <w:bottom w:val="single" w:sz="4" w:space="0" w:color="auto"/>
              <w:right w:val="single" w:sz="4" w:space="0" w:color="auto"/>
            </w:tcBorders>
            <w:shd w:val="clear" w:color="auto" w:fill="auto"/>
            <w:noWrap/>
            <w:vAlign w:val="center"/>
            <w:hideMark/>
          </w:tcPr>
          <w:p w14:paraId="034375D1"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 xml:space="preserve">wood (mixture of beech and oak), fraction 90-125 </w:t>
            </w:r>
            <w:proofErr w:type="spellStart"/>
            <w:r w:rsidRPr="00DB19C7">
              <w:rPr>
                <w:color w:val="auto"/>
                <w:sz w:val="18"/>
                <w:szCs w:val="18"/>
                <w:lang w:eastAsia="en-GB" w:bidi="ar-SA"/>
              </w:rPr>
              <w:t>μm</w:t>
            </w:r>
            <w:proofErr w:type="spellEnd"/>
          </w:p>
        </w:tc>
        <w:tc>
          <w:tcPr>
            <w:tcW w:w="767" w:type="dxa"/>
            <w:tcBorders>
              <w:top w:val="nil"/>
              <w:left w:val="nil"/>
              <w:bottom w:val="single" w:sz="4" w:space="0" w:color="auto"/>
              <w:right w:val="single" w:sz="4" w:space="0" w:color="auto"/>
            </w:tcBorders>
            <w:shd w:val="clear" w:color="auto" w:fill="auto"/>
            <w:noWrap/>
            <w:vAlign w:val="center"/>
            <w:hideMark/>
          </w:tcPr>
          <w:p w14:paraId="4E0B8653" w14:textId="0E7B50EC" w:rsidR="002B4066" w:rsidRPr="00DB19C7" w:rsidRDefault="002B4066" w:rsidP="002B4066">
            <w:pPr>
              <w:adjustRightInd/>
              <w:snapToGrid/>
              <w:spacing w:line="240" w:lineRule="auto"/>
              <w:jc w:val="center"/>
              <w:rPr>
                <w:color w:val="auto"/>
                <w:sz w:val="18"/>
                <w:szCs w:val="18"/>
                <w:lang w:eastAsia="en-GB" w:bidi="ar-SA"/>
              </w:rPr>
            </w:pPr>
          </w:p>
        </w:tc>
        <w:tc>
          <w:tcPr>
            <w:tcW w:w="767" w:type="dxa"/>
            <w:tcBorders>
              <w:top w:val="nil"/>
              <w:left w:val="nil"/>
              <w:bottom w:val="single" w:sz="4" w:space="0" w:color="auto"/>
              <w:right w:val="single" w:sz="4" w:space="0" w:color="auto"/>
            </w:tcBorders>
            <w:shd w:val="clear" w:color="auto" w:fill="auto"/>
            <w:noWrap/>
            <w:vAlign w:val="center"/>
            <w:hideMark/>
          </w:tcPr>
          <w:p w14:paraId="2B2D0F39" w14:textId="2BDC142D" w:rsidR="002B4066" w:rsidRPr="00DB19C7" w:rsidRDefault="002B4066" w:rsidP="002B4066">
            <w:pPr>
              <w:adjustRightInd/>
              <w:snapToGrid/>
              <w:spacing w:line="240" w:lineRule="auto"/>
              <w:jc w:val="center"/>
              <w:rPr>
                <w:color w:val="auto"/>
                <w:sz w:val="18"/>
                <w:szCs w:val="18"/>
                <w:lang w:eastAsia="en-GB" w:bidi="ar-SA"/>
              </w:rPr>
            </w:pPr>
          </w:p>
        </w:tc>
        <w:tc>
          <w:tcPr>
            <w:tcW w:w="1018" w:type="dxa"/>
            <w:tcBorders>
              <w:top w:val="nil"/>
              <w:left w:val="nil"/>
              <w:bottom w:val="single" w:sz="4" w:space="0" w:color="auto"/>
              <w:right w:val="single" w:sz="4" w:space="0" w:color="auto"/>
            </w:tcBorders>
            <w:shd w:val="clear" w:color="auto" w:fill="auto"/>
            <w:noWrap/>
            <w:vAlign w:val="center"/>
            <w:hideMark/>
          </w:tcPr>
          <w:p w14:paraId="7AADCBDB" w14:textId="34FEBCCB" w:rsidR="002B4066" w:rsidRPr="00DB19C7" w:rsidRDefault="002B4066" w:rsidP="002B4066">
            <w:pPr>
              <w:adjustRightInd/>
              <w:snapToGrid/>
              <w:spacing w:line="240" w:lineRule="auto"/>
              <w:jc w:val="center"/>
              <w:rPr>
                <w:color w:val="auto"/>
                <w:sz w:val="18"/>
                <w:szCs w:val="18"/>
                <w:lang w:eastAsia="en-GB" w:bidi="ar-SA"/>
              </w:rPr>
            </w:pPr>
          </w:p>
        </w:tc>
        <w:tc>
          <w:tcPr>
            <w:tcW w:w="1096" w:type="dxa"/>
            <w:tcBorders>
              <w:top w:val="nil"/>
              <w:left w:val="nil"/>
              <w:bottom w:val="single" w:sz="4" w:space="0" w:color="auto"/>
              <w:right w:val="single" w:sz="4" w:space="0" w:color="auto"/>
            </w:tcBorders>
            <w:shd w:val="clear" w:color="auto" w:fill="auto"/>
            <w:noWrap/>
            <w:vAlign w:val="center"/>
            <w:hideMark/>
          </w:tcPr>
          <w:p w14:paraId="78727BB4" w14:textId="0607354D"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5B009F0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82.5</w:t>
            </w:r>
          </w:p>
        </w:tc>
        <w:tc>
          <w:tcPr>
            <w:tcW w:w="765" w:type="dxa"/>
            <w:tcBorders>
              <w:top w:val="nil"/>
              <w:left w:val="nil"/>
              <w:bottom w:val="single" w:sz="4" w:space="0" w:color="auto"/>
              <w:right w:val="single" w:sz="4" w:space="0" w:color="auto"/>
            </w:tcBorders>
            <w:shd w:val="clear" w:color="auto" w:fill="auto"/>
            <w:noWrap/>
            <w:vAlign w:val="center"/>
            <w:hideMark/>
          </w:tcPr>
          <w:p w14:paraId="41E0B185" w14:textId="2B9D854C"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64071215" w14:textId="550F8E5F"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7E4D9681"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567" w:type="dxa"/>
            <w:tcBorders>
              <w:top w:val="nil"/>
              <w:left w:val="nil"/>
              <w:bottom w:val="single" w:sz="4" w:space="0" w:color="auto"/>
              <w:right w:val="single" w:sz="4" w:space="0" w:color="auto"/>
            </w:tcBorders>
            <w:shd w:val="clear" w:color="auto" w:fill="auto"/>
            <w:noWrap/>
            <w:vAlign w:val="center"/>
            <w:hideMark/>
          </w:tcPr>
          <w:p w14:paraId="0193BBC4" w14:textId="50D5C394"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1B970D1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Coulter counter</w:t>
            </w:r>
          </w:p>
        </w:tc>
        <w:tc>
          <w:tcPr>
            <w:tcW w:w="737" w:type="dxa"/>
            <w:tcBorders>
              <w:top w:val="nil"/>
              <w:left w:val="nil"/>
              <w:bottom w:val="single" w:sz="4" w:space="0" w:color="auto"/>
              <w:right w:val="single" w:sz="4" w:space="0" w:color="auto"/>
            </w:tcBorders>
            <w:shd w:val="clear" w:color="auto" w:fill="auto"/>
            <w:noWrap/>
            <w:vAlign w:val="center"/>
            <w:hideMark/>
          </w:tcPr>
          <w:p w14:paraId="0CDD2E3B" w14:textId="01023A16"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40</w:t>
            </w:r>
          </w:p>
        </w:tc>
        <w:tc>
          <w:tcPr>
            <w:tcW w:w="737" w:type="dxa"/>
            <w:tcBorders>
              <w:top w:val="nil"/>
              <w:left w:val="nil"/>
              <w:bottom w:val="single" w:sz="4" w:space="0" w:color="auto"/>
              <w:right w:val="single" w:sz="4" w:space="0" w:color="auto"/>
            </w:tcBorders>
            <w:shd w:val="clear" w:color="auto" w:fill="auto"/>
            <w:noWrap/>
            <w:vAlign w:val="center"/>
            <w:hideMark/>
          </w:tcPr>
          <w:p w14:paraId="1C433F60" w14:textId="33BCE247"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5AE30EF7" w14:textId="70418BA4"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53C20E0E" w14:textId="1D970838"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77108AA6" w14:textId="374455E6"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{"citationItems":[{"id":"ITEM-1","itemData":{"DOI":"10.1016/j.powtec.2005.05.021","ISSN":"0032-5910","abstract":"The explosion ability of wood dust was characterized by a 20 L explosion sphere (Kühner). The overpressure inside the sphere is recorded during the explosion. The results show that the violence of the explosion is all the more important that the particle size is low. A model based on balances on chemical reaction, kinetics and thermodynamics leads to the representation of the pressure change during the explosion. There is a good agreement between the calculations and the experiments.","author":[{"dropping-particle":"","family":"Callé","given":"S","non-dropping-particle":"","parse-names":false,"suffix":""},{"dropping-particle":"","family":"Klaba","given":"L","non-dropping-particle":"","parse-names":false,"suffix":""},{"dropping-particle":"","family":"Thomas","given":"D","non-dropping-particle":"","parse-names":false,"suffix":""},{"dropping-particle":"","family":"Perrin","given":"L","non-dropping-particle":"","parse-names":false,"suffix":""},{"dropping-particle":"","family":"Dufaud","given":"O","non-dropping-particle":"","parse-names":false,"suffix":""}],"container-title":"Powder Technology","id":"ITEM-1","issue":"1","issued":{"date-parts":[["2005"]]},"page":"144-148","title":"Influence of the size distribution and concentration on wood dust explosion: Experiments and reaction modelling","type":"article-journal","volume":"157"},"uris":["http://www.mendeley.com/documents/?uuid=2c7744c8-4e7d-4bf0-8013-aefbf9b4ecdc"]}],"mendeley":{"formattedCitation":"[151]","plainTextFormattedCitation":"[151]","previouslyFormattedCitation":"[151]"},"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[151]</w:t>
            </w:r>
            <w:r w:rsidRPr="00DB19C7">
              <w:rPr>
                <w:color w:val="auto"/>
                <w:sz w:val="18"/>
                <w:szCs w:val="18"/>
                <w:lang w:eastAsia="en-GB" w:bidi="ar-SA"/>
              </w:rPr>
              <w:fldChar w:fldCharType="end"/>
            </w:r>
          </w:p>
        </w:tc>
      </w:tr>
      <w:tr w:rsidR="00DB19C7" w:rsidRPr="00DB19C7" w14:paraId="7BE9E5FE" w14:textId="4058A7A8"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241A3CC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lastRenderedPageBreak/>
              <w:t>79</w:t>
            </w:r>
          </w:p>
        </w:tc>
        <w:tc>
          <w:tcPr>
            <w:tcW w:w="1746" w:type="dxa"/>
            <w:tcBorders>
              <w:top w:val="nil"/>
              <w:left w:val="nil"/>
              <w:bottom w:val="single" w:sz="4" w:space="0" w:color="auto"/>
              <w:right w:val="single" w:sz="4" w:space="0" w:color="auto"/>
            </w:tcBorders>
            <w:shd w:val="clear" w:color="auto" w:fill="auto"/>
            <w:noWrap/>
            <w:vAlign w:val="center"/>
            <w:hideMark/>
          </w:tcPr>
          <w:p w14:paraId="1D9B0214"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Wood chips</w:t>
            </w:r>
          </w:p>
        </w:tc>
        <w:tc>
          <w:tcPr>
            <w:tcW w:w="767" w:type="dxa"/>
            <w:tcBorders>
              <w:top w:val="nil"/>
              <w:left w:val="nil"/>
              <w:bottom w:val="single" w:sz="4" w:space="0" w:color="auto"/>
              <w:right w:val="single" w:sz="4" w:space="0" w:color="auto"/>
            </w:tcBorders>
            <w:shd w:val="clear" w:color="auto" w:fill="auto"/>
            <w:noWrap/>
            <w:vAlign w:val="center"/>
            <w:hideMark/>
          </w:tcPr>
          <w:p w14:paraId="5EAB73EF" w14:textId="462306B6" w:rsidR="002B4066" w:rsidRPr="00DB19C7" w:rsidRDefault="002B4066" w:rsidP="002B4066">
            <w:pPr>
              <w:adjustRightInd/>
              <w:snapToGrid/>
              <w:spacing w:line="240" w:lineRule="auto"/>
              <w:jc w:val="center"/>
              <w:rPr>
                <w:color w:val="auto"/>
                <w:sz w:val="18"/>
                <w:szCs w:val="18"/>
                <w:lang w:eastAsia="en-GB" w:bidi="ar-SA"/>
              </w:rPr>
            </w:pPr>
          </w:p>
        </w:tc>
        <w:tc>
          <w:tcPr>
            <w:tcW w:w="767" w:type="dxa"/>
            <w:tcBorders>
              <w:top w:val="nil"/>
              <w:left w:val="nil"/>
              <w:bottom w:val="single" w:sz="4" w:space="0" w:color="auto"/>
              <w:right w:val="single" w:sz="4" w:space="0" w:color="auto"/>
            </w:tcBorders>
            <w:shd w:val="clear" w:color="auto" w:fill="auto"/>
            <w:noWrap/>
            <w:vAlign w:val="center"/>
            <w:hideMark/>
          </w:tcPr>
          <w:p w14:paraId="728B7A47"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146.6</w:t>
            </w:r>
          </w:p>
        </w:tc>
        <w:tc>
          <w:tcPr>
            <w:tcW w:w="1018" w:type="dxa"/>
            <w:tcBorders>
              <w:top w:val="nil"/>
              <w:left w:val="nil"/>
              <w:bottom w:val="single" w:sz="4" w:space="0" w:color="auto"/>
              <w:right w:val="single" w:sz="4" w:space="0" w:color="auto"/>
            </w:tcBorders>
            <w:shd w:val="clear" w:color="auto" w:fill="auto"/>
            <w:noWrap/>
            <w:vAlign w:val="center"/>
            <w:hideMark/>
          </w:tcPr>
          <w:p w14:paraId="6BDEE98E" w14:textId="48C56110" w:rsidR="002B4066" w:rsidRPr="00DB19C7" w:rsidRDefault="002B4066" w:rsidP="002B4066">
            <w:pPr>
              <w:adjustRightInd/>
              <w:snapToGrid/>
              <w:spacing w:line="240" w:lineRule="auto"/>
              <w:jc w:val="center"/>
              <w:rPr>
                <w:color w:val="auto"/>
                <w:sz w:val="18"/>
                <w:szCs w:val="18"/>
                <w:lang w:eastAsia="en-GB" w:bidi="ar-SA"/>
              </w:rPr>
            </w:pPr>
          </w:p>
        </w:tc>
        <w:tc>
          <w:tcPr>
            <w:tcW w:w="1096" w:type="dxa"/>
            <w:tcBorders>
              <w:top w:val="nil"/>
              <w:left w:val="nil"/>
              <w:bottom w:val="single" w:sz="4" w:space="0" w:color="auto"/>
              <w:right w:val="single" w:sz="4" w:space="0" w:color="auto"/>
            </w:tcBorders>
            <w:shd w:val="clear" w:color="auto" w:fill="auto"/>
            <w:noWrap/>
            <w:vAlign w:val="center"/>
            <w:hideMark/>
          </w:tcPr>
          <w:p w14:paraId="61B2DEDA" w14:textId="24F1D162"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261C2B3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207.1</w:t>
            </w:r>
          </w:p>
        </w:tc>
        <w:tc>
          <w:tcPr>
            <w:tcW w:w="765" w:type="dxa"/>
            <w:tcBorders>
              <w:top w:val="nil"/>
              <w:left w:val="nil"/>
              <w:bottom w:val="single" w:sz="4" w:space="0" w:color="auto"/>
              <w:right w:val="single" w:sz="4" w:space="0" w:color="auto"/>
            </w:tcBorders>
            <w:shd w:val="clear" w:color="auto" w:fill="auto"/>
            <w:noWrap/>
            <w:vAlign w:val="center"/>
            <w:hideMark/>
          </w:tcPr>
          <w:p w14:paraId="21B189A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92.9</w:t>
            </w:r>
          </w:p>
        </w:tc>
        <w:tc>
          <w:tcPr>
            <w:tcW w:w="1199" w:type="dxa"/>
            <w:tcBorders>
              <w:top w:val="nil"/>
              <w:left w:val="nil"/>
              <w:bottom w:val="single" w:sz="4" w:space="0" w:color="auto"/>
              <w:right w:val="single" w:sz="4" w:space="0" w:color="auto"/>
            </w:tcBorders>
            <w:shd w:val="clear" w:color="auto" w:fill="auto"/>
            <w:noWrap/>
            <w:vAlign w:val="center"/>
            <w:hideMark/>
          </w:tcPr>
          <w:p w14:paraId="32FBCFB9" w14:textId="69A8F4AC"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0.065</w:t>
            </w:r>
          </w:p>
        </w:tc>
        <w:tc>
          <w:tcPr>
            <w:tcW w:w="1137" w:type="dxa"/>
            <w:tcBorders>
              <w:top w:val="nil"/>
              <w:left w:val="nil"/>
              <w:bottom w:val="single" w:sz="4" w:space="0" w:color="auto"/>
              <w:right w:val="single" w:sz="4" w:space="0" w:color="auto"/>
            </w:tcBorders>
            <w:shd w:val="clear" w:color="auto" w:fill="auto"/>
            <w:noWrap/>
            <w:vAlign w:val="center"/>
            <w:hideMark/>
          </w:tcPr>
          <w:p w14:paraId="015CBB3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567" w:type="dxa"/>
            <w:tcBorders>
              <w:top w:val="nil"/>
              <w:left w:val="nil"/>
              <w:bottom w:val="single" w:sz="4" w:space="0" w:color="auto"/>
              <w:right w:val="single" w:sz="4" w:space="0" w:color="auto"/>
            </w:tcBorders>
            <w:shd w:val="clear" w:color="auto" w:fill="auto"/>
            <w:noWrap/>
            <w:vAlign w:val="center"/>
            <w:hideMark/>
          </w:tcPr>
          <w:p w14:paraId="5D85BEC8" w14:textId="572980B2"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6EF4EE26"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456117E6" w14:textId="6E3B1D5B"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38DEA234" w14:textId="6CE20D17"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500181F3" w14:textId="371D0DE3"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64E3380B" w14:textId="70AA91E8"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242EEA83" w14:textId="53A02967"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{"citationItems":[{"id":"ITEM-1","itemData":{"DOI":"10.1007/s10694-018-0782-3","ISSN":"1572-8099","abstract":"Dust layers are present in every industrial facility where solid materials are generated or processed. The emergence of new fuels with still unknown flammability properties generates an increase on the risks related with these facilities that needs to be further studied. Most of these biomasses are susceptible to exothermically react, acting as an ignition source and causing fires and explosions. One of the most common causes of explosions is the ignition of dust layers deposited on the equipment, which could be avoided by a better understanding of the materials. However, the ignitability of these layers depend on several parameters as the particle size and the density of the deposited materials. This paper reports experimental work on hot surface ignition temperatures of layers of different fuels, both biofuels, such as wood or sewage sludge, and fossil fuels, coal and coke. It shows that the common practices that are well-known for fossil fuels cannot be directly extrapolated to new fuels. Unlike fossil fuels, wood-based materials present the same ignition risk in dust and bulk size, so an increase on the particle size does not ensure a safer work space. Furthermore, compacting these materials can increase the ignition risk of these type of layers, contrary to the common practices for fossil fuels storages. These differences point out the need of a complete characterisation of each material to ensure a safe working facility.","author":[{"dropping-particle":"","family":"Fernandez-Anez","given":"Nieves","non-dropping-particle":"","parse-names":false,"suffix":""},{"dropping-particle":"","family":"Garcia-Torrent","given":"Javier","non-dropping-particle":"","parse-names":false,"suffix":""}],"container-title":"Fire Technology","id":"ITEM-1","issue":"1","issued":{"date-parts":[["2019"]]},"page":"175-191","title":"Influence of Particle Size and Density on the Hot Surface Ignition of Solid Fuel Layers","type":"article-journal","volume":"55"},"uris":["http://www.mendeley.com/documents/?uuid=f107a61e-81cb-4767-8f95-3d5cff660de0"]}],"mendeley":{"formattedCitation":"[28]","plainTextFormattedCitation":"[28]","previouslyFormattedCitation":"[28]"},"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[28]</w:t>
            </w:r>
            <w:r w:rsidRPr="00DB19C7">
              <w:rPr>
                <w:color w:val="auto"/>
                <w:sz w:val="18"/>
                <w:szCs w:val="18"/>
                <w:lang w:eastAsia="en-GB" w:bidi="ar-SA"/>
              </w:rPr>
              <w:fldChar w:fldCharType="end"/>
            </w:r>
          </w:p>
        </w:tc>
      </w:tr>
      <w:tr w:rsidR="00DB19C7" w:rsidRPr="00DB19C7" w14:paraId="00C059E4" w14:textId="2E94CC03"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572945F8"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80</w:t>
            </w:r>
          </w:p>
        </w:tc>
        <w:tc>
          <w:tcPr>
            <w:tcW w:w="1746" w:type="dxa"/>
            <w:tcBorders>
              <w:top w:val="nil"/>
              <w:left w:val="nil"/>
              <w:bottom w:val="single" w:sz="4" w:space="0" w:color="auto"/>
              <w:right w:val="single" w:sz="4" w:space="0" w:color="auto"/>
            </w:tcBorders>
            <w:shd w:val="clear" w:color="auto" w:fill="auto"/>
            <w:noWrap/>
            <w:vAlign w:val="center"/>
            <w:hideMark/>
          </w:tcPr>
          <w:p w14:paraId="656E2F4E"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Wood chips</w:t>
            </w:r>
          </w:p>
        </w:tc>
        <w:tc>
          <w:tcPr>
            <w:tcW w:w="767" w:type="dxa"/>
            <w:tcBorders>
              <w:top w:val="nil"/>
              <w:left w:val="nil"/>
              <w:bottom w:val="single" w:sz="4" w:space="0" w:color="auto"/>
              <w:right w:val="single" w:sz="4" w:space="0" w:color="auto"/>
            </w:tcBorders>
            <w:shd w:val="clear" w:color="auto" w:fill="auto"/>
            <w:noWrap/>
            <w:vAlign w:val="center"/>
            <w:hideMark/>
          </w:tcPr>
          <w:p w14:paraId="4F19B8F9" w14:textId="5AAC6651" w:rsidR="002B4066" w:rsidRPr="00DB19C7" w:rsidRDefault="002B4066" w:rsidP="002B4066">
            <w:pPr>
              <w:adjustRightInd/>
              <w:snapToGrid/>
              <w:spacing w:line="240" w:lineRule="auto"/>
              <w:jc w:val="center"/>
              <w:rPr>
                <w:color w:val="auto"/>
                <w:sz w:val="18"/>
                <w:szCs w:val="18"/>
                <w:lang w:eastAsia="en-GB" w:bidi="ar-SA"/>
              </w:rPr>
            </w:pPr>
          </w:p>
        </w:tc>
        <w:tc>
          <w:tcPr>
            <w:tcW w:w="767" w:type="dxa"/>
            <w:tcBorders>
              <w:top w:val="nil"/>
              <w:left w:val="nil"/>
              <w:bottom w:val="single" w:sz="4" w:space="0" w:color="auto"/>
              <w:right w:val="single" w:sz="4" w:space="0" w:color="auto"/>
            </w:tcBorders>
            <w:shd w:val="clear" w:color="auto" w:fill="auto"/>
            <w:noWrap/>
            <w:vAlign w:val="center"/>
            <w:hideMark/>
          </w:tcPr>
          <w:p w14:paraId="28DA090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1100</w:t>
            </w:r>
          </w:p>
        </w:tc>
        <w:tc>
          <w:tcPr>
            <w:tcW w:w="1018" w:type="dxa"/>
            <w:tcBorders>
              <w:top w:val="nil"/>
              <w:left w:val="nil"/>
              <w:bottom w:val="single" w:sz="4" w:space="0" w:color="auto"/>
              <w:right w:val="single" w:sz="4" w:space="0" w:color="auto"/>
            </w:tcBorders>
            <w:shd w:val="clear" w:color="auto" w:fill="auto"/>
            <w:noWrap/>
            <w:vAlign w:val="center"/>
            <w:hideMark/>
          </w:tcPr>
          <w:p w14:paraId="4F99A3A4" w14:textId="22DE2724" w:rsidR="002B4066" w:rsidRPr="00DB19C7" w:rsidRDefault="002B4066" w:rsidP="002B4066">
            <w:pPr>
              <w:adjustRightInd/>
              <w:snapToGrid/>
              <w:spacing w:line="240" w:lineRule="auto"/>
              <w:jc w:val="center"/>
              <w:rPr>
                <w:color w:val="auto"/>
                <w:sz w:val="18"/>
                <w:szCs w:val="18"/>
                <w:lang w:eastAsia="en-GB" w:bidi="ar-SA"/>
              </w:rPr>
            </w:pPr>
          </w:p>
        </w:tc>
        <w:tc>
          <w:tcPr>
            <w:tcW w:w="1096" w:type="dxa"/>
            <w:tcBorders>
              <w:top w:val="nil"/>
              <w:left w:val="nil"/>
              <w:bottom w:val="single" w:sz="4" w:space="0" w:color="auto"/>
              <w:right w:val="single" w:sz="4" w:space="0" w:color="auto"/>
            </w:tcBorders>
            <w:shd w:val="clear" w:color="auto" w:fill="auto"/>
            <w:noWrap/>
            <w:vAlign w:val="center"/>
            <w:hideMark/>
          </w:tcPr>
          <w:p w14:paraId="5427B0B4" w14:textId="7E6B8F16"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11B2D956" w14:textId="3F905144"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154879F5" w14:textId="1E8A7898"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187B6AF2" w14:textId="41411F5C"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51C28F91"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567" w:type="dxa"/>
            <w:tcBorders>
              <w:top w:val="nil"/>
              <w:left w:val="nil"/>
              <w:bottom w:val="single" w:sz="4" w:space="0" w:color="auto"/>
              <w:right w:val="single" w:sz="4" w:space="0" w:color="auto"/>
            </w:tcBorders>
            <w:shd w:val="clear" w:color="auto" w:fill="auto"/>
            <w:noWrap/>
            <w:vAlign w:val="center"/>
            <w:hideMark/>
          </w:tcPr>
          <w:p w14:paraId="300A9CB9" w14:textId="7A5CD27A"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222B2007"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Sieves</w:t>
            </w:r>
          </w:p>
        </w:tc>
        <w:tc>
          <w:tcPr>
            <w:tcW w:w="737" w:type="dxa"/>
            <w:tcBorders>
              <w:top w:val="nil"/>
              <w:left w:val="nil"/>
              <w:bottom w:val="single" w:sz="4" w:space="0" w:color="auto"/>
              <w:right w:val="single" w:sz="4" w:space="0" w:color="auto"/>
            </w:tcBorders>
            <w:shd w:val="clear" w:color="auto" w:fill="auto"/>
            <w:noWrap/>
            <w:vAlign w:val="center"/>
            <w:hideMark/>
          </w:tcPr>
          <w:p w14:paraId="6B787692" w14:textId="56038C27"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0769AA91" w14:textId="61249B7E"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7BC122F6" w14:textId="546E1D1E"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3B67309A" w14:textId="1F5FFAC4"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1F24E526" w14:textId="42612DE2"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{"citationItems":[{"id":"ITEM-1","itemData":{"DOI":"10.1007/s10694-018-0782-3","ISSN":"1572-8099","abstract":"Dust layers are present in every industrial facility where solid materials are generated or processed. The emergence of new fuels with still unknown flammability properties generates an increase on the risks related with these facilities that needs to be further studied. Most of these biomasses are susceptible to exothermically react, acting as an ignition source and causing fires and explosions. One of the most common causes of explosions is the ignition of dust layers deposited on the equipment, which could be avoided by a better understanding of the materials. However, the ignitability of these layers depend on several parameters as the particle size and the density of the deposited materials. This paper reports experimental work on hot surface ignition temperatures of layers of different fuels, both biofuels, such as wood or sewage sludge, and fossil fuels, coal and coke. It shows that the common practices that are well-known for fossil fuels cannot be directly extrapolated to new fuels. Unlike fossil fuels, wood-based materials present the same ignition risk in dust and bulk size, so an increase on the particle size does not ensure a safer work space. Furthermore, compacting these materials can increase the ignition risk of these type of layers, contrary to the common practices for fossil fuels storages. These differences point out the need of a complete characterisation of each material to ensure a safe working facility.","author":[{"dropping-particle":"","family":"Fernandez-Anez","given":"Nieves","non-dropping-particle":"","parse-names":false,"suffix":""},{"dropping-particle":"","family":"Garcia-Torrent","given":"Javier","non-dropping-particle":"","parse-names":false,"suffix":""}],"container-title":"Fire Technology","id":"ITEM-1","issue":"1","issued":{"date-parts":[["2019"]]},"page":"175-191","title":"Influence of Particle Size and Density on the Hot Surface Ignition of Solid Fuel Layers","type":"article-journal","volume":"55"},"uris":["http://www.mendeley.com/documents/?uuid=f107a61e-81cb-4767-8f95-3d5cff660de0"]}],"mendeley":{"formattedCitation":"[28]","plainTextFormattedCitation":"[28]","previouslyFormattedCitation":"[28]"},"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[28]</w:t>
            </w:r>
            <w:r w:rsidRPr="00DB19C7">
              <w:rPr>
                <w:color w:val="auto"/>
                <w:sz w:val="18"/>
                <w:szCs w:val="18"/>
                <w:lang w:eastAsia="en-GB" w:bidi="ar-SA"/>
              </w:rPr>
              <w:fldChar w:fldCharType="end"/>
            </w:r>
          </w:p>
        </w:tc>
      </w:tr>
      <w:tr w:rsidR="00DB19C7" w:rsidRPr="00DB19C7" w14:paraId="631A729F" w14:textId="094A494F"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6E45406A"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81</w:t>
            </w:r>
          </w:p>
        </w:tc>
        <w:tc>
          <w:tcPr>
            <w:tcW w:w="1746" w:type="dxa"/>
            <w:tcBorders>
              <w:top w:val="nil"/>
              <w:left w:val="nil"/>
              <w:bottom w:val="single" w:sz="4" w:space="0" w:color="auto"/>
              <w:right w:val="single" w:sz="4" w:space="0" w:color="auto"/>
            </w:tcBorders>
            <w:shd w:val="clear" w:color="auto" w:fill="auto"/>
            <w:noWrap/>
            <w:vAlign w:val="center"/>
            <w:hideMark/>
          </w:tcPr>
          <w:p w14:paraId="71C5126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Wood dust from the production of particleboard (hammer mill dust)</w:t>
            </w:r>
          </w:p>
        </w:tc>
        <w:tc>
          <w:tcPr>
            <w:tcW w:w="767" w:type="dxa"/>
            <w:tcBorders>
              <w:top w:val="nil"/>
              <w:left w:val="nil"/>
              <w:bottom w:val="single" w:sz="4" w:space="0" w:color="auto"/>
              <w:right w:val="single" w:sz="4" w:space="0" w:color="auto"/>
            </w:tcBorders>
            <w:shd w:val="clear" w:color="auto" w:fill="auto"/>
            <w:noWrap/>
            <w:vAlign w:val="center"/>
            <w:hideMark/>
          </w:tcPr>
          <w:p w14:paraId="305ED999"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4.43</w:t>
            </w:r>
          </w:p>
        </w:tc>
        <w:tc>
          <w:tcPr>
            <w:tcW w:w="767" w:type="dxa"/>
            <w:tcBorders>
              <w:top w:val="nil"/>
              <w:left w:val="nil"/>
              <w:bottom w:val="single" w:sz="4" w:space="0" w:color="auto"/>
              <w:right w:val="single" w:sz="4" w:space="0" w:color="auto"/>
            </w:tcBorders>
            <w:shd w:val="clear" w:color="auto" w:fill="auto"/>
            <w:noWrap/>
            <w:vAlign w:val="center"/>
            <w:hideMark/>
          </w:tcPr>
          <w:p w14:paraId="41CE8BA3"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15.96</w:t>
            </w:r>
          </w:p>
        </w:tc>
        <w:tc>
          <w:tcPr>
            <w:tcW w:w="1018" w:type="dxa"/>
            <w:tcBorders>
              <w:top w:val="nil"/>
              <w:left w:val="nil"/>
              <w:bottom w:val="single" w:sz="4" w:space="0" w:color="auto"/>
              <w:right w:val="single" w:sz="4" w:space="0" w:color="auto"/>
            </w:tcBorders>
            <w:shd w:val="clear" w:color="auto" w:fill="auto"/>
            <w:noWrap/>
            <w:vAlign w:val="center"/>
            <w:hideMark/>
          </w:tcPr>
          <w:p w14:paraId="2BCFC9E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37.74</w:t>
            </w:r>
          </w:p>
        </w:tc>
        <w:tc>
          <w:tcPr>
            <w:tcW w:w="1096" w:type="dxa"/>
            <w:tcBorders>
              <w:top w:val="nil"/>
              <w:left w:val="nil"/>
              <w:bottom w:val="single" w:sz="4" w:space="0" w:color="auto"/>
              <w:right w:val="single" w:sz="4" w:space="0" w:color="auto"/>
            </w:tcBorders>
            <w:shd w:val="clear" w:color="auto" w:fill="auto"/>
            <w:noWrap/>
            <w:vAlign w:val="center"/>
            <w:hideMark/>
          </w:tcPr>
          <w:p w14:paraId="5D807229"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w:t>
            </w:r>
          </w:p>
        </w:tc>
        <w:tc>
          <w:tcPr>
            <w:tcW w:w="767" w:type="dxa"/>
            <w:tcBorders>
              <w:top w:val="nil"/>
              <w:left w:val="nil"/>
              <w:bottom w:val="single" w:sz="4" w:space="0" w:color="auto"/>
              <w:right w:val="single" w:sz="4" w:space="0" w:color="auto"/>
            </w:tcBorders>
            <w:shd w:val="clear" w:color="auto" w:fill="auto"/>
            <w:noWrap/>
            <w:vAlign w:val="center"/>
            <w:hideMark/>
          </w:tcPr>
          <w:p w14:paraId="23A87C4B" w14:textId="4023F623"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11B50438" w14:textId="3EA67AC0"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686F89F2" w14:textId="13BFF005"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1A0BEC3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 - video microscope system</w:t>
            </w:r>
          </w:p>
        </w:tc>
        <w:tc>
          <w:tcPr>
            <w:tcW w:w="567" w:type="dxa"/>
            <w:tcBorders>
              <w:top w:val="nil"/>
              <w:left w:val="nil"/>
              <w:bottom w:val="single" w:sz="4" w:space="0" w:color="auto"/>
              <w:right w:val="single" w:sz="4" w:space="0" w:color="auto"/>
            </w:tcBorders>
            <w:shd w:val="clear" w:color="auto" w:fill="auto"/>
            <w:noWrap/>
            <w:vAlign w:val="center"/>
            <w:hideMark/>
          </w:tcPr>
          <w:p w14:paraId="5671077D"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2.64</w:t>
            </w:r>
          </w:p>
        </w:tc>
        <w:tc>
          <w:tcPr>
            <w:tcW w:w="1134" w:type="dxa"/>
            <w:tcBorders>
              <w:top w:val="nil"/>
              <w:left w:val="nil"/>
              <w:bottom w:val="single" w:sz="4" w:space="0" w:color="auto"/>
              <w:right w:val="single" w:sz="4" w:space="0" w:color="auto"/>
            </w:tcBorders>
            <w:shd w:val="clear" w:color="auto" w:fill="auto"/>
            <w:noWrap/>
            <w:vAlign w:val="center"/>
            <w:hideMark/>
          </w:tcPr>
          <w:p w14:paraId="493931A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Light scattering</w:t>
            </w:r>
          </w:p>
        </w:tc>
        <w:tc>
          <w:tcPr>
            <w:tcW w:w="737" w:type="dxa"/>
            <w:tcBorders>
              <w:top w:val="nil"/>
              <w:left w:val="nil"/>
              <w:bottom w:val="single" w:sz="4" w:space="0" w:color="auto"/>
              <w:right w:val="single" w:sz="4" w:space="0" w:color="auto"/>
            </w:tcBorders>
            <w:shd w:val="clear" w:color="auto" w:fill="auto"/>
            <w:noWrap/>
            <w:vAlign w:val="center"/>
            <w:hideMark/>
          </w:tcPr>
          <w:p w14:paraId="3231EAE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3.88</w:t>
            </w:r>
          </w:p>
        </w:tc>
        <w:tc>
          <w:tcPr>
            <w:tcW w:w="737" w:type="dxa"/>
            <w:tcBorders>
              <w:top w:val="nil"/>
              <w:left w:val="nil"/>
              <w:bottom w:val="single" w:sz="4" w:space="0" w:color="auto"/>
              <w:right w:val="single" w:sz="4" w:space="0" w:color="auto"/>
            </w:tcBorders>
            <w:shd w:val="clear" w:color="auto" w:fill="auto"/>
            <w:noWrap/>
            <w:vAlign w:val="center"/>
            <w:hideMark/>
          </w:tcPr>
          <w:p w14:paraId="400E15C2" w14:textId="4567A23E"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77658BE4" w14:textId="33C807BB"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0DB4908F" w14:textId="1BDD574B"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30683658" w14:textId="252A0C4C"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{"citationItems":[{"id":"ITEM-1","itemData":{"DOI":"10.1016/j.applthermaleng.2016.08.010","ISSN":"1359-4311","abstract":"In this study, dust explosion experiments were conducted to investigate the explosion characteristics of three samples of dust from wood particleboard that had exploded in the manufacturing process. Explosion tests were conducted by utilizing a standardized Siwek 20L apparatus according to the standardized test procedures in the European Standard CEN EN 14034 series and CEN EN 13821. To understand the physiochemical properties of the tested dust samples, the element composition, particle size distribution, and heat release rate were obtained by utilizing an element analyzer, particle-size analyzer, and cone calorimeter, respectively. Explosion pressure and rising explosion pressure featured log-linearly increasing trends in dust concentration and equivalence ratios until the maximum. They then decreased linearly as the dust concentration and equivalence ratios increased. Dust particles of smaller sizes and non-spherical shapes achieved higher maximum explosion pressure and maximum explosion pressure rising rates. The dust concentration at maximum explosion pressure decreased as the dust particle size decreased. Thermal decomposition rates and mass loss rates of dusts, which were calculated from the results of the cone calorimeter test, were mainly affected by the content of noncombustible materials such as nitrogen and inorganic residuals. To suggest a proper method to analyze dust explosion characteristics, the correlations among the tested dust samples were calculated with four variables: dust concentration, equivalence ratio, equivalence ratio based on thermal decomposition rate, and mass loss rate. The results showed that the latter two variables were considered to be more proper methods than the dust concentration and showed slightly better correlation than the equivalence ratio. A bubble graph and a contour diagram of the explosion pressure were also utilized to visualize the degree of explosion risk and to determine a safe region of operation. The test results and analytical methods proposed in this study could be utilized to design methods for the prediction, prevention, and protection of dust explosions.","author":[{"dropping-particle":"","family":"Lee","given":"Min Chul","non-dropping-particle":"","parse-names":false,"suffix":""},{"dropping-particle":"","family":"Kim","given":"Yun Seok","non-dropping-particle":"","parse-names":false,"suffix":""},{"dropping-particle":"","family":"Rie","given":"Dong Ho","non-dropping-particle":"","parse-names":false,"suffix":""}],"container-title":"Applied Thermal Engineering","id":"ITEM-1","issued":{"date-parts":[["2016"]]},"page":"432-439","title":"Analysis of explosion characteristics of combustible wood dust in confined system using the thermal decomposition rate and mass loss rate","type":"article-journal","volume":"109"},"uris":["http://www.mendeley.com/documents/?uuid=1296ab87-201a-405b-a652-25c8c68d5653"]}],"mendeley":{"formattedCitation":"[149]","plainTextFormattedCitation":"[149]","previouslyFormattedCitation":"[149]"},"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[149]</w:t>
            </w:r>
            <w:r w:rsidRPr="00DB19C7">
              <w:rPr>
                <w:color w:val="auto"/>
                <w:sz w:val="18"/>
                <w:szCs w:val="18"/>
                <w:lang w:eastAsia="en-GB" w:bidi="ar-SA"/>
              </w:rPr>
              <w:fldChar w:fldCharType="end"/>
            </w:r>
          </w:p>
        </w:tc>
      </w:tr>
      <w:tr w:rsidR="00DB19C7" w:rsidRPr="00DB19C7" w14:paraId="7C9A2FD4" w14:textId="3355B024"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08AC3234"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82</w:t>
            </w:r>
          </w:p>
        </w:tc>
        <w:tc>
          <w:tcPr>
            <w:tcW w:w="1746" w:type="dxa"/>
            <w:tcBorders>
              <w:top w:val="nil"/>
              <w:left w:val="nil"/>
              <w:bottom w:val="single" w:sz="4" w:space="0" w:color="auto"/>
              <w:right w:val="single" w:sz="4" w:space="0" w:color="auto"/>
            </w:tcBorders>
            <w:shd w:val="clear" w:color="auto" w:fill="auto"/>
            <w:noWrap/>
            <w:vAlign w:val="center"/>
            <w:hideMark/>
          </w:tcPr>
          <w:p w14:paraId="510EB2B5"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Wood dust from the production of particleboard (silo dust)</w:t>
            </w:r>
          </w:p>
        </w:tc>
        <w:tc>
          <w:tcPr>
            <w:tcW w:w="767" w:type="dxa"/>
            <w:tcBorders>
              <w:top w:val="nil"/>
              <w:left w:val="nil"/>
              <w:bottom w:val="single" w:sz="4" w:space="0" w:color="auto"/>
              <w:right w:val="single" w:sz="4" w:space="0" w:color="auto"/>
            </w:tcBorders>
            <w:shd w:val="clear" w:color="auto" w:fill="auto"/>
            <w:noWrap/>
            <w:vAlign w:val="center"/>
            <w:hideMark/>
          </w:tcPr>
          <w:p w14:paraId="3BEA9DF9"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18.96</w:t>
            </w:r>
          </w:p>
        </w:tc>
        <w:tc>
          <w:tcPr>
            <w:tcW w:w="767" w:type="dxa"/>
            <w:tcBorders>
              <w:top w:val="nil"/>
              <w:left w:val="nil"/>
              <w:bottom w:val="single" w:sz="4" w:space="0" w:color="auto"/>
              <w:right w:val="single" w:sz="4" w:space="0" w:color="auto"/>
            </w:tcBorders>
            <w:shd w:val="clear" w:color="auto" w:fill="auto"/>
            <w:noWrap/>
            <w:vAlign w:val="center"/>
            <w:hideMark/>
          </w:tcPr>
          <w:p w14:paraId="32BB3997"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56.02</w:t>
            </w:r>
          </w:p>
        </w:tc>
        <w:tc>
          <w:tcPr>
            <w:tcW w:w="1018" w:type="dxa"/>
            <w:tcBorders>
              <w:top w:val="nil"/>
              <w:left w:val="nil"/>
              <w:bottom w:val="single" w:sz="4" w:space="0" w:color="auto"/>
              <w:right w:val="single" w:sz="4" w:space="0" w:color="auto"/>
            </w:tcBorders>
            <w:shd w:val="clear" w:color="auto" w:fill="auto"/>
            <w:noWrap/>
            <w:vAlign w:val="center"/>
            <w:hideMark/>
          </w:tcPr>
          <w:p w14:paraId="539D316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113.07</w:t>
            </w:r>
          </w:p>
        </w:tc>
        <w:tc>
          <w:tcPr>
            <w:tcW w:w="1096" w:type="dxa"/>
            <w:tcBorders>
              <w:top w:val="nil"/>
              <w:left w:val="nil"/>
              <w:bottom w:val="single" w:sz="4" w:space="0" w:color="auto"/>
              <w:right w:val="single" w:sz="4" w:space="0" w:color="auto"/>
            </w:tcBorders>
            <w:shd w:val="clear" w:color="auto" w:fill="auto"/>
            <w:noWrap/>
            <w:vAlign w:val="center"/>
            <w:hideMark/>
          </w:tcPr>
          <w:p w14:paraId="507DAE5C"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w:t>
            </w:r>
          </w:p>
        </w:tc>
        <w:tc>
          <w:tcPr>
            <w:tcW w:w="767" w:type="dxa"/>
            <w:tcBorders>
              <w:top w:val="nil"/>
              <w:left w:val="nil"/>
              <w:bottom w:val="single" w:sz="4" w:space="0" w:color="auto"/>
              <w:right w:val="single" w:sz="4" w:space="0" w:color="auto"/>
            </w:tcBorders>
            <w:shd w:val="clear" w:color="auto" w:fill="auto"/>
            <w:noWrap/>
            <w:vAlign w:val="center"/>
            <w:hideMark/>
          </w:tcPr>
          <w:p w14:paraId="0096ED1F" w14:textId="156AA13B"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39136EBE" w14:textId="36B804C3"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398C3682" w14:textId="4C9B8CBF"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5313E31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 - video microscope system</w:t>
            </w:r>
          </w:p>
        </w:tc>
        <w:tc>
          <w:tcPr>
            <w:tcW w:w="567" w:type="dxa"/>
            <w:tcBorders>
              <w:top w:val="nil"/>
              <w:left w:val="nil"/>
              <w:bottom w:val="single" w:sz="4" w:space="0" w:color="auto"/>
              <w:right w:val="single" w:sz="4" w:space="0" w:color="auto"/>
            </w:tcBorders>
            <w:shd w:val="clear" w:color="auto" w:fill="auto"/>
            <w:noWrap/>
            <w:vAlign w:val="center"/>
            <w:hideMark/>
          </w:tcPr>
          <w:p w14:paraId="3CFC6065"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2.36</w:t>
            </w:r>
          </w:p>
        </w:tc>
        <w:tc>
          <w:tcPr>
            <w:tcW w:w="1134" w:type="dxa"/>
            <w:tcBorders>
              <w:top w:val="nil"/>
              <w:left w:val="nil"/>
              <w:bottom w:val="single" w:sz="4" w:space="0" w:color="auto"/>
              <w:right w:val="single" w:sz="4" w:space="0" w:color="auto"/>
            </w:tcBorders>
            <w:shd w:val="clear" w:color="auto" w:fill="auto"/>
            <w:noWrap/>
            <w:vAlign w:val="center"/>
            <w:hideMark/>
          </w:tcPr>
          <w:p w14:paraId="390AD783"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Light scattering</w:t>
            </w:r>
          </w:p>
        </w:tc>
        <w:tc>
          <w:tcPr>
            <w:tcW w:w="737" w:type="dxa"/>
            <w:tcBorders>
              <w:top w:val="nil"/>
              <w:left w:val="nil"/>
              <w:bottom w:val="single" w:sz="4" w:space="0" w:color="auto"/>
              <w:right w:val="single" w:sz="4" w:space="0" w:color="auto"/>
            </w:tcBorders>
            <w:shd w:val="clear" w:color="auto" w:fill="auto"/>
            <w:noWrap/>
            <w:vAlign w:val="center"/>
            <w:hideMark/>
          </w:tcPr>
          <w:p w14:paraId="6FFA87BE"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1.74</w:t>
            </w:r>
          </w:p>
        </w:tc>
        <w:tc>
          <w:tcPr>
            <w:tcW w:w="737" w:type="dxa"/>
            <w:tcBorders>
              <w:top w:val="nil"/>
              <w:left w:val="nil"/>
              <w:bottom w:val="single" w:sz="4" w:space="0" w:color="auto"/>
              <w:right w:val="single" w:sz="4" w:space="0" w:color="auto"/>
            </w:tcBorders>
            <w:shd w:val="clear" w:color="auto" w:fill="auto"/>
            <w:noWrap/>
            <w:vAlign w:val="center"/>
            <w:hideMark/>
          </w:tcPr>
          <w:p w14:paraId="793664FA" w14:textId="06736869"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36CCCCD2" w14:textId="147942A3"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69DA73D2" w14:textId="0AFE2D6D"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01B73016" w14:textId="5926873D"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{"citationItems":[{"id":"ITEM-1","itemData":{"DOI":"10.1016/j.applthermaleng.2016.08.010","ISSN":"1359-4311","abstract":"In this study, dust explosion experiments were conducted to investigate the explosion characteristics of three samples of dust from wood particleboard that had exploded in the manufacturing process. Explosion tests were conducted by utilizing a standardized Siwek 20L apparatus according to the standardized test procedures in the European Standard CEN EN 14034 series and CEN EN 13821. To understand the physiochemical properties of the tested dust samples, the element composition, particle size distribution, and heat release rate were obtained by utilizing an element analyzer, particle-size analyzer, and cone calorimeter, respectively. Explosion pressure and rising explosion pressure featured log-linearly increasing trends in dust concentration and equivalence ratios until the maximum. They then decreased linearly as the dust concentration and equivalence ratios increased. Dust particles of smaller sizes and non-spherical shapes achieved higher maximum explosion pressure and maximum explosion pressure rising rates. The dust concentration at maximum explosion pressure decreased as the dust particle size decreased. Thermal decomposition rates and mass loss rates of dusts, which were calculated from the results of the cone calorimeter test, were mainly affected by the content of noncombustible materials such as nitrogen and inorganic residuals. To suggest a proper method to analyze dust explosion characteristics, the correlations among the tested dust samples were calculated with four variables: dust concentration, equivalence ratio, equivalence ratio based on thermal decomposition rate, and mass loss rate. The results showed that the latter two variables were considered to be more proper methods than the dust concentration and showed slightly better correlation than the equivalence ratio. A bubble graph and a contour diagram of the explosion pressure were also utilized to visualize the degree of explosion risk and to determine a safe region of operation. The test results and analytical methods proposed in this study could be utilized to design methods for the prediction, prevention, and protection of dust explosions.","author":[{"dropping-particle":"","family":"Lee","given":"Min Chul","non-dropping-particle":"","parse-names":false,"suffix":""},{"dropping-particle":"","family":"Kim","given":"Yun Seok","non-dropping-particle":"","parse-names":false,"suffix":""},{"dropping-particle":"","family":"Rie","given":"Dong Ho","non-dropping-particle":"","parse-names":false,"suffix":""}],"container-title":"Applied Thermal Engineering","id":"ITEM-1","issued":{"date-parts":[["2016"]]},"page":"432-439","title":"Analysis of explosion characteristics of combustible wood dust in confined system using the thermal decomposition rate and mass loss rate","type":"article-journal","volume":"109"},"uris":["http://www.mendeley.com/documents/?uuid=1296ab87-201a-405b-a652-25c8c68d5653"]}],"mendeley":{"formattedCitation":"[149]","plainTextFormattedCitation":"[149]","previouslyFormattedCitation":"[149]"},"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[149]</w:t>
            </w:r>
            <w:r w:rsidRPr="00DB19C7">
              <w:rPr>
                <w:color w:val="auto"/>
                <w:sz w:val="18"/>
                <w:szCs w:val="18"/>
                <w:lang w:eastAsia="en-GB" w:bidi="ar-SA"/>
              </w:rPr>
              <w:fldChar w:fldCharType="end"/>
            </w:r>
          </w:p>
        </w:tc>
      </w:tr>
      <w:tr w:rsidR="00DB19C7" w:rsidRPr="00DB19C7" w14:paraId="2510D015" w14:textId="033C8417"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4229D179"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83</w:t>
            </w:r>
          </w:p>
        </w:tc>
        <w:tc>
          <w:tcPr>
            <w:tcW w:w="1746" w:type="dxa"/>
            <w:tcBorders>
              <w:top w:val="nil"/>
              <w:left w:val="nil"/>
              <w:bottom w:val="single" w:sz="4" w:space="0" w:color="auto"/>
              <w:right w:val="single" w:sz="4" w:space="0" w:color="auto"/>
            </w:tcBorders>
            <w:shd w:val="clear" w:color="auto" w:fill="auto"/>
            <w:noWrap/>
            <w:vAlign w:val="center"/>
            <w:hideMark/>
          </w:tcPr>
          <w:p w14:paraId="5955F9B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Wood pellets</w:t>
            </w:r>
          </w:p>
        </w:tc>
        <w:tc>
          <w:tcPr>
            <w:tcW w:w="767" w:type="dxa"/>
            <w:tcBorders>
              <w:top w:val="nil"/>
              <w:left w:val="nil"/>
              <w:bottom w:val="single" w:sz="4" w:space="0" w:color="auto"/>
              <w:right w:val="single" w:sz="4" w:space="0" w:color="auto"/>
            </w:tcBorders>
            <w:shd w:val="clear" w:color="auto" w:fill="auto"/>
            <w:noWrap/>
            <w:vAlign w:val="center"/>
            <w:hideMark/>
          </w:tcPr>
          <w:p w14:paraId="525A4E8E" w14:textId="542169A4" w:rsidR="002B4066" w:rsidRPr="00DB19C7" w:rsidRDefault="002B4066" w:rsidP="002B4066">
            <w:pPr>
              <w:adjustRightInd/>
              <w:snapToGrid/>
              <w:spacing w:line="240" w:lineRule="auto"/>
              <w:jc w:val="center"/>
              <w:rPr>
                <w:color w:val="auto"/>
                <w:sz w:val="18"/>
                <w:szCs w:val="18"/>
                <w:lang w:eastAsia="en-GB" w:bidi="ar-SA"/>
              </w:rPr>
            </w:pPr>
          </w:p>
        </w:tc>
        <w:tc>
          <w:tcPr>
            <w:tcW w:w="767" w:type="dxa"/>
            <w:tcBorders>
              <w:top w:val="nil"/>
              <w:left w:val="nil"/>
              <w:bottom w:val="single" w:sz="4" w:space="0" w:color="auto"/>
              <w:right w:val="single" w:sz="4" w:space="0" w:color="auto"/>
            </w:tcBorders>
            <w:shd w:val="clear" w:color="auto" w:fill="auto"/>
            <w:noWrap/>
            <w:vAlign w:val="center"/>
            <w:hideMark/>
          </w:tcPr>
          <w:p w14:paraId="6D846C55"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404.1</w:t>
            </w:r>
          </w:p>
        </w:tc>
        <w:tc>
          <w:tcPr>
            <w:tcW w:w="1018" w:type="dxa"/>
            <w:tcBorders>
              <w:top w:val="nil"/>
              <w:left w:val="nil"/>
              <w:bottom w:val="single" w:sz="4" w:space="0" w:color="auto"/>
              <w:right w:val="single" w:sz="4" w:space="0" w:color="auto"/>
            </w:tcBorders>
            <w:shd w:val="clear" w:color="auto" w:fill="auto"/>
            <w:noWrap/>
            <w:vAlign w:val="center"/>
            <w:hideMark/>
          </w:tcPr>
          <w:p w14:paraId="0C3CF56A" w14:textId="20DE9784" w:rsidR="002B4066" w:rsidRPr="00DB19C7" w:rsidRDefault="002B4066" w:rsidP="002B4066">
            <w:pPr>
              <w:adjustRightInd/>
              <w:snapToGrid/>
              <w:spacing w:line="240" w:lineRule="auto"/>
              <w:jc w:val="center"/>
              <w:rPr>
                <w:color w:val="auto"/>
                <w:sz w:val="18"/>
                <w:szCs w:val="18"/>
                <w:lang w:eastAsia="en-GB" w:bidi="ar-SA"/>
              </w:rPr>
            </w:pPr>
          </w:p>
        </w:tc>
        <w:tc>
          <w:tcPr>
            <w:tcW w:w="1096" w:type="dxa"/>
            <w:tcBorders>
              <w:top w:val="nil"/>
              <w:left w:val="nil"/>
              <w:bottom w:val="single" w:sz="4" w:space="0" w:color="auto"/>
              <w:right w:val="single" w:sz="4" w:space="0" w:color="auto"/>
            </w:tcBorders>
            <w:shd w:val="clear" w:color="auto" w:fill="auto"/>
            <w:noWrap/>
            <w:vAlign w:val="center"/>
            <w:hideMark/>
          </w:tcPr>
          <w:p w14:paraId="199F92CA" w14:textId="383FA80C"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19CF1A77"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210.5</w:t>
            </w:r>
          </w:p>
        </w:tc>
        <w:tc>
          <w:tcPr>
            <w:tcW w:w="765" w:type="dxa"/>
            <w:tcBorders>
              <w:top w:val="nil"/>
              <w:left w:val="nil"/>
              <w:bottom w:val="single" w:sz="4" w:space="0" w:color="auto"/>
              <w:right w:val="single" w:sz="4" w:space="0" w:color="auto"/>
            </w:tcBorders>
            <w:shd w:val="clear" w:color="auto" w:fill="auto"/>
            <w:noWrap/>
            <w:vAlign w:val="center"/>
            <w:hideMark/>
          </w:tcPr>
          <w:p w14:paraId="3936FAD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87.5</w:t>
            </w:r>
          </w:p>
        </w:tc>
        <w:tc>
          <w:tcPr>
            <w:tcW w:w="1199" w:type="dxa"/>
            <w:tcBorders>
              <w:top w:val="nil"/>
              <w:left w:val="nil"/>
              <w:bottom w:val="single" w:sz="4" w:space="0" w:color="auto"/>
              <w:right w:val="single" w:sz="4" w:space="0" w:color="auto"/>
            </w:tcBorders>
            <w:shd w:val="clear" w:color="auto" w:fill="auto"/>
            <w:noWrap/>
            <w:vAlign w:val="center"/>
            <w:hideMark/>
          </w:tcPr>
          <w:p w14:paraId="0D42832C" w14:textId="7BECCB82"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0.069</w:t>
            </w:r>
          </w:p>
        </w:tc>
        <w:tc>
          <w:tcPr>
            <w:tcW w:w="1137" w:type="dxa"/>
            <w:tcBorders>
              <w:top w:val="nil"/>
              <w:left w:val="nil"/>
              <w:bottom w:val="single" w:sz="4" w:space="0" w:color="auto"/>
              <w:right w:val="single" w:sz="4" w:space="0" w:color="auto"/>
            </w:tcBorders>
            <w:shd w:val="clear" w:color="auto" w:fill="auto"/>
            <w:noWrap/>
            <w:vAlign w:val="center"/>
            <w:hideMark/>
          </w:tcPr>
          <w:p w14:paraId="4BAED9C5"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567" w:type="dxa"/>
            <w:tcBorders>
              <w:top w:val="nil"/>
              <w:left w:val="nil"/>
              <w:bottom w:val="single" w:sz="4" w:space="0" w:color="auto"/>
              <w:right w:val="single" w:sz="4" w:space="0" w:color="auto"/>
            </w:tcBorders>
            <w:shd w:val="clear" w:color="auto" w:fill="auto"/>
            <w:noWrap/>
            <w:vAlign w:val="center"/>
            <w:hideMark/>
          </w:tcPr>
          <w:p w14:paraId="0DE5298B" w14:textId="16675BC0"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2B777E35"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22318063" w14:textId="1637A274"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6017143B" w14:textId="6F5FFD7A"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706FF319" w14:textId="508C1A25"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11CDF3DB" w14:textId="29D3DBC7"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6A20CDC1" w14:textId="361F21E0"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{"citationItems":[{"id":"ITEM-1","itemData":{"DOI":"10.1007/s10694-018-0782-3","ISSN":"1572-8099","abstract":"Dust layers are present in every industrial facility where solid materials are generated or processed. The emergence of new fuels with still unknown flammability properties generates an increase on the risks related with these facilities that needs to be further studied. Most of these biomasses are susceptible to exothermically react, acting as an ignition source and causing fires and explosions. One of the most common causes of explosions is the ignition of dust layers deposited on the equipment, which could be avoided by a better understanding of the materials. However, the ignitability of these layers depend on several parameters as the particle size and the density of the deposited materials. This paper reports experimental work on hot surface ignition temperatures of layers of different fuels, both biofuels, such as wood or sewage sludge, and fossil fuels, coal and coke. It shows that the common practices that are well-known for fossil fuels cannot be directly extrapolated to new fuels. Unlike fossil fuels, wood-based materials present the same ignition risk in dust and bulk size, so an increase on the particle size does not ensure a safer work space. Furthermore, compacting these materials can increase the ignition risk of these type of layers, contrary to the common practices for fossil fuels storages. These differences point out the need of a complete characterisation of each material to ensure a safe working facility.","author":[{"dropping-particle":"","family":"Fernandez-Anez","given":"Nieves","non-dropping-particle":"","parse-names":false,"suffix":""},{"dropping-particle":"","family":"Garcia-Torrent","given":"Javier","non-dropping-particle":"","parse-names":false,"suffix":""}],"container-title":"Fire Technology","id":"ITEM-1","issue":"1","issued":{"date-parts":[["2019"]]},"page":"175-191","title":"Influence of Particle Size and Density on the Hot Surface Ignition of Solid Fuel Layers","type":"article-journal","volume":"55"},"uris":["http://www.mendeley.com/documents/?uuid=f107a61e-81cb-4767-8f95-3d5cff660de0"]}],"mendeley":{"formattedCitation":"[28]","plainTextFormattedCitation":"[28]","previouslyFormattedCitation":"[28]"},"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[28]</w:t>
            </w:r>
            <w:r w:rsidRPr="00DB19C7">
              <w:rPr>
                <w:color w:val="auto"/>
                <w:sz w:val="18"/>
                <w:szCs w:val="18"/>
                <w:lang w:eastAsia="en-GB" w:bidi="ar-SA"/>
              </w:rPr>
              <w:fldChar w:fldCharType="end"/>
            </w:r>
          </w:p>
        </w:tc>
      </w:tr>
      <w:tr w:rsidR="00DB19C7" w:rsidRPr="00DB19C7" w14:paraId="06E091B3" w14:textId="097A1251"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110B7FF6"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84</w:t>
            </w:r>
          </w:p>
        </w:tc>
        <w:tc>
          <w:tcPr>
            <w:tcW w:w="1746" w:type="dxa"/>
            <w:tcBorders>
              <w:top w:val="nil"/>
              <w:left w:val="nil"/>
              <w:bottom w:val="single" w:sz="4" w:space="0" w:color="auto"/>
              <w:right w:val="single" w:sz="4" w:space="0" w:color="auto"/>
            </w:tcBorders>
            <w:shd w:val="clear" w:color="auto" w:fill="auto"/>
            <w:noWrap/>
            <w:vAlign w:val="center"/>
            <w:hideMark/>
          </w:tcPr>
          <w:p w14:paraId="0138BB0A"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Wood pellets</w:t>
            </w:r>
          </w:p>
        </w:tc>
        <w:tc>
          <w:tcPr>
            <w:tcW w:w="767" w:type="dxa"/>
            <w:tcBorders>
              <w:top w:val="nil"/>
              <w:left w:val="nil"/>
              <w:bottom w:val="single" w:sz="4" w:space="0" w:color="auto"/>
              <w:right w:val="single" w:sz="4" w:space="0" w:color="auto"/>
            </w:tcBorders>
            <w:shd w:val="clear" w:color="auto" w:fill="auto"/>
            <w:noWrap/>
            <w:vAlign w:val="center"/>
            <w:hideMark/>
          </w:tcPr>
          <w:p w14:paraId="786C2AB9" w14:textId="3FA32F12" w:rsidR="002B4066" w:rsidRPr="00DB19C7" w:rsidRDefault="002B4066" w:rsidP="002B4066">
            <w:pPr>
              <w:adjustRightInd/>
              <w:snapToGrid/>
              <w:spacing w:line="240" w:lineRule="auto"/>
              <w:jc w:val="center"/>
              <w:rPr>
                <w:color w:val="auto"/>
                <w:sz w:val="18"/>
                <w:szCs w:val="18"/>
                <w:lang w:eastAsia="en-GB" w:bidi="ar-SA"/>
              </w:rPr>
            </w:pPr>
          </w:p>
        </w:tc>
        <w:tc>
          <w:tcPr>
            <w:tcW w:w="767" w:type="dxa"/>
            <w:tcBorders>
              <w:top w:val="nil"/>
              <w:left w:val="nil"/>
              <w:bottom w:val="single" w:sz="4" w:space="0" w:color="auto"/>
              <w:right w:val="single" w:sz="4" w:space="0" w:color="auto"/>
            </w:tcBorders>
            <w:shd w:val="clear" w:color="auto" w:fill="auto"/>
            <w:noWrap/>
            <w:vAlign w:val="center"/>
            <w:hideMark/>
          </w:tcPr>
          <w:p w14:paraId="68AFEEF8"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3000</w:t>
            </w:r>
          </w:p>
        </w:tc>
        <w:tc>
          <w:tcPr>
            <w:tcW w:w="1018" w:type="dxa"/>
            <w:tcBorders>
              <w:top w:val="nil"/>
              <w:left w:val="nil"/>
              <w:bottom w:val="single" w:sz="4" w:space="0" w:color="auto"/>
              <w:right w:val="single" w:sz="4" w:space="0" w:color="auto"/>
            </w:tcBorders>
            <w:shd w:val="clear" w:color="auto" w:fill="auto"/>
            <w:noWrap/>
            <w:vAlign w:val="center"/>
            <w:hideMark/>
          </w:tcPr>
          <w:p w14:paraId="406F9DE6" w14:textId="72518DD8" w:rsidR="002B4066" w:rsidRPr="00DB19C7" w:rsidRDefault="002B4066" w:rsidP="002B4066">
            <w:pPr>
              <w:adjustRightInd/>
              <w:snapToGrid/>
              <w:spacing w:line="240" w:lineRule="auto"/>
              <w:jc w:val="center"/>
              <w:rPr>
                <w:color w:val="auto"/>
                <w:sz w:val="18"/>
                <w:szCs w:val="18"/>
                <w:lang w:eastAsia="en-GB" w:bidi="ar-SA"/>
              </w:rPr>
            </w:pPr>
          </w:p>
        </w:tc>
        <w:tc>
          <w:tcPr>
            <w:tcW w:w="1096" w:type="dxa"/>
            <w:tcBorders>
              <w:top w:val="nil"/>
              <w:left w:val="nil"/>
              <w:bottom w:val="single" w:sz="4" w:space="0" w:color="auto"/>
              <w:right w:val="single" w:sz="4" w:space="0" w:color="auto"/>
            </w:tcBorders>
            <w:shd w:val="clear" w:color="auto" w:fill="auto"/>
            <w:noWrap/>
            <w:vAlign w:val="center"/>
            <w:hideMark/>
          </w:tcPr>
          <w:p w14:paraId="1509596C" w14:textId="1DE8225F"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22B8480C" w14:textId="3DBB7C2C"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12B0B699" w14:textId="5C97829E"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2059D4F0" w14:textId="3B7AD10C"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314ACE5C"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567" w:type="dxa"/>
            <w:tcBorders>
              <w:top w:val="nil"/>
              <w:left w:val="nil"/>
              <w:bottom w:val="single" w:sz="4" w:space="0" w:color="auto"/>
              <w:right w:val="single" w:sz="4" w:space="0" w:color="auto"/>
            </w:tcBorders>
            <w:shd w:val="clear" w:color="auto" w:fill="auto"/>
            <w:noWrap/>
            <w:vAlign w:val="center"/>
            <w:hideMark/>
          </w:tcPr>
          <w:p w14:paraId="1DDB6ABA" w14:textId="71B2978B"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059A2A1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Sieves</w:t>
            </w:r>
          </w:p>
        </w:tc>
        <w:tc>
          <w:tcPr>
            <w:tcW w:w="737" w:type="dxa"/>
            <w:tcBorders>
              <w:top w:val="nil"/>
              <w:left w:val="nil"/>
              <w:bottom w:val="single" w:sz="4" w:space="0" w:color="auto"/>
              <w:right w:val="single" w:sz="4" w:space="0" w:color="auto"/>
            </w:tcBorders>
            <w:shd w:val="clear" w:color="auto" w:fill="auto"/>
            <w:noWrap/>
            <w:vAlign w:val="center"/>
            <w:hideMark/>
          </w:tcPr>
          <w:p w14:paraId="064DFAB2" w14:textId="6B6C95B2"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78972A92" w14:textId="3FB7C493"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5A490DD0" w14:textId="07FD1F6F"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3FA3B842" w14:textId="14ABAB9C"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4DB660FC" w14:textId="63636BBC"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{"citationItems":[{"id":"ITEM-1","itemData":{"DOI":"10.1007/s10694-018-0782-3","ISSN":"1572-8099","abstract":"Dust layers are present in every industrial facility where solid materials are generated or processed. The emergence of new fuels with still unknown flammability properties generates an increase on the risks related with these facilities that needs to be further studied. Most of these biomasses are susceptible to exothermically react, acting as an ignition source and causing fires and explosions. One of the most common causes of explosions is the ignition of dust layers deposited on the equipment, which could be avoided by a better understanding of the materials. However, the ignitability of these layers depend on several parameters as the particle size and the density of the deposited materials. This paper reports experimental work on hot surface ignition temperatures of layers of different fuels, both biofuels, such as wood or sewage sludge, and fossil fuels, coal and coke. It shows that the common practices that are well-known for fossil fuels cannot be directly extrapolated to new fuels. Unlike fossil fuels, wood-based materials present the same ignition risk in dust and bulk size, so an increase on the particle size does not ensure a safer work space. Furthermore, compacting these materials can increase the ignition risk of these type of layers, contrary to the common practices for fossil fuels storages. These differences point out the need of a complete characterisation of each material to ensure a safe working facility.","author":[{"dropping-particle":"","family":"Fernandez-Anez","given":"Nieves","non-dropping-particle":"","parse-names":false,"suffix":""},{"dropping-particle":"","family":"Garcia-Torrent","given":"Javier","non-dropping-particle":"","parse-names":false,"suffix":""}],"container-title":"Fire Technology","id":"ITEM-1","issue":"1","issued":{"date-parts":[["2019"]]},"page":"175-191","title":"Influence of Particle Size and Density on the Hot Surface Ignition of Solid Fuel Layers","type":"article-journal","volume":"55"},"uris":["http://www.mendeley.com/documents/?uuid=f107a61e-81cb-4767-8f95-3d5cff660de0"]}],"mendeley":{"formattedCitation":"[28]","plainTextFormattedCitation":"[28]","previouslyFormattedCitation":"[28]"},"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[28]</w:t>
            </w:r>
            <w:r w:rsidRPr="00DB19C7">
              <w:rPr>
                <w:color w:val="auto"/>
                <w:sz w:val="18"/>
                <w:szCs w:val="18"/>
                <w:lang w:eastAsia="en-GB" w:bidi="ar-SA"/>
              </w:rPr>
              <w:fldChar w:fldCharType="end"/>
            </w:r>
          </w:p>
        </w:tc>
      </w:tr>
      <w:tr w:rsidR="00DB19C7" w:rsidRPr="00DB19C7" w14:paraId="3411B241" w14:textId="1FF8FCA7"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70422BB5"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85</w:t>
            </w:r>
          </w:p>
        </w:tc>
        <w:tc>
          <w:tcPr>
            <w:tcW w:w="1746" w:type="dxa"/>
            <w:tcBorders>
              <w:top w:val="nil"/>
              <w:left w:val="nil"/>
              <w:bottom w:val="single" w:sz="4" w:space="0" w:color="auto"/>
              <w:right w:val="single" w:sz="4" w:space="0" w:color="auto"/>
            </w:tcBorders>
            <w:shd w:val="clear" w:color="auto" w:fill="auto"/>
            <w:noWrap/>
            <w:vAlign w:val="center"/>
            <w:hideMark/>
          </w:tcPr>
          <w:p w14:paraId="3593BAFC"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Wood pellets</w:t>
            </w:r>
          </w:p>
        </w:tc>
        <w:tc>
          <w:tcPr>
            <w:tcW w:w="767" w:type="dxa"/>
            <w:tcBorders>
              <w:top w:val="nil"/>
              <w:left w:val="nil"/>
              <w:bottom w:val="single" w:sz="4" w:space="0" w:color="auto"/>
              <w:right w:val="single" w:sz="4" w:space="0" w:color="auto"/>
            </w:tcBorders>
            <w:shd w:val="clear" w:color="auto" w:fill="auto"/>
            <w:noWrap/>
            <w:vAlign w:val="center"/>
            <w:hideMark/>
          </w:tcPr>
          <w:p w14:paraId="7F7935AD"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28.03</w:t>
            </w:r>
          </w:p>
        </w:tc>
        <w:tc>
          <w:tcPr>
            <w:tcW w:w="767" w:type="dxa"/>
            <w:tcBorders>
              <w:top w:val="nil"/>
              <w:left w:val="nil"/>
              <w:bottom w:val="single" w:sz="4" w:space="0" w:color="auto"/>
              <w:right w:val="single" w:sz="4" w:space="0" w:color="auto"/>
            </w:tcBorders>
            <w:shd w:val="clear" w:color="auto" w:fill="auto"/>
            <w:noWrap/>
            <w:vAlign w:val="center"/>
            <w:hideMark/>
          </w:tcPr>
          <w:p w14:paraId="680D2FC5"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184.16</w:t>
            </w:r>
          </w:p>
        </w:tc>
        <w:tc>
          <w:tcPr>
            <w:tcW w:w="1018" w:type="dxa"/>
            <w:tcBorders>
              <w:top w:val="nil"/>
              <w:left w:val="nil"/>
              <w:bottom w:val="single" w:sz="4" w:space="0" w:color="auto"/>
              <w:right w:val="single" w:sz="4" w:space="0" w:color="auto"/>
            </w:tcBorders>
            <w:shd w:val="clear" w:color="auto" w:fill="auto"/>
            <w:noWrap/>
            <w:vAlign w:val="center"/>
            <w:hideMark/>
          </w:tcPr>
          <w:p w14:paraId="5CEE979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576.28</w:t>
            </w:r>
          </w:p>
        </w:tc>
        <w:tc>
          <w:tcPr>
            <w:tcW w:w="1096" w:type="dxa"/>
            <w:tcBorders>
              <w:top w:val="nil"/>
              <w:left w:val="nil"/>
              <w:bottom w:val="single" w:sz="4" w:space="0" w:color="auto"/>
              <w:right w:val="single" w:sz="4" w:space="0" w:color="auto"/>
            </w:tcBorders>
            <w:shd w:val="clear" w:color="auto" w:fill="auto"/>
            <w:noWrap/>
            <w:vAlign w:val="center"/>
            <w:hideMark/>
          </w:tcPr>
          <w:p w14:paraId="4839914F" w14:textId="329509C0"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6388524C" w14:textId="18E341B0"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7FCA1C33" w14:textId="615BB163"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07A8D4A1" w14:textId="15B10280"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72F1E0F4"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 - SEM</w:t>
            </w:r>
          </w:p>
        </w:tc>
        <w:tc>
          <w:tcPr>
            <w:tcW w:w="567" w:type="dxa"/>
            <w:tcBorders>
              <w:top w:val="nil"/>
              <w:left w:val="nil"/>
              <w:bottom w:val="single" w:sz="4" w:space="0" w:color="auto"/>
              <w:right w:val="single" w:sz="4" w:space="0" w:color="auto"/>
            </w:tcBorders>
            <w:shd w:val="clear" w:color="auto" w:fill="auto"/>
            <w:noWrap/>
            <w:vAlign w:val="center"/>
            <w:hideMark/>
          </w:tcPr>
          <w:p w14:paraId="444FE0E2" w14:textId="42B9B2AE"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47731BD6"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25FFC38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6</w:t>
            </w:r>
          </w:p>
        </w:tc>
        <w:tc>
          <w:tcPr>
            <w:tcW w:w="737" w:type="dxa"/>
            <w:tcBorders>
              <w:top w:val="nil"/>
              <w:left w:val="nil"/>
              <w:bottom w:val="single" w:sz="4" w:space="0" w:color="auto"/>
              <w:right w:val="single" w:sz="4" w:space="0" w:color="auto"/>
            </w:tcBorders>
            <w:shd w:val="clear" w:color="auto" w:fill="auto"/>
            <w:noWrap/>
            <w:vAlign w:val="center"/>
            <w:hideMark/>
          </w:tcPr>
          <w:p w14:paraId="5FFBC869"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85.6</w:t>
            </w:r>
          </w:p>
        </w:tc>
        <w:tc>
          <w:tcPr>
            <w:tcW w:w="737" w:type="dxa"/>
            <w:tcBorders>
              <w:top w:val="nil"/>
              <w:left w:val="nil"/>
              <w:bottom w:val="single" w:sz="4" w:space="0" w:color="auto"/>
              <w:right w:val="single" w:sz="4" w:space="0" w:color="auto"/>
            </w:tcBorders>
            <w:shd w:val="clear" w:color="auto" w:fill="auto"/>
            <w:noWrap/>
            <w:vAlign w:val="center"/>
            <w:hideMark/>
          </w:tcPr>
          <w:p w14:paraId="594445DA"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2.4</w:t>
            </w:r>
          </w:p>
        </w:tc>
        <w:tc>
          <w:tcPr>
            <w:tcW w:w="737" w:type="dxa"/>
            <w:tcBorders>
              <w:top w:val="nil"/>
              <w:left w:val="nil"/>
              <w:bottom w:val="single" w:sz="4" w:space="0" w:color="auto"/>
              <w:right w:val="single" w:sz="4" w:space="0" w:color="auto"/>
            </w:tcBorders>
            <w:shd w:val="clear" w:color="auto" w:fill="auto"/>
            <w:noWrap/>
            <w:vAlign w:val="center"/>
            <w:hideMark/>
          </w:tcPr>
          <w:p w14:paraId="2B3890A4"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14.4</w:t>
            </w:r>
          </w:p>
        </w:tc>
        <w:tc>
          <w:tcPr>
            <w:tcW w:w="617" w:type="dxa"/>
            <w:tcBorders>
              <w:top w:val="single" w:sz="4" w:space="0" w:color="auto"/>
              <w:left w:val="nil"/>
              <w:bottom w:val="single" w:sz="4" w:space="0" w:color="auto"/>
              <w:right w:val="single" w:sz="4" w:space="0" w:color="auto"/>
            </w:tcBorders>
            <w:vAlign w:val="center"/>
          </w:tcPr>
          <w:p w14:paraId="1D953720" w14:textId="7828F192"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{"citationItems":[{"id":"ITEM-1","itemData":{"DOI":"10.1016/j.jenvman.2018.11.122","ISSN":"10958630","abstract":"Partial or complete substitution of coal with renewable biomass like wood is a sustainable and effective solution to reduce the CO 2 emissions in the atmosphere. Utilization of these woods in the form of compact pellets facilitates in its handling and transportation with higher energy density. However, for electric power generation the pellets are broken up into their constituent milled finer particles for burning as a pulverised biomass flame. There is a dust fire/explosibility hazards in the process handling facilities such as in storage, conveying and milling. In the present work, four commercial pellets were investigated, and each pellet sample was split into three size ranges &lt;63 μm, 63–500 μm and &lt;500 μm. The flame propagation characteristics and their lean flammability limit for each pulverised pellet was determined using modified Hartmann dust explosion tube. It was found that the fine particles, with lower lean flammability limits of 0.3–0.7 equivalence ratio, intensify the explosibility risk (dP/dt of 10–15 bar/s for most reactive concentration) of the dust due to fast volatile release rate. Comparison was also made between particle size distribution (PSD) of the finer fractions (&lt;63 μm) of wood samples in comparison to crop residue samples that showed 70–80% larger size distribution for wood samples due to elongated particles as showed by Scanning Electron Microscope (SEM). Results showed that the ash + moisture content had a stronger effect on wood samples than on agricultural residue's samples. The results showed that the explosibility characteristics of the pellets industry's feed-stocks was variable and dependent on the pellet composition and this needs to be taken into account in explosion protection and in utilising the pellets in the main pulverised biomass combustion.","author":[{"dropping-particle":"","family":"Saeed","given":"Muhammad Azam","non-dropping-particle":"","parse-names":false,"suffix":""},{"dropping-particle":"","family":"Farooq","given":"M.","non-dropping-particle":"","parse-names":false,"suffix":""},{"dropping-particle":"","family":"Andrews","given":"Gordon E.","non-dropping-particle":"","parse-names":false,"suffix":""},{"dropping-particle":"","family":"Phylaktou","given":"Herodotos N.","non-dropping-particle":"","parse-names":false,"suffix":""},{"dropping-particle":"","family":"Gibbs","given":"Bernard M.","non-dropping-particle":"","parse-names":false,"suffix":""}],"container-title":"Journal of Environmental Management","id":"ITEM-1","issue":"December 2018","issued":{"date-parts":[["2019"]]},"page":"789-795","publisher":"Elsevier","title":"Ignition sensitivity of different compositional wood pellets and particle size dependence","type":"article-journal","volume":"232"},"uris":["http://www.mendeley.com/documents/?uuid=a51377ea-32a8-425c-9e76-6450cb191bac"]}],"mendeley":{"formattedCitation":"[6]","plainTextFormattedCitation":"[6]","previouslyFormattedCitation":"[6]"},"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[6]</w:t>
            </w:r>
            <w:r w:rsidRPr="00DB19C7">
              <w:rPr>
                <w:color w:val="auto"/>
                <w:sz w:val="18"/>
                <w:szCs w:val="18"/>
                <w:lang w:eastAsia="en-GB" w:bidi="ar-SA"/>
              </w:rPr>
              <w:fldChar w:fldCharType="end"/>
            </w:r>
          </w:p>
        </w:tc>
      </w:tr>
      <w:tr w:rsidR="00DB19C7" w:rsidRPr="00DB19C7" w14:paraId="28F12EBE" w14:textId="06BDF3A3"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25F036D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86</w:t>
            </w:r>
          </w:p>
        </w:tc>
        <w:tc>
          <w:tcPr>
            <w:tcW w:w="1746" w:type="dxa"/>
            <w:tcBorders>
              <w:top w:val="nil"/>
              <w:left w:val="nil"/>
              <w:bottom w:val="single" w:sz="4" w:space="0" w:color="auto"/>
              <w:right w:val="single" w:sz="4" w:space="0" w:color="auto"/>
            </w:tcBorders>
            <w:shd w:val="clear" w:color="auto" w:fill="auto"/>
            <w:noWrap/>
            <w:vAlign w:val="center"/>
            <w:hideMark/>
          </w:tcPr>
          <w:p w14:paraId="0B73A32E"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Wood pellets</w:t>
            </w:r>
          </w:p>
        </w:tc>
        <w:tc>
          <w:tcPr>
            <w:tcW w:w="767" w:type="dxa"/>
            <w:tcBorders>
              <w:top w:val="nil"/>
              <w:left w:val="nil"/>
              <w:bottom w:val="single" w:sz="4" w:space="0" w:color="auto"/>
              <w:right w:val="single" w:sz="4" w:space="0" w:color="auto"/>
            </w:tcBorders>
            <w:shd w:val="clear" w:color="auto" w:fill="auto"/>
            <w:noWrap/>
            <w:vAlign w:val="center"/>
            <w:hideMark/>
          </w:tcPr>
          <w:p w14:paraId="6E47D87A"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33.02</w:t>
            </w:r>
          </w:p>
        </w:tc>
        <w:tc>
          <w:tcPr>
            <w:tcW w:w="767" w:type="dxa"/>
            <w:tcBorders>
              <w:top w:val="nil"/>
              <w:left w:val="nil"/>
              <w:bottom w:val="single" w:sz="4" w:space="0" w:color="auto"/>
              <w:right w:val="single" w:sz="4" w:space="0" w:color="auto"/>
            </w:tcBorders>
            <w:shd w:val="clear" w:color="auto" w:fill="auto"/>
            <w:noWrap/>
            <w:vAlign w:val="center"/>
            <w:hideMark/>
          </w:tcPr>
          <w:p w14:paraId="5548A61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180.38</w:t>
            </w:r>
          </w:p>
        </w:tc>
        <w:tc>
          <w:tcPr>
            <w:tcW w:w="1018" w:type="dxa"/>
            <w:tcBorders>
              <w:top w:val="nil"/>
              <w:left w:val="nil"/>
              <w:bottom w:val="single" w:sz="4" w:space="0" w:color="auto"/>
              <w:right w:val="single" w:sz="4" w:space="0" w:color="auto"/>
            </w:tcBorders>
            <w:shd w:val="clear" w:color="auto" w:fill="auto"/>
            <w:noWrap/>
            <w:vAlign w:val="center"/>
            <w:hideMark/>
          </w:tcPr>
          <w:p w14:paraId="5F17F427"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569.24</w:t>
            </w:r>
          </w:p>
        </w:tc>
        <w:tc>
          <w:tcPr>
            <w:tcW w:w="1096" w:type="dxa"/>
            <w:tcBorders>
              <w:top w:val="nil"/>
              <w:left w:val="nil"/>
              <w:bottom w:val="single" w:sz="4" w:space="0" w:color="auto"/>
              <w:right w:val="single" w:sz="4" w:space="0" w:color="auto"/>
            </w:tcBorders>
            <w:shd w:val="clear" w:color="auto" w:fill="auto"/>
            <w:noWrap/>
            <w:vAlign w:val="center"/>
            <w:hideMark/>
          </w:tcPr>
          <w:p w14:paraId="34FE606C" w14:textId="1954EB42"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1DC5EA6D" w14:textId="6908904E"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4CBF0D3F" w14:textId="0894EB0A"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586C05D3" w14:textId="540984EC"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4328449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 - SEM</w:t>
            </w:r>
          </w:p>
        </w:tc>
        <w:tc>
          <w:tcPr>
            <w:tcW w:w="567" w:type="dxa"/>
            <w:tcBorders>
              <w:top w:val="nil"/>
              <w:left w:val="nil"/>
              <w:bottom w:val="single" w:sz="4" w:space="0" w:color="auto"/>
              <w:right w:val="single" w:sz="4" w:space="0" w:color="auto"/>
            </w:tcBorders>
            <w:shd w:val="clear" w:color="auto" w:fill="auto"/>
            <w:noWrap/>
            <w:vAlign w:val="center"/>
            <w:hideMark/>
          </w:tcPr>
          <w:p w14:paraId="7ADD60D9" w14:textId="0C3D249C"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19D963EA"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43DABDE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6.7</w:t>
            </w:r>
          </w:p>
        </w:tc>
        <w:tc>
          <w:tcPr>
            <w:tcW w:w="737" w:type="dxa"/>
            <w:tcBorders>
              <w:top w:val="nil"/>
              <w:left w:val="nil"/>
              <w:bottom w:val="single" w:sz="4" w:space="0" w:color="auto"/>
              <w:right w:val="single" w:sz="4" w:space="0" w:color="auto"/>
            </w:tcBorders>
            <w:shd w:val="clear" w:color="auto" w:fill="auto"/>
            <w:noWrap/>
            <w:vAlign w:val="center"/>
            <w:hideMark/>
          </w:tcPr>
          <w:p w14:paraId="39B35195"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84.5</w:t>
            </w:r>
          </w:p>
        </w:tc>
        <w:tc>
          <w:tcPr>
            <w:tcW w:w="737" w:type="dxa"/>
            <w:tcBorders>
              <w:top w:val="nil"/>
              <w:left w:val="nil"/>
              <w:bottom w:val="single" w:sz="4" w:space="0" w:color="auto"/>
              <w:right w:val="single" w:sz="4" w:space="0" w:color="auto"/>
            </w:tcBorders>
            <w:shd w:val="clear" w:color="auto" w:fill="auto"/>
            <w:noWrap/>
            <w:vAlign w:val="center"/>
            <w:hideMark/>
          </w:tcPr>
          <w:p w14:paraId="2F4D89BC"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4.3</w:t>
            </w:r>
          </w:p>
        </w:tc>
        <w:tc>
          <w:tcPr>
            <w:tcW w:w="737" w:type="dxa"/>
            <w:tcBorders>
              <w:top w:val="nil"/>
              <w:left w:val="nil"/>
              <w:bottom w:val="single" w:sz="4" w:space="0" w:color="auto"/>
              <w:right w:val="single" w:sz="4" w:space="0" w:color="auto"/>
            </w:tcBorders>
            <w:shd w:val="clear" w:color="auto" w:fill="auto"/>
            <w:noWrap/>
            <w:vAlign w:val="center"/>
            <w:hideMark/>
          </w:tcPr>
          <w:p w14:paraId="4CA9CB83"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15.4</w:t>
            </w:r>
          </w:p>
        </w:tc>
        <w:tc>
          <w:tcPr>
            <w:tcW w:w="617" w:type="dxa"/>
            <w:tcBorders>
              <w:top w:val="single" w:sz="4" w:space="0" w:color="auto"/>
              <w:left w:val="nil"/>
              <w:bottom w:val="single" w:sz="4" w:space="0" w:color="auto"/>
              <w:right w:val="single" w:sz="4" w:space="0" w:color="auto"/>
            </w:tcBorders>
            <w:vAlign w:val="center"/>
          </w:tcPr>
          <w:p w14:paraId="1833B8FD" w14:textId="55C86BEB"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{"citationItems":[{"id":"ITEM-1","itemData":{"DOI":"10.1016/j.jenvman.2018.11.122","ISSN":"10958630","abstract":"Partial or complete substitution of coal with renewable biomass like wood is a sustainable and effective solution to reduce the CO 2 emissions in the atmosphere. Utilization of these woods in the form of compact pellets facilitates in its handling and transportation with higher energy density. However, for electric power generation the pellets are broken up into their constituent milled finer particles for burning as a pulverised biomass flame. There is a dust fire/explosibility hazards in the process handling facilities such as in storage, conveying and milling. In the present work, four commercial pellets were investigated, and each pellet sample was split into three size ranges &lt;63 μm, 63–500 μm and &lt;500 μm. The flame propagation characteristics and their lean flammability limit for each pulverised pellet was determined using modified Hartmann dust explosion tube. It was found that the fine particles, with lower lean flammability limits of 0.3–0.7 equivalence ratio, intensify the explosibility risk (dP/dt of 10–15 bar/s for most reactive concentration) of the dust due to fast volatile release rate. Comparison was also made between particle size distribution (PSD) of the finer fractions (&lt;63 μm) of wood samples in comparison to crop residue samples that showed 70–80% larger size distribution for wood samples due to elongated particles as showed by Scanning Electron Microscope (SEM). Results showed that the ash + moisture content had a stronger effect on wood samples than on agricultural residue's samples. The results showed that the explosibility characteristics of the pellets industry's feed-stocks was variable and dependent on the pellet composition and this needs to be taken into account in explosion protection and in utilising the pellets in the main pulverised biomass combustion.","author":[{"dropping-particle":"","family":"Saeed","given":"Muhammad Azam","non-dropping-particle":"","parse-names":false,"suffix":""},{"dropping-particle":"","family":"Farooq","given":"M.","non-dropping-particle":"","parse-names":false,"suffix":""},{"dropping-particle":"","family":"Andrews","given":"Gordon E.","non-dropping-particle":"","parse-names":false,"suffix":""},{"dropping-particle":"","family":"Phylaktou","given":"Herodotos N.","non-dropping-particle":"","parse-names":false,"suffix":""},{"dropping-particle":"","family":"Gibbs","given":"Bernard M.","non-dropping-particle":"","parse-names":false,"suffix":""}],"container-title":"Journal of Environmental Management","id":"ITEM-1","issue":"December 2018","issued":{"date-parts":[["2019"]]},"page":"789-795","publisher":"Elsevier","title":"Ignition sensitivity of different compositional wood pellets and particle size dependence","type":"article-journal","volume":"232"},"uris":["http://www.mendeley.com/documents/?uuid=a51377ea-32a8-425c-9e76-6450cb191bac"]}],"mendeley":{"formattedCitation":"[6]","plainTextFormattedCitation":"[6]","previouslyFormattedCitation":"[6]"},"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[6]</w:t>
            </w:r>
            <w:r w:rsidRPr="00DB19C7">
              <w:rPr>
                <w:color w:val="auto"/>
                <w:sz w:val="18"/>
                <w:szCs w:val="18"/>
                <w:lang w:eastAsia="en-GB" w:bidi="ar-SA"/>
              </w:rPr>
              <w:fldChar w:fldCharType="end"/>
            </w:r>
          </w:p>
        </w:tc>
      </w:tr>
      <w:tr w:rsidR="00DB19C7" w:rsidRPr="00DB19C7" w14:paraId="125EB112" w14:textId="4E61E94F"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479AF3C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87</w:t>
            </w:r>
          </w:p>
        </w:tc>
        <w:tc>
          <w:tcPr>
            <w:tcW w:w="1746" w:type="dxa"/>
            <w:tcBorders>
              <w:top w:val="nil"/>
              <w:left w:val="nil"/>
              <w:bottom w:val="single" w:sz="4" w:space="0" w:color="auto"/>
              <w:right w:val="single" w:sz="4" w:space="0" w:color="auto"/>
            </w:tcBorders>
            <w:shd w:val="clear" w:color="auto" w:fill="auto"/>
            <w:noWrap/>
            <w:vAlign w:val="center"/>
            <w:hideMark/>
          </w:tcPr>
          <w:p w14:paraId="1E881C4D"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Wood pellets</w:t>
            </w:r>
          </w:p>
        </w:tc>
        <w:tc>
          <w:tcPr>
            <w:tcW w:w="767" w:type="dxa"/>
            <w:tcBorders>
              <w:top w:val="nil"/>
              <w:left w:val="nil"/>
              <w:bottom w:val="single" w:sz="4" w:space="0" w:color="auto"/>
              <w:right w:val="single" w:sz="4" w:space="0" w:color="auto"/>
            </w:tcBorders>
            <w:shd w:val="clear" w:color="auto" w:fill="auto"/>
            <w:noWrap/>
            <w:vAlign w:val="center"/>
            <w:hideMark/>
          </w:tcPr>
          <w:p w14:paraId="66B2701D"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37.09</w:t>
            </w:r>
          </w:p>
        </w:tc>
        <w:tc>
          <w:tcPr>
            <w:tcW w:w="767" w:type="dxa"/>
            <w:tcBorders>
              <w:top w:val="nil"/>
              <w:left w:val="nil"/>
              <w:bottom w:val="single" w:sz="4" w:space="0" w:color="auto"/>
              <w:right w:val="single" w:sz="4" w:space="0" w:color="auto"/>
            </w:tcBorders>
            <w:shd w:val="clear" w:color="auto" w:fill="auto"/>
            <w:noWrap/>
            <w:vAlign w:val="center"/>
            <w:hideMark/>
          </w:tcPr>
          <w:p w14:paraId="668406F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194.62</w:t>
            </w:r>
          </w:p>
        </w:tc>
        <w:tc>
          <w:tcPr>
            <w:tcW w:w="1018" w:type="dxa"/>
            <w:tcBorders>
              <w:top w:val="nil"/>
              <w:left w:val="nil"/>
              <w:bottom w:val="single" w:sz="4" w:space="0" w:color="auto"/>
              <w:right w:val="single" w:sz="4" w:space="0" w:color="auto"/>
            </w:tcBorders>
            <w:shd w:val="clear" w:color="auto" w:fill="auto"/>
            <w:noWrap/>
            <w:vAlign w:val="center"/>
            <w:hideMark/>
          </w:tcPr>
          <w:p w14:paraId="720B0F6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608.8</w:t>
            </w:r>
          </w:p>
        </w:tc>
        <w:tc>
          <w:tcPr>
            <w:tcW w:w="1096" w:type="dxa"/>
            <w:tcBorders>
              <w:top w:val="nil"/>
              <w:left w:val="nil"/>
              <w:bottom w:val="single" w:sz="4" w:space="0" w:color="auto"/>
              <w:right w:val="single" w:sz="4" w:space="0" w:color="auto"/>
            </w:tcBorders>
            <w:shd w:val="clear" w:color="auto" w:fill="auto"/>
            <w:noWrap/>
            <w:vAlign w:val="center"/>
            <w:hideMark/>
          </w:tcPr>
          <w:p w14:paraId="2D5C04E5" w14:textId="39C2B0F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3E348A80" w14:textId="20B2241B"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00B22B04" w14:textId="6D1FD275"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4E28FC1D" w14:textId="78D9CA9C"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155CBF34"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 - SEM</w:t>
            </w:r>
          </w:p>
        </w:tc>
        <w:tc>
          <w:tcPr>
            <w:tcW w:w="567" w:type="dxa"/>
            <w:tcBorders>
              <w:top w:val="nil"/>
              <w:left w:val="nil"/>
              <w:bottom w:val="single" w:sz="4" w:space="0" w:color="auto"/>
              <w:right w:val="single" w:sz="4" w:space="0" w:color="auto"/>
            </w:tcBorders>
            <w:shd w:val="clear" w:color="auto" w:fill="auto"/>
            <w:noWrap/>
            <w:vAlign w:val="center"/>
            <w:hideMark/>
          </w:tcPr>
          <w:p w14:paraId="221FE497" w14:textId="563EC978"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3C913F43"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2B34AEF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4.9</w:t>
            </w:r>
          </w:p>
        </w:tc>
        <w:tc>
          <w:tcPr>
            <w:tcW w:w="737" w:type="dxa"/>
            <w:tcBorders>
              <w:top w:val="nil"/>
              <w:left w:val="nil"/>
              <w:bottom w:val="single" w:sz="4" w:space="0" w:color="auto"/>
              <w:right w:val="single" w:sz="4" w:space="0" w:color="auto"/>
            </w:tcBorders>
            <w:shd w:val="clear" w:color="auto" w:fill="auto"/>
            <w:noWrap/>
            <w:vAlign w:val="center"/>
            <w:hideMark/>
          </w:tcPr>
          <w:p w14:paraId="1F298B28"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89.9</w:t>
            </w:r>
          </w:p>
        </w:tc>
        <w:tc>
          <w:tcPr>
            <w:tcW w:w="737" w:type="dxa"/>
            <w:tcBorders>
              <w:top w:val="nil"/>
              <w:left w:val="nil"/>
              <w:bottom w:val="single" w:sz="4" w:space="0" w:color="auto"/>
              <w:right w:val="single" w:sz="4" w:space="0" w:color="auto"/>
            </w:tcBorders>
            <w:shd w:val="clear" w:color="auto" w:fill="auto"/>
            <w:noWrap/>
            <w:vAlign w:val="center"/>
            <w:hideMark/>
          </w:tcPr>
          <w:p w14:paraId="17CC4B4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13</w:t>
            </w:r>
          </w:p>
        </w:tc>
        <w:tc>
          <w:tcPr>
            <w:tcW w:w="737" w:type="dxa"/>
            <w:tcBorders>
              <w:top w:val="nil"/>
              <w:left w:val="nil"/>
              <w:bottom w:val="single" w:sz="4" w:space="0" w:color="auto"/>
              <w:right w:val="single" w:sz="4" w:space="0" w:color="auto"/>
            </w:tcBorders>
            <w:shd w:val="clear" w:color="auto" w:fill="auto"/>
            <w:noWrap/>
            <w:vAlign w:val="center"/>
            <w:hideMark/>
          </w:tcPr>
          <w:p w14:paraId="1371DE0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10.1</w:t>
            </w:r>
          </w:p>
        </w:tc>
        <w:tc>
          <w:tcPr>
            <w:tcW w:w="617" w:type="dxa"/>
            <w:tcBorders>
              <w:top w:val="single" w:sz="4" w:space="0" w:color="auto"/>
              <w:left w:val="nil"/>
              <w:bottom w:val="single" w:sz="4" w:space="0" w:color="auto"/>
              <w:right w:val="single" w:sz="4" w:space="0" w:color="auto"/>
            </w:tcBorders>
            <w:vAlign w:val="center"/>
          </w:tcPr>
          <w:p w14:paraId="4E555DBE" w14:textId="04E0F635"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{"citationItems":[{"id":"ITEM-1","itemData":{"DOI":"10.1016/j.jenvman.2018.11.122","ISSN":"10958630","abstract":"Partial or complete substitution of coal with renewable biomass like wood is a sustainable and effective solution to reduce the CO 2 emissions in the atmosphere. Utilization of these woods in the form of compact pellets facilitates in its handling and transportation with higher energy density. However, for electric power generation the pellets are broken up into their constituent milled finer particles for burning as a pulverised biomass flame. There is a dust fire/explosibility hazards in the process handling facilities such as in storage, conveying and milling. In the present work, four commercial pellets were investigated, and each pellet sample was split into three size ranges &lt;63 μm, 63–500 μm and &lt;500 μm. The flame propagation characteristics and their lean flammability limit for each pulverised pellet was determined using modified Hartmann dust explosion tube. It was found that the fine particles, with lower lean flammability limits of 0.3–0.7 equivalence ratio, intensify the explosibility risk (dP/dt of 10–15 bar/s for most reactive concentration) of the dust due to fast volatile release rate. Comparison was also made between particle size distribution (PSD) of the finer fractions (&lt;63 μm) of wood samples in comparison to crop residue samples that showed 70–80% larger size distribution for wood samples due to elongated particles as showed by Scanning Electron Microscope (SEM). Results showed that the ash + moisture content had a stronger effect on wood samples than on agricultural residue's samples. The results showed that the explosibility characteristics of the pellets industry's feed-stocks was variable and dependent on the pellet composition and this needs to be taken into account in explosion protection and in utilising the pellets in the main pulverised biomass combustion.","author":[{"dropping-particle":"","family":"Saeed","given":"Muhammad Azam","non-dropping-particle":"","parse-names":false,"suffix":""},{"dropping-particle":"","family":"Farooq","given":"M.","non-dropping-particle":"","parse-names":false,"suffix":""},{"dropping-particle":"","family":"Andrews","given":"Gordon E.","non-dropping-particle":"","parse-names":false,"suffix":""},{"dropping-particle":"","family":"Phylaktou","given":"Herodotos N.","non-dropping-particle":"","parse-names":false,"suffix":""},{"dropping-particle":"","family":"Gibbs","given":"Bernard M.","non-dropping-particle":"","parse-names":false,"suffix":""}],"container-title":"Journal of Environmental Management","id":"ITEM-1","issue":"December 2018","issued":{"date-parts":[["2019"]]},"page":"789-795","publisher":"Elsevier","title":"Ignition sensitivity of different compositional wood pellets and particle size dependence","type":"article-journal","volume":"232"},"uris":["http://www.mendeley.com/documents/?uuid=a51377ea-32a8-425c-9e76-6450cb191bac"]}],"mendeley":{"formattedCitation":"[6]","plainTextFormattedCitation":"[6]","previouslyFormattedCitation":"[6]"},"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[6]</w:t>
            </w:r>
            <w:r w:rsidRPr="00DB19C7">
              <w:rPr>
                <w:color w:val="auto"/>
                <w:sz w:val="18"/>
                <w:szCs w:val="18"/>
                <w:lang w:eastAsia="en-GB" w:bidi="ar-SA"/>
              </w:rPr>
              <w:fldChar w:fldCharType="end"/>
            </w:r>
          </w:p>
        </w:tc>
      </w:tr>
      <w:tr w:rsidR="00DB19C7" w:rsidRPr="00DB19C7" w14:paraId="388870BD" w14:textId="4991301F"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55BBB7C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88</w:t>
            </w:r>
          </w:p>
        </w:tc>
        <w:tc>
          <w:tcPr>
            <w:tcW w:w="1746" w:type="dxa"/>
            <w:tcBorders>
              <w:top w:val="nil"/>
              <w:left w:val="nil"/>
              <w:bottom w:val="single" w:sz="4" w:space="0" w:color="auto"/>
              <w:right w:val="single" w:sz="4" w:space="0" w:color="auto"/>
            </w:tcBorders>
            <w:shd w:val="clear" w:color="auto" w:fill="auto"/>
            <w:noWrap/>
            <w:vAlign w:val="center"/>
            <w:hideMark/>
          </w:tcPr>
          <w:p w14:paraId="1D8769DA"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Wood pellets</w:t>
            </w:r>
          </w:p>
        </w:tc>
        <w:tc>
          <w:tcPr>
            <w:tcW w:w="767" w:type="dxa"/>
            <w:tcBorders>
              <w:top w:val="nil"/>
              <w:left w:val="nil"/>
              <w:bottom w:val="single" w:sz="4" w:space="0" w:color="auto"/>
              <w:right w:val="single" w:sz="4" w:space="0" w:color="auto"/>
            </w:tcBorders>
            <w:shd w:val="clear" w:color="auto" w:fill="auto"/>
            <w:noWrap/>
            <w:vAlign w:val="center"/>
            <w:hideMark/>
          </w:tcPr>
          <w:p w14:paraId="6EF48804"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34.46</w:t>
            </w:r>
          </w:p>
        </w:tc>
        <w:tc>
          <w:tcPr>
            <w:tcW w:w="767" w:type="dxa"/>
            <w:tcBorders>
              <w:top w:val="nil"/>
              <w:left w:val="nil"/>
              <w:bottom w:val="single" w:sz="4" w:space="0" w:color="auto"/>
              <w:right w:val="single" w:sz="4" w:space="0" w:color="auto"/>
            </w:tcBorders>
            <w:shd w:val="clear" w:color="auto" w:fill="auto"/>
            <w:noWrap/>
            <w:vAlign w:val="center"/>
            <w:hideMark/>
          </w:tcPr>
          <w:p w14:paraId="3612E7A8"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223.06</w:t>
            </w:r>
          </w:p>
        </w:tc>
        <w:tc>
          <w:tcPr>
            <w:tcW w:w="1018" w:type="dxa"/>
            <w:tcBorders>
              <w:top w:val="nil"/>
              <w:left w:val="nil"/>
              <w:bottom w:val="single" w:sz="4" w:space="0" w:color="auto"/>
              <w:right w:val="single" w:sz="4" w:space="0" w:color="auto"/>
            </w:tcBorders>
            <w:shd w:val="clear" w:color="auto" w:fill="auto"/>
            <w:noWrap/>
            <w:vAlign w:val="center"/>
            <w:hideMark/>
          </w:tcPr>
          <w:p w14:paraId="0E4DE895"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636.12</w:t>
            </w:r>
          </w:p>
        </w:tc>
        <w:tc>
          <w:tcPr>
            <w:tcW w:w="1096" w:type="dxa"/>
            <w:tcBorders>
              <w:top w:val="nil"/>
              <w:left w:val="nil"/>
              <w:bottom w:val="single" w:sz="4" w:space="0" w:color="auto"/>
              <w:right w:val="single" w:sz="4" w:space="0" w:color="auto"/>
            </w:tcBorders>
            <w:shd w:val="clear" w:color="auto" w:fill="auto"/>
            <w:noWrap/>
            <w:vAlign w:val="center"/>
            <w:hideMark/>
          </w:tcPr>
          <w:p w14:paraId="5DE059B8" w14:textId="47253F5E"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02DECD87" w14:textId="41C3D1BE"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387F53D0" w14:textId="10523500"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07BF2D02" w14:textId="3CC805B6"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4C2E530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 - SEM</w:t>
            </w:r>
          </w:p>
        </w:tc>
        <w:tc>
          <w:tcPr>
            <w:tcW w:w="567" w:type="dxa"/>
            <w:tcBorders>
              <w:top w:val="nil"/>
              <w:left w:val="nil"/>
              <w:bottom w:val="single" w:sz="4" w:space="0" w:color="auto"/>
              <w:right w:val="single" w:sz="4" w:space="0" w:color="auto"/>
            </w:tcBorders>
            <w:shd w:val="clear" w:color="auto" w:fill="auto"/>
            <w:noWrap/>
            <w:vAlign w:val="center"/>
            <w:hideMark/>
          </w:tcPr>
          <w:p w14:paraId="28353C2B" w14:textId="608FE03F"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1D520FAC"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702FE8FC"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6.7</w:t>
            </w:r>
          </w:p>
        </w:tc>
        <w:tc>
          <w:tcPr>
            <w:tcW w:w="737" w:type="dxa"/>
            <w:tcBorders>
              <w:top w:val="nil"/>
              <w:left w:val="nil"/>
              <w:bottom w:val="single" w:sz="4" w:space="0" w:color="auto"/>
              <w:right w:val="single" w:sz="4" w:space="0" w:color="auto"/>
            </w:tcBorders>
            <w:shd w:val="clear" w:color="auto" w:fill="auto"/>
            <w:noWrap/>
            <w:vAlign w:val="center"/>
            <w:hideMark/>
          </w:tcPr>
          <w:p w14:paraId="790A11E4"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94.1</w:t>
            </w:r>
          </w:p>
        </w:tc>
        <w:tc>
          <w:tcPr>
            <w:tcW w:w="737" w:type="dxa"/>
            <w:tcBorders>
              <w:top w:val="nil"/>
              <w:left w:val="nil"/>
              <w:bottom w:val="single" w:sz="4" w:space="0" w:color="auto"/>
              <w:right w:val="single" w:sz="4" w:space="0" w:color="auto"/>
            </w:tcBorders>
            <w:shd w:val="clear" w:color="auto" w:fill="auto"/>
            <w:noWrap/>
            <w:vAlign w:val="center"/>
            <w:hideMark/>
          </w:tcPr>
          <w:p w14:paraId="125D4BE5"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2.4</w:t>
            </w:r>
          </w:p>
        </w:tc>
        <w:tc>
          <w:tcPr>
            <w:tcW w:w="737" w:type="dxa"/>
            <w:tcBorders>
              <w:top w:val="nil"/>
              <w:left w:val="nil"/>
              <w:bottom w:val="single" w:sz="4" w:space="0" w:color="auto"/>
              <w:right w:val="single" w:sz="4" w:space="0" w:color="auto"/>
            </w:tcBorders>
            <w:shd w:val="clear" w:color="auto" w:fill="auto"/>
            <w:noWrap/>
            <w:vAlign w:val="center"/>
            <w:hideMark/>
          </w:tcPr>
          <w:p w14:paraId="2035519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5.9</w:t>
            </w:r>
          </w:p>
        </w:tc>
        <w:tc>
          <w:tcPr>
            <w:tcW w:w="617" w:type="dxa"/>
            <w:tcBorders>
              <w:top w:val="single" w:sz="4" w:space="0" w:color="auto"/>
              <w:left w:val="nil"/>
              <w:bottom w:val="single" w:sz="4" w:space="0" w:color="auto"/>
              <w:right w:val="single" w:sz="4" w:space="0" w:color="auto"/>
            </w:tcBorders>
            <w:vAlign w:val="center"/>
          </w:tcPr>
          <w:p w14:paraId="118704C3" w14:textId="45520EF1"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{"citationItems":[{"id":"ITEM-1","itemData":{"DOI":"10.1016/j.jenvman.2018.11.122","ISSN":"10958630","abstract":"Partial or complete substitution of coal with renewable biomass like wood is a sustainable and effective solution to reduce the CO 2 emissions in the atmosphere. Utilization of these woods in the form of compact pellets facilitates in its handling and transportation with higher energy density. However, for electric power generation the pellets are broken up into their constituent milled finer particles for burning as a pulverised biomass flame. There is a dust fire/explosibility hazards in the process handling facilities such as in storage, conveying and milling. In the present work, four commercial pellets were investigated, and each pellet sample was split into three size ranges &lt;63 μm, 63–500 μm and &lt;500 μm. The flame propagation characteristics and their lean flammability limit for each pulverised pellet was determined using modified Hartmann dust explosion tube. It was found that the fine particles, with lower lean flammability limits of 0.3–0.7 equivalence ratio, intensify the explosibility risk (dP/dt of 10–15 bar/s for most reactive concentration) of the dust due to fast volatile release rate. Comparison was also made between particle size distribution (PSD) of the finer fractions (&lt;63 μm) of wood samples in comparison to crop residue samples that showed 70–80% larger size distribution for wood samples due to elongated particles as showed by Scanning Electron Microscope (SEM). Results showed that the ash + moisture content had a stronger effect on wood samples than on agricultural residue's samples. The results showed that the explosibility characteristics of the pellets industry's feed-stocks was variable and dependent on the pellet composition and this needs to be taken into account in explosion protection and in utilising the pellets in the main pulverised biomass combustion.","author":[{"dropping-particle":"","family":"Saeed","given":"Muhammad Azam","non-dropping-particle":"","parse-names":false,"suffix":""},{"dropping-particle":"","family":"Farooq","given":"M.","non-dropping-particle":"","parse-names":false,"suffix":""},{"dropping-particle":"","family":"Andrews","given":"Gordon E.","non-dropping-particle":"","parse-names":false,"suffix":""},{"dropping-particle":"","family":"Phylaktou","given":"Herodotos N.","non-dropping-particle":"","parse-names":false,"suffix":""},{"dropping-particle":"","family":"Gibbs","given":"Bernard M.","non-dropping-particle":"","parse-names":false,"suffix":""}],"container-title":"Journal of Environmental Management","id":"ITEM-1","issue":"December 2018","issued":{"date-parts":[["2019"]]},"page":"789-795","publisher":"Elsevier","title":"Ignition sensitivity of different compositional wood pellets and particle size dependence","type":"article-journal","volume":"232"},"uris":["http://www.mendeley.com/documents/?uuid=a51377ea-32a8-425c-9e76-6450cb191bac"]}],"mendeley":{"formattedCitation":"[6]","plainTextFormattedCitation":"[6]","previouslyFormattedCitation":"[6]"},"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[6]</w:t>
            </w:r>
            <w:r w:rsidRPr="00DB19C7">
              <w:rPr>
                <w:color w:val="auto"/>
                <w:sz w:val="18"/>
                <w:szCs w:val="18"/>
                <w:lang w:eastAsia="en-GB" w:bidi="ar-SA"/>
              </w:rPr>
              <w:fldChar w:fldCharType="end"/>
            </w:r>
          </w:p>
        </w:tc>
      </w:tr>
      <w:tr w:rsidR="00DB19C7" w:rsidRPr="00DB19C7" w14:paraId="2C9901CB" w14:textId="4D752174"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6559DCCC"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89</w:t>
            </w:r>
          </w:p>
        </w:tc>
        <w:tc>
          <w:tcPr>
            <w:tcW w:w="1746" w:type="dxa"/>
            <w:tcBorders>
              <w:top w:val="nil"/>
              <w:left w:val="nil"/>
              <w:bottom w:val="single" w:sz="4" w:space="0" w:color="auto"/>
              <w:right w:val="single" w:sz="4" w:space="0" w:color="auto"/>
            </w:tcBorders>
            <w:shd w:val="clear" w:color="auto" w:fill="auto"/>
            <w:noWrap/>
            <w:vAlign w:val="center"/>
            <w:hideMark/>
          </w:tcPr>
          <w:p w14:paraId="43786BA8"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Woodchips</w:t>
            </w:r>
          </w:p>
        </w:tc>
        <w:tc>
          <w:tcPr>
            <w:tcW w:w="767" w:type="dxa"/>
            <w:tcBorders>
              <w:top w:val="nil"/>
              <w:left w:val="nil"/>
              <w:bottom w:val="single" w:sz="4" w:space="0" w:color="auto"/>
              <w:right w:val="single" w:sz="4" w:space="0" w:color="auto"/>
            </w:tcBorders>
            <w:shd w:val="clear" w:color="auto" w:fill="auto"/>
            <w:noWrap/>
            <w:vAlign w:val="center"/>
            <w:hideMark/>
          </w:tcPr>
          <w:p w14:paraId="7DC6D4E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47.3</w:t>
            </w:r>
          </w:p>
        </w:tc>
        <w:tc>
          <w:tcPr>
            <w:tcW w:w="767" w:type="dxa"/>
            <w:tcBorders>
              <w:top w:val="nil"/>
              <w:left w:val="nil"/>
              <w:bottom w:val="single" w:sz="4" w:space="0" w:color="auto"/>
              <w:right w:val="single" w:sz="4" w:space="0" w:color="auto"/>
            </w:tcBorders>
            <w:shd w:val="clear" w:color="auto" w:fill="auto"/>
            <w:noWrap/>
            <w:vAlign w:val="center"/>
            <w:hideMark/>
          </w:tcPr>
          <w:p w14:paraId="4FE3CAE9"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152.7</w:t>
            </w:r>
          </w:p>
        </w:tc>
        <w:tc>
          <w:tcPr>
            <w:tcW w:w="1018" w:type="dxa"/>
            <w:tcBorders>
              <w:top w:val="nil"/>
              <w:left w:val="nil"/>
              <w:bottom w:val="single" w:sz="4" w:space="0" w:color="auto"/>
              <w:right w:val="single" w:sz="4" w:space="0" w:color="auto"/>
            </w:tcBorders>
            <w:shd w:val="clear" w:color="auto" w:fill="auto"/>
            <w:noWrap/>
            <w:vAlign w:val="center"/>
            <w:hideMark/>
          </w:tcPr>
          <w:p w14:paraId="70EC30AC"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378.5</w:t>
            </w:r>
          </w:p>
        </w:tc>
        <w:tc>
          <w:tcPr>
            <w:tcW w:w="1096" w:type="dxa"/>
            <w:tcBorders>
              <w:top w:val="nil"/>
              <w:left w:val="nil"/>
              <w:bottom w:val="single" w:sz="4" w:space="0" w:color="auto"/>
              <w:right w:val="single" w:sz="4" w:space="0" w:color="auto"/>
            </w:tcBorders>
            <w:shd w:val="clear" w:color="auto" w:fill="auto"/>
            <w:noWrap/>
            <w:vAlign w:val="center"/>
            <w:hideMark/>
          </w:tcPr>
          <w:p w14:paraId="30142322" w14:textId="520E705F"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0F949184" w14:textId="0A9AB585"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519F3757" w14:textId="6C32609E"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641ADBE5" w14:textId="63B17B2B"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7572D17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567" w:type="dxa"/>
            <w:tcBorders>
              <w:top w:val="nil"/>
              <w:left w:val="nil"/>
              <w:bottom w:val="single" w:sz="4" w:space="0" w:color="auto"/>
              <w:right w:val="single" w:sz="4" w:space="0" w:color="auto"/>
            </w:tcBorders>
            <w:shd w:val="clear" w:color="auto" w:fill="auto"/>
            <w:noWrap/>
            <w:vAlign w:val="center"/>
            <w:hideMark/>
          </w:tcPr>
          <w:p w14:paraId="50DB4E19"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2.17</w:t>
            </w:r>
          </w:p>
        </w:tc>
        <w:tc>
          <w:tcPr>
            <w:tcW w:w="1134" w:type="dxa"/>
            <w:tcBorders>
              <w:top w:val="nil"/>
              <w:left w:val="nil"/>
              <w:bottom w:val="single" w:sz="4" w:space="0" w:color="auto"/>
              <w:right w:val="single" w:sz="4" w:space="0" w:color="auto"/>
            </w:tcBorders>
            <w:shd w:val="clear" w:color="auto" w:fill="auto"/>
            <w:noWrap/>
            <w:vAlign w:val="center"/>
            <w:hideMark/>
          </w:tcPr>
          <w:p w14:paraId="084FFD03"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7FAA0D17"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6.6</w:t>
            </w:r>
          </w:p>
        </w:tc>
        <w:tc>
          <w:tcPr>
            <w:tcW w:w="737" w:type="dxa"/>
            <w:tcBorders>
              <w:top w:val="nil"/>
              <w:left w:val="nil"/>
              <w:bottom w:val="single" w:sz="4" w:space="0" w:color="auto"/>
              <w:right w:val="single" w:sz="4" w:space="0" w:color="auto"/>
            </w:tcBorders>
            <w:shd w:val="clear" w:color="auto" w:fill="auto"/>
            <w:noWrap/>
            <w:vAlign w:val="center"/>
            <w:hideMark/>
          </w:tcPr>
          <w:p w14:paraId="39C5239E"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86.9</w:t>
            </w:r>
          </w:p>
        </w:tc>
        <w:tc>
          <w:tcPr>
            <w:tcW w:w="737" w:type="dxa"/>
            <w:tcBorders>
              <w:top w:val="nil"/>
              <w:left w:val="nil"/>
              <w:bottom w:val="single" w:sz="4" w:space="0" w:color="auto"/>
              <w:right w:val="single" w:sz="4" w:space="0" w:color="auto"/>
            </w:tcBorders>
            <w:shd w:val="clear" w:color="auto" w:fill="auto"/>
            <w:noWrap/>
            <w:vAlign w:val="center"/>
            <w:hideMark/>
          </w:tcPr>
          <w:p w14:paraId="5AF42C67"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0.22</w:t>
            </w:r>
          </w:p>
        </w:tc>
        <w:tc>
          <w:tcPr>
            <w:tcW w:w="737" w:type="dxa"/>
            <w:tcBorders>
              <w:top w:val="nil"/>
              <w:left w:val="nil"/>
              <w:bottom w:val="single" w:sz="4" w:space="0" w:color="auto"/>
              <w:right w:val="single" w:sz="4" w:space="0" w:color="auto"/>
            </w:tcBorders>
            <w:shd w:val="clear" w:color="auto" w:fill="auto"/>
            <w:noWrap/>
            <w:vAlign w:val="center"/>
            <w:hideMark/>
          </w:tcPr>
          <w:p w14:paraId="64585A9C"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6.28</w:t>
            </w:r>
          </w:p>
        </w:tc>
        <w:tc>
          <w:tcPr>
            <w:tcW w:w="617" w:type="dxa"/>
            <w:tcBorders>
              <w:top w:val="single" w:sz="4" w:space="0" w:color="auto"/>
              <w:left w:val="nil"/>
              <w:bottom w:val="single" w:sz="4" w:space="0" w:color="auto"/>
              <w:right w:val="single" w:sz="4" w:space="0" w:color="auto"/>
            </w:tcBorders>
            <w:vAlign w:val="center"/>
          </w:tcPr>
          <w:p w14:paraId="74A78674" w14:textId="78141C86"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{"citationItems":[{"id":"ITEM-1","itemData":{"DOI":"10.1016/j.fuel.2016.07.045","ISSN":"00162361","abstract":"Biomasses are materials highly demanded nowadays for energy production. One of the main features of these materials is that they present a great variability in terms of chemical composition and physical behavior (O/C and H/C ratios, granulometric structure, ash content…). Nowadays, there is a lack of information concerning its characterization to determine its flammability and explosibility behavior. The objective of this study is to provide flammability and explosibility data as well as some parameters to assess the spontaneous combustion tendency of these products and to relate this thermal susceptibility with the composition. Initial results showed that risk assessments based on the activation energy were not effective for biomass as it is for coals, and that a greater tendency to self-ignition was observed in those biomasses having higher H/C ratios, on the contrary than in coals. This behavior can be explained because the most important stage for coals is the beginning of the self-heating reaction, which present a different resistance (activation energy) depending on its ranking, while biomasses present an initial stage easily achievable even at moderate temperatures, so the differentiation for biomasses should be found in the ability to spread this incipient reaction.","author":[{"dropping-particle":"","family":"García Torrent","given":"Javier","non-dropping-particle":"","parse-names":false,"suffix":""},{"dropping-particle":"","family":"Ramírez-Gómez","given":"Álvaro","non-dropping-particle":"","parse-names":false,"suffix":""},{"dropping-particle":"","family":"Fernandez-Anez","given":"Nieves","non-dropping-particle":"","parse-names":false,"suffix":""},{"dropping-particle":"","family":"Medic Pejic","given":"Ljiljana","non-dropping-particle":"","parse-names":false,"suffix":""},{"dropping-particle":"","family":"Tascón","given":"Alberto","non-dropping-particle":"","parse-names":false,"suffix":""}],"container-title":"Fuel","id":"ITEM-1","issued":{"date-parts":[["2016"]]},"page":"503-511","title":"Influence of the composition of solid biomass in the flammability and susceptibility to spontaneous combustion","type":"article-journal","volume":"184"},"uris":["http://www.mendeley.com/documents/?uuid=9fcb7e1d-bebe-4dfb-9ee6-81a5efa6af83"]}],"mendeley":{"formattedCitation":"[142]","plainTextFormattedCitation":"[142]","previouslyFormattedCitation":"[142]"},"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[142]</w:t>
            </w:r>
            <w:r w:rsidRPr="00DB19C7">
              <w:rPr>
                <w:color w:val="auto"/>
                <w:sz w:val="18"/>
                <w:szCs w:val="18"/>
                <w:lang w:eastAsia="en-GB" w:bidi="ar-SA"/>
              </w:rPr>
              <w:fldChar w:fldCharType="end"/>
            </w:r>
          </w:p>
        </w:tc>
      </w:tr>
      <w:tr w:rsidR="00DB19C7" w:rsidRPr="00DB19C7" w14:paraId="3AA17A03" w14:textId="5A1034B1"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04E68A89"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90</w:t>
            </w:r>
          </w:p>
        </w:tc>
        <w:tc>
          <w:tcPr>
            <w:tcW w:w="1746" w:type="dxa"/>
            <w:tcBorders>
              <w:top w:val="nil"/>
              <w:left w:val="nil"/>
              <w:bottom w:val="single" w:sz="4" w:space="0" w:color="auto"/>
              <w:right w:val="single" w:sz="4" w:space="0" w:color="auto"/>
            </w:tcBorders>
            <w:shd w:val="clear" w:color="auto" w:fill="auto"/>
            <w:noWrap/>
            <w:vAlign w:val="center"/>
            <w:hideMark/>
          </w:tcPr>
          <w:p w14:paraId="1B5D6FAE"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Coal</w:t>
            </w:r>
          </w:p>
        </w:tc>
        <w:tc>
          <w:tcPr>
            <w:tcW w:w="767" w:type="dxa"/>
            <w:tcBorders>
              <w:top w:val="nil"/>
              <w:left w:val="nil"/>
              <w:bottom w:val="single" w:sz="4" w:space="0" w:color="auto"/>
              <w:right w:val="single" w:sz="4" w:space="0" w:color="auto"/>
            </w:tcBorders>
            <w:shd w:val="clear" w:color="auto" w:fill="auto"/>
            <w:noWrap/>
            <w:vAlign w:val="center"/>
            <w:hideMark/>
          </w:tcPr>
          <w:p w14:paraId="6A922BBE"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126.65</w:t>
            </w:r>
          </w:p>
        </w:tc>
        <w:tc>
          <w:tcPr>
            <w:tcW w:w="767" w:type="dxa"/>
            <w:tcBorders>
              <w:top w:val="nil"/>
              <w:left w:val="nil"/>
              <w:bottom w:val="single" w:sz="4" w:space="0" w:color="auto"/>
              <w:right w:val="single" w:sz="4" w:space="0" w:color="auto"/>
            </w:tcBorders>
            <w:shd w:val="clear" w:color="auto" w:fill="auto"/>
            <w:noWrap/>
            <w:vAlign w:val="center"/>
            <w:hideMark/>
          </w:tcPr>
          <w:p w14:paraId="04A5077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190.46</w:t>
            </w:r>
          </w:p>
        </w:tc>
        <w:tc>
          <w:tcPr>
            <w:tcW w:w="1018" w:type="dxa"/>
            <w:tcBorders>
              <w:top w:val="nil"/>
              <w:left w:val="nil"/>
              <w:bottom w:val="single" w:sz="4" w:space="0" w:color="auto"/>
              <w:right w:val="single" w:sz="4" w:space="0" w:color="auto"/>
            </w:tcBorders>
            <w:shd w:val="clear" w:color="auto" w:fill="auto"/>
            <w:noWrap/>
            <w:vAlign w:val="center"/>
            <w:hideMark/>
          </w:tcPr>
          <w:p w14:paraId="4A1B57B6"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225.92</w:t>
            </w:r>
          </w:p>
        </w:tc>
        <w:tc>
          <w:tcPr>
            <w:tcW w:w="1096" w:type="dxa"/>
            <w:tcBorders>
              <w:top w:val="nil"/>
              <w:left w:val="nil"/>
              <w:bottom w:val="single" w:sz="4" w:space="0" w:color="auto"/>
              <w:right w:val="single" w:sz="4" w:space="0" w:color="auto"/>
            </w:tcBorders>
            <w:shd w:val="clear" w:color="auto" w:fill="auto"/>
            <w:noWrap/>
            <w:vAlign w:val="center"/>
            <w:hideMark/>
          </w:tcPr>
          <w:p w14:paraId="1600BCE8" w14:textId="2163238A"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355BD75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195.85</w:t>
            </w:r>
          </w:p>
        </w:tc>
        <w:tc>
          <w:tcPr>
            <w:tcW w:w="765" w:type="dxa"/>
            <w:tcBorders>
              <w:top w:val="nil"/>
              <w:left w:val="nil"/>
              <w:bottom w:val="single" w:sz="4" w:space="0" w:color="auto"/>
              <w:right w:val="single" w:sz="4" w:space="0" w:color="auto"/>
            </w:tcBorders>
            <w:shd w:val="clear" w:color="auto" w:fill="auto"/>
            <w:noWrap/>
            <w:vAlign w:val="center"/>
            <w:hideMark/>
          </w:tcPr>
          <w:p w14:paraId="1F5FF966"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92.96</w:t>
            </w:r>
          </w:p>
        </w:tc>
        <w:tc>
          <w:tcPr>
            <w:tcW w:w="1199" w:type="dxa"/>
            <w:tcBorders>
              <w:top w:val="nil"/>
              <w:left w:val="nil"/>
              <w:bottom w:val="single" w:sz="4" w:space="0" w:color="auto"/>
              <w:right w:val="single" w:sz="4" w:space="0" w:color="auto"/>
            </w:tcBorders>
            <w:shd w:val="clear" w:color="auto" w:fill="auto"/>
            <w:noWrap/>
            <w:vAlign w:val="center"/>
            <w:hideMark/>
          </w:tcPr>
          <w:p w14:paraId="3FEF6FA8" w14:textId="5099AAFE"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0.04</w:t>
            </w:r>
          </w:p>
        </w:tc>
        <w:tc>
          <w:tcPr>
            <w:tcW w:w="1137" w:type="dxa"/>
            <w:tcBorders>
              <w:top w:val="nil"/>
              <w:left w:val="nil"/>
              <w:bottom w:val="single" w:sz="4" w:space="0" w:color="auto"/>
              <w:right w:val="single" w:sz="4" w:space="0" w:color="auto"/>
            </w:tcBorders>
            <w:shd w:val="clear" w:color="auto" w:fill="auto"/>
            <w:noWrap/>
            <w:vAlign w:val="center"/>
            <w:hideMark/>
          </w:tcPr>
          <w:p w14:paraId="5F9B634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 - SEM</w:t>
            </w:r>
          </w:p>
        </w:tc>
        <w:tc>
          <w:tcPr>
            <w:tcW w:w="567" w:type="dxa"/>
            <w:tcBorders>
              <w:top w:val="nil"/>
              <w:left w:val="nil"/>
              <w:bottom w:val="single" w:sz="4" w:space="0" w:color="auto"/>
              <w:right w:val="single" w:sz="4" w:space="0" w:color="auto"/>
            </w:tcBorders>
            <w:shd w:val="clear" w:color="auto" w:fill="auto"/>
            <w:noWrap/>
            <w:vAlign w:val="center"/>
            <w:hideMark/>
          </w:tcPr>
          <w:p w14:paraId="673DC163" w14:textId="2ACEFE82"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4730DE3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38C8AE81" w14:textId="62068B8E"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05DB6741" w14:textId="3024A79F"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4D14DAAA" w14:textId="093F3ADC"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3415927C" w14:textId="59C1B0F5"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17850B26" w14:textId="36972CE1"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{"citationItems":[{"id":"ITEM-1","itemData":{"DOI":"10.1016/j.jlp.2018.10.005","ISSN":"09504230","abstract":"The effect of particle size polydispersity (σD) on coal dust explosibility was studied using a 20-L spherical explosion test apparatus. Four kinds of blends with a fixed median diameter (D50) of 95 μm but varying σD of 1.18, 1.70, 1.96 and 2.40, were prepared by mixing original coal samples with relative low σD. Experimental results showed that the values of maximum pressure rise (Pex) and maximum rate of pressure rise ((dP/dt)ex·V1/3) of coal blends with the same D50 of 95 μm varied largely with different σD, and bigger σD produced larger Pex and (dP/dt)ex·V1/3 values. The Sauter mean diameter (D3,2) presented the best correlation between particle size and the explosion parameters for the blended coal samples. Risk assessment evaluation of coal dust should be reported in terms of D3,2 and σD to avoid serious underestimation.","author":[{"dropping-particle":"","family":"Liu","given":"Shang Hao","non-dropping-particle":"","parse-names":false,"suffix":""},{"dropping-particle":"","family":"Cheng","given":"Yang Fan","non-dropping-particle":"","parse-names":false,"suffix":""},{"dropping-particle":"","family":"Meng","given":"Xiang Rui","non-dropping-particle":"","parse-names":false,"suffix":""},{"dropping-particle":"","family":"Ma","given":"Hong Hao","non-dropping-particle":"","parse-names":false,"suffix":""},{"dropping-particle":"","family":"Song","given":"Shi Xiang","non-dropping-particle":"","parse-names":false,"suffix":""},{"dropping-particle":"","family":"Liu","given":"Wen Jin","non-dropping-particle":"","parse-names":false,"suffix":""},{"dropping-particle":"","family":"Shen","given":"Zhao Wu","non-dropping-particle":"","parse-names":false,"suffix":""}],"container-title":"Journal of Loss Prevention in the Process Industries","id":"ITEM-1","issued":{"date-parts":[["2018"]]},"title":"Influence of particle size polydispersity on coal dust explosibility","type":"article-journal"},"uris":["http://www.mendeley.com/documents/?uuid=6abbfe74-aa49-4644-ab16-da9476f644b5"]}],"mendeley":{"formattedCitation":"[45]","plainTextFormattedCitation":"[45]","previouslyFormattedCitation":"[45]"},"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[45]</w:t>
            </w:r>
            <w:r w:rsidRPr="00DB19C7">
              <w:rPr>
                <w:color w:val="auto"/>
                <w:sz w:val="18"/>
                <w:szCs w:val="18"/>
                <w:lang w:eastAsia="en-GB" w:bidi="ar-SA"/>
              </w:rPr>
              <w:fldChar w:fldCharType="end"/>
            </w:r>
          </w:p>
        </w:tc>
      </w:tr>
      <w:tr w:rsidR="00DB19C7" w:rsidRPr="00DB19C7" w14:paraId="1AF92D1C" w14:textId="4C82EACE"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5FD28C3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91</w:t>
            </w:r>
          </w:p>
        </w:tc>
        <w:tc>
          <w:tcPr>
            <w:tcW w:w="1746" w:type="dxa"/>
            <w:tcBorders>
              <w:top w:val="nil"/>
              <w:left w:val="nil"/>
              <w:bottom w:val="single" w:sz="4" w:space="0" w:color="auto"/>
              <w:right w:val="single" w:sz="4" w:space="0" w:color="auto"/>
            </w:tcBorders>
            <w:shd w:val="clear" w:color="auto" w:fill="auto"/>
            <w:noWrap/>
            <w:vAlign w:val="center"/>
            <w:hideMark/>
          </w:tcPr>
          <w:p w14:paraId="2B594277"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Coal</w:t>
            </w:r>
          </w:p>
        </w:tc>
        <w:tc>
          <w:tcPr>
            <w:tcW w:w="767" w:type="dxa"/>
            <w:tcBorders>
              <w:top w:val="nil"/>
              <w:left w:val="nil"/>
              <w:bottom w:val="single" w:sz="4" w:space="0" w:color="auto"/>
              <w:right w:val="single" w:sz="4" w:space="0" w:color="auto"/>
            </w:tcBorders>
            <w:shd w:val="clear" w:color="auto" w:fill="auto"/>
            <w:noWrap/>
            <w:vAlign w:val="center"/>
            <w:hideMark/>
          </w:tcPr>
          <w:p w14:paraId="1A57A314"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98.78</w:t>
            </w:r>
          </w:p>
        </w:tc>
        <w:tc>
          <w:tcPr>
            <w:tcW w:w="767" w:type="dxa"/>
            <w:tcBorders>
              <w:top w:val="nil"/>
              <w:left w:val="nil"/>
              <w:bottom w:val="single" w:sz="4" w:space="0" w:color="auto"/>
              <w:right w:val="single" w:sz="4" w:space="0" w:color="auto"/>
            </w:tcBorders>
            <w:shd w:val="clear" w:color="auto" w:fill="auto"/>
            <w:noWrap/>
            <w:vAlign w:val="center"/>
            <w:hideMark/>
          </w:tcPr>
          <w:p w14:paraId="2F17F38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145.78</w:t>
            </w:r>
          </w:p>
        </w:tc>
        <w:tc>
          <w:tcPr>
            <w:tcW w:w="1018" w:type="dxa"/>
            <w:tcBorders>
              <w:top w:val="nil"/>
              <w:left w:val="nil"/>
              <w:bottom w:val="single" w:sz="4" w:space="0" w:color="auto"/>
              <w:right w:val="single" w:sz="4" w:space="0" w:color="auto"/>
            </w:tcBorders>
            <w:shd w:val="clear" w:color="auto" w:fill="auto"/>
            <w:noWrap/>
            <w:vAlign w:val="center"/>
            <w:hideMark/>
          </w:tcPr>
          <w:p w14:paraId="44E77EC1"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209.51</w:t>
            </w:r>
          </w:p>
        </w:tc>
        <w:tc>
          <w:tcPr>
            <w:tcW w:w="1096" w:type="dxa"/>
            <w:tcBorders>
              <w:top w:val="nil"/>
              <w:left w:val="nil"/>
              <w:bottom w:val="single" w:sz="4" w:space="0" w:color="auto"/>
              <w:right w:val="single" w:sz="4" w:space="0" w:color="auto"/>
            </w:tcBorders>
            <w:shd w:val="clear" w:color="auto" w:fill="auto"/>
            <w:noWrap/>
            <w:vAlign w:val="center"/>
            <w:hideMark/>
          </w:tcPr>
          <w:p w14:paraId="7FF688BA" w14:textId="716E9249"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2FE846E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149.06</w:t>
            </w:r>
          </w:p>
        </w:tc>
        <w:tc>
          <w:tcPr>
            <w:tcW w:w="765" w:type="dxa"/>
            <w:tcBorders>
              <w:top w:val="nil"/>
              <w:left w:val="nil"/>
              <w:bottom w:val="single" w:sz="4" w:space="0" w:color="auto"/>
              <w:right w:val="single" w:sz="4" w:space="0" w:color="auto"/>
            </w:tcBorders>
            <w:shd w:val="clear" w:color="auto" w:fill="auto"/>
            <w:noWrap/>
            <w:vAlign w:val="center"/>
            <w:hideMark/>
          </w:tcPr>
          <w:p w14:paraId="7CF3CA3A"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72.87</w:t>
            </w:r>
          </w:p>
        </w:tc>
        <w:tc>
          <w:tcPr>
            <w:tcW w:w="1199" w:type="dxa"/>
            <w:tcBorders>
              <w:top w:val="nil"/>
              <w:left w:val="nil"/>
              <w:bottom w:val="single" w:sz="4" w:space="0" w:color="auto"/>
              <w:right w:val="single" w:sz="4" w:space="0" w:color="auto"/>
            </w:tcBorders>
            <w:shd w:val="clear" w:color="auto" w:fill="auto"/>
            <w:noWrap/>
            <w:vAlign w:val="center"/>
            <w:hideMark/>
          </w:tcPr>
          <w:p w14:paraId="2FA1FE85" w14:textId="20099CF4"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0.05</w:t>
            </w:r>
          </w:p>
        </w:tc>
        <w:tc>
          <w:tcPr>
            <w:tcW w:w="1137" w:type="dxa"/>
            <w:tcBorders>
              <w:top w:val="nil"/>
              <w:left w:val="nil"/>
              <w:bottom w:val="single" w:sz="4" w:space="0" w:color="auto"/>
              <w:right w:val="single" w:sz="4" w:space="0" w:color="auto"/>
            </w:tcBorders>
            <w:shd w:val="clear" w:color="auto" w:fill="auto"/>
            <w:noWrap/>
            <w:vAlign w:val="center"/>
            <w:hideMark/>
          </w:tcPr>
          <w:p w14:paraId="74ADFA1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 - SEM</w:t>
            </w:r>
          </w:p>
        </w:tc>
        <w:tc>
          <w:tcPr>
            <w:tcW w:w="567" w:type="dxa"/>
            <w:tcBorders>
              <w:top w:val="nil"/>
              <w:left w:val="nil"/>
              <w:bottom w:val="single" w:sz="4" w:space="0" w:color="auto"/>
              <w:right w:val="single" w:sz="4" w:space="0" w:color="auto"/>
            </w:tcBorders>
            <w:shd w:val="clear" w:color="auto" w:fill="auto"/>
            <w:noWrap/>
            <w:vAlign w:val="center"/>
            <w:hideMark/>
          </w:tcPr>
          <w:p w14:paraId="515F88DD" w14:textId="76AE9931"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591257B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2FBC8BC8" w14:textId="2337E61D"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6F4B523E" w14:textId="32839D02"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379F0584" w14:textId="7E2B3196"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6AA36F7E" w14:textId="5A1A3BDB"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523C2276" w14:textId="60A1724D"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{"citationItems":[{"id":"ITEM-1","itemData":{"DOI":"10.1016/j.jlp.2018.10.005","ISSN":"09504230","abstract":"The effect of particle size polydispersity (σD) on coal dust explosibility was studied using a 20-L spherical explosion test apparatus. Four kinds of blends with a fixed median diameter (D50) of 95 μm but varying σD of 1.18, 1.70, 1.96 and 2.40, were prepared by mixing original coal samples with relative low σD. Experimental results showed that the values of maximum pressure rise (Pex) and maximum rate of pressure rise ((dP/dt)ex·V1/3) of coal blends with the same D50 of 95 μm varied largely with different σD, and bigger σD produced larger Pex and (dP/dt)ex·V1/3 values. The Sauter mean diameter (D3,2) presented the best correlation between particle size and the explosion parameters for the blended coal samples. Risk assessment evaluation of coal dust should be reported in terms of D3,2 and σD to avoid serious underestimation.","author":[{"dropping-particle":"","family":"Liu","given":"Shang Hao","non-dropping-particle":"","parse-names":false,"suffix":""},{"dropping-particle":"","family":"Cheng","given":"Yang Fan","non-dropping-particle":"","parse-names":false,"suffix":""},{"dropping-particle":"","family":"Meng","given":"Xiang Rui","non-dropping-particle":"","parse-names":false,"suffix":""},{"dropping-particle":"","family":"Ma","given":"Hong Hao","non-dropping-particle":"","parse-names":false,"suffix":""},{"dropping-particle":"","family":"Song","given":"Shi Xiang","non-dropping-particle":"","parse-names":false,"suffix":""},{"dropping-particle":"","family":"Liu","given":"Wen Jin","non-dropping-particle":"","parse-names":false,"suffix":""},{"dropping-particle":"","family":"Shen","given":"Zhao Wu","non-dropping-particle":"","parse-names":false,"suffix":""}],"container-title":"Journal of Loss Prevention in the Process Industries","id":"ITEM-1","issued":{"date-parts":[["2018"]]},"title":"Influence of particle size polydispersity on coal dust explosibility","type":"article-journal"},"uris":["http://www.mendeley.com/documents/?uuid=6abbfe74-aa49-4644-ab16-da9476f644b5"]}],"mendeley":{"formattedCitation":"[45]","plainTextFormattedCitation":"[45]","previouslyFormattedCitation":"[45]"},"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[45]</w:t>
            </w:r>
            <w:r w:rsidRPr="00DB19C7">
              <w:rPr>
                <w:color w:val="auto"/>
                <w:sz w:val="18"/>
                <w:szCs w:val="18"/>
                <w:lang w:eastAsia="en-GB" w:bidi="ar-SA"/>
              </w:rPr>
              <w:fldChar w:fldCharType="end"/>
            </w:r>
          </w:p>
        </w:tc>
      </w:tr>
      <w:tr w:rsidR="00DB19C7" w:rsidRPr="00DB19C7" w14:paraId="00D964D3" w14:textId="49821263"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64445A1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92</w:t>
            </w:r>
          </w:p>
        </w:tc>
        <w:tc>
          <w:tcPr>
            <w:tcW w:w="1746" w:type="dxa"/>
            <w:tcBorders>
              <w:top w:val="nil"/>
              <w:left w:val="nil"/>
              <w:bottom w:val="single" w:sz="4" w:space="0" w:color="auto"/>
              <w:right w:val="single" w:sz="4" w:space="0" w:color="auto"/>
            </w:tcBorders>
            <w:shd w:val="clear" w:color="auto" w:fill="auto"/>
            <w:noWrap/>
            <w:vAlign w:val="center"/>
            <w:hideMark/>
          </w:tcPr>
          <w:p w14:paraId="2D4048A5"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Coal</w:t>
            </w:r>
          </w:p>
        </w:tc>
        <w:tc>
          <w:tcPr>
            <w:tcW w:w="767" w:type="dxa"/>
            <w:tcBorders>
              <w:top w:val="nil"/>
              <w:left w:val="nil"/>
              <w:bottom w:val="single" w:sz="4" w:space="0" w:color="auto"/>
              <w:right w:val="single" w:sz="4" w:space="0" w:color="auto"/>
            </w:tcBorders>
            <w:shd w:val="clear" w:color="auto" w:fill="auto"/>
            <w:noWrap/>
            <w:vAlign w:val="center"/>
            <w:hideMark/>
          </w:tcPr>
          <w:p w14:paraId="162FAF3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47.81</w:t>
            </w:r>
          </w:p>
        </w:tc>
        <w:tc>
          <w:tcPr>
            <w:tcW w:w="767" w:type="dxa"/>
            <w:tcBorders>
              <w:top w:val="nil"/>
              <w:left w:val="nil"/>
              <w:bottom w:val="single" w:sz="4" w:space="0" w:color="auto"/>
              <w:right w:val="single" w:sz="4" w:space="0" w:color="auto"/>
            </w:tcBorders>
            <w:shd w:val="clear" w:color="auto" w:fill="auto"/>
            <w:noWrap/>
            <w:vAlign w:val="center"/>
            <w:hideMark/>
          </w:tcPr>
          <w:p w14:paraId="3E60CF0E"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95.56</w:t>
            </w:r>
          </w:p>
        </w:tc>
        <w:tc>
          <w:tcPr>
            <w:tcW w:w="1018" w:type="dxa"/>
            <w:tcBorders>
              <w:top w:val="nil"/>
              <w:left w:val="nil"/>
              <w:bottom w:val="single" w:sz="4" w:space="0" w:color="auto"/>
              <w:right w:val="single" w:sz="4" w:space="0" w:color="auto"/>
            </w:tcBorders>
            <w:shd w:val="clear" w:color="auto" w:fill="auto"/>
            <w:noWrap/>
            <w:vAlign w:val="center"/>
            <w:hideMark/>
          </w:tcPr>
          <w:p w14:paraId="22F42747"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160.92</w:t>
            </w:r>
          </w:p>
        </w:tc>
        <w:tc>
          <w:tcPr>
            <w:tcW w:w="1096" w:type="dxa"/>
            <w:tcBorders>
              <w:top w:val="nil"/>
              <w:left w:val="nil"/>
              <w:bottom w:val="single" w:sz="4" w:space="0" w:color="auto"/>
              <w:right w:val="single" w:sz="4" w:space="0" w:color="auto"/>
            </w:tcBorders>
            <w:shd w:val="clear" w:color="auto" w:fill="auto"/>
            <w:noWrap/>
            <w:vAlign w:val="center"/>
            <w:hideMark/>
          </w:tcPr>
          <w:p w14:paraId="0B938472" w14:textId="2020DC70"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354CBEFD"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99.44</w:t>
            </w:r>
          </w:p>
        </w:tc>
        <w:tc>
          <w:tcPr>
            <w:tcW w:w="765" w:type="dxa"/>
            <w:tcBorders>
              <w:top w:val="nil"/>
              <w:left w:val="nil"/>
              <w:bottom w:val="single" w:sz="4" w:space="0" w:color="auto"/>
              <w:right w:val="single" w:sz="4" w:space="0" w:color="auto"/>
            </w:tcBorders>
            <w:shd w:val="clear" w:color="auto" w:fill="auto"/>
            <w:noWrap/>
            <w:vAlign w:val="center"/>
            <w:hideMark/>
          </w:tcPr>
          <w:p w14:paraId="5C47C4E1"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56.65</w:t>
            </w:r>
          </w:p>
        </w:tc>
        <w:tc>
          <w:tcPr>
            <w:tcW w:w="1199" w:type="dxa"/>
            <w:tcBorders>
              <w:top w:val="nil"/>
              <w:left w:val="nil"/>
              <w:bottom w:val="single" w:sz="4" w:space="0" w:color="auto"/>
              <w:right w:val="single" w:sz="4" w:space="0" w:color="auto"/>
            </w:tcBorders>
            <w:shd w:val="clear" w:color="auto" w:fill="auto"/>
            <w:noWrap/>
            <w:vAlign w:val="center"/>
            <w:hideMark/>
          </w:tcPr>
          <w:p w14:paraId="4858C4D4" w14:textId="73EB30D9"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0.11</w:t>
            </w:r>
          </w:p>
        </w:tc>
        <w:tc>
          <w:tcPr>
            <w:tcW w:w="1137" w:type="dxa"/>
            <w:tcBorders>
              <w:top w:val="nil"/>
              <w:left w:val="nil"/>
              <w:bottom w:val="single" w:sz="4" w:space="0" w:color="auto"/>
              <w:right w:val="single" w:sz="4" w:space="0" w:color="auto"/>
            </w:tcBorders>
            <w:shd w:val="clear" w:color="auto" w:fill="auto"/>
            <w:noWrap/>
            <w:vAlign w:val="center"/>
            <w:hideMark/>
          </w:tcPr>
          <w:p w14:paraId="1083D1BC"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 - SEM</w:t>
            </w:r>
          </w:p>
        </w:tc>
        <w:tc>
          <w:tcPr>
            <w:tcW w:w="567" w:type="dxa"/>
            <w:tcBorders>
              <w:top w:val="nil"/>
              <w:left w:val="nil"/>
              <w:bottom w:val="single" w:sz="4" w:space="0" w:color="auto"/>
              <w:right w:val="single" w:sz="4" w:space="0" w:color="auto"/>
            </w:tcBorders>
            <w:shd w:val="clear" w:color="auto" w:fill="auto"/>
            <w:noWrap/>
            <w:vAlign w:val="center"/>
            <w:hideMark/>
          </w:tcPr>
          <w:p w14:paraId="2C11CF2C" w14:textId="3B771DD8"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42459577"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0283BED7" w14:textId="63C0C6C7"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133CF1F5" w14:textId="75969BED"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241B1229" w14:textId="2DE8D8EC"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3D946452" w14:textId="58D69918"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2BC213A0" w14:textId="2CAAE783"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{"citationItems":[{"id":"ITEM-1","itemData":{"DOI":"10.1016/j.jlp.2018.10.005","ISSN":"09504230","abstract":"The effect of particle size polydispersity (σD) on coal dust explosibility was studied using a 20-L spherical explosion test apparatus. Four kinds of blends with a fixed median diameter (D50) of 95 μm but varying σD of 1.18, 1.70, 1.96 and 2.40, were prepared by mixing original coal samples with relative low σD. Experimental results showed that the values of maximum pressure rise (Pex) and maximum rate of pressure rise ((dP/dt)ex·V1/3) of coal blends with the same D50 of 95 μm varied largely with different σD, and bigger σD produced larger Pex and (dP/dt)ex·V1/3 values. The Sauter mean diameter (D3,2) presented the best correlation between particle size and the explosion parameters for the blended coal samples. Risk assessment evaluation of coal dust should be reported in terms of D3,2 and σD to avoid serious underestimation.","author":[{"dropping-particle":"","family":"Liu","given":"Shang Hao","non-dropping-particle":"","parse-names":false,"suffix":""},{"dropping-particle":"","family":"Cheng","given":"Yang Fan","non-dropping-particle":"","parse-names":false,"suffix":""},{"dropping-particle":"","family":"Meng","given":"Xiang Rui","non-dropping-particle":"","parse-names":false,"suffix":""},{"dropping-particle":"","family":"Ma","given":"Hong Hao","non-dropping-particle":"","parse-names":false,"suffix":""},{"dropping-particle":"","family":"Song","given":"Shi Xiang","non-dropping-particle":"","parse-names":false,"suffix":""},{"dropping-particle":"","family":"Liu","given":"Wen Jin","non-dropping-particle":"","parse-names":false,"suffix":""},{"dropping-particle":"","family":"Shen","given":"Zhao Wu","non-dropping-particle":"","parse-names":false,"suffix":""}],"container-title":"Journal of Loss Prevention in the Process Industries","id":"ITEM-1","issued":{"date-parts":[["2018"]]},"title":"Influence of particle size polydispersity on coal dust explosibility","type":"article-journal"},"uris":["http://www.mendeley.com/documents/?uuid=6abbfe74-aa49-4644-ab16-da9476f644b5"]}],"mendeley":{"formattedCitation":"[45]","plainTextFormattedCitation":"[45]","previouslyFormattedCitation":"[45]"},"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[45]</w:t>
            </w:r>
            <w:r w:rsidRPr="00DB19C7">
              <w:rPr>
                <w:color w:val="auto"/>
                <w:sz w:val="18"/>
                <w:szCs w:val="18"/>
                <w:lang w:eastAsia="en-GB" w:bidi="ar-SA"/>
              </w:rPr>
              <w:fldChar w:fldCharType="end"/>
            </w:r>
          </w:p>
        </w:tc>
      </w:tr>
      <w:tr w:rsidR="00DB19C7" w:rsidRPr="00DB19C7" w14:paraId="287E4DF9" w14:textId="3C620839"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2EFDAD9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93</w:t>
            </w:r>
          </w:p>
        </w:tc>
        <w:tc>
          <w:tcPr>
            <w:tcW w:w="1746" w:type="dxa"/>
            <w:tcBorders>
              <w:top w:val="nil"/>
              <w:left w:val="nil"/>
              <w:bottom w:val="single" w:sz="4" w:space="0" w:color="auto"/>
              <w:right w:val="single" w:sz="4" w:space="0" w:color="auto"/>
            </w:tcBorders>
            <w:shd w:val="clear" w:color="auto" w:fill="auto"/>
            <w:noWrap/>
            <w:vAlign w:val="center"/>
            <w:hideMark/>
          </w:tcPr>
          <w:p w14:paraId="54FA84BA"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Coal</w:t>
            </w:r>
          </w:p>
        </w:tc>
        <w:tc>
          <w:tcPr>
            <w:tcW w:w="767" w:type="dxa"/>
            <w:tcBorders>
              <w:top w:val="nil"/>
              <w:left w:val="nil"/>
              <w:bottom w:val="single" w:sz="4" w:space="0" w:color="auto"/>
              <w:right w:val="single" w:sz="4" w:space="0" w:color="auto"/>
            </w:tcBorders>
            <w:shd w:val="clear" w:color="auto" w:fill="auto"/>
            <w:noWrap/>
            <w:vAlign w:val="center"/>
            <w:hideMark/>
          </w:tcPr>
          <w:p w14:paraId="29C2C25A"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10.33</w:t>
            </w:r>
          </w:p>
        </w:tc>
        <w:tc>
          <w:tcPr>
            <w:tcW w:w="767" w:type="dxa"/>
            <w:tcBorders>
              <w:top w:val="nil"/>
              <w:left w:val="nil"/>
              <w:bottom w:val="single" w:sz="4" w:space="0" w:color="auto"/>
              <w:right w:val="single" w:sz="4" w:space="0" w:color="auto"/>
            </w:tcBorders>
            <w:shd w:val="clear" w:color="auto" w:fill="auto"/>
            <w:noWrap/>
            <w:vAlign w:val="center"/>
            <w:hideMark/>
          </w:tcPr>
          <w:p w14:paraId="2FA6D2B5"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33.89</w:t>
            </w:r>
          </w:p>
        </w:tc>
        <w:tc>
          <w:tcPr>
            <w:tcW w:w="1018" w:type="dxa"/>
            <w:tcBorders>
              <w:top w:val="nil"/>
              <w:left w:val="nil"/>
              <w:bottom w:val="single" w:sz="4" w:space="0" w:color="auto"/>
              <w:right w:val="single" w:sz="4" w:space="0" w:color="auto"/>
            </w:tcBorders>
            <w:shd w:val="clear" w:color="auto" w:fill="auto"/>
            <w:noWrap/>
            <w:vAlign w:val="center"/>
            <w:hideMark/>
          </w:tcPr>
          <w:p w14:paraId="2DEE45B1"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47.08</w:t>
            </w:r>
          </w:p>
        </w:tc>
        <w:tc>
          <w:tcPr>
            <w:tcW w:w="1096" w:type="dxa"/>
            <w:tcBorders>
              <w:top w:val="nil"/>
              <w:left w:val="nil"/>
              <w:bottom w:val="single" w:sz="4" w:space="0" w:color="auto"/>
              <w:right w:val="single" w:sz="4" w:space="0" w:color="auto"/>
            </w:tcBorders>
            <w:shd w:val="clear" w:color="auto" w:fill="auto"/>
            <w:noWrap/>
            <w:vAlign w:val="center"/>
            <w:hideMark/>
          </w:tcPr>
          <w:p w14:paraId="28F46C45" w14:textId="79AB53E9"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43EA6C28"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35.88</w:t>
            </w:r>
          </w:p>
        </w:tc>
        <w:tc>
          <w:tcPr>
            <w:tcW w:w="765" w:type="dxa"/>
            <w:tcBorders>
              <w:top w:val="nil"/>
              <w:left w:val="nil"/>
              <w:bottom w:val="single" w:sz="4" w:space="0" w:color="auto"/>
              <w:right w:val="single" w:sz="4" w:space="0" w:color="auto"/>
            </w:tcBorders>
            <w:shd w:val="clear" w:color="auto" w:fill="auto"/>
            <w:noWrap/>
            <w:vAlign w:val="center"/>
            <w:hideMark/>
          </w:tcPr>
          <w:p w14:paraId="1344134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11.98</w:t>
            </w:r>
          </w:p>
        </w:tc>
        <w:tc>
          <w:tcPr>
            <w:tcW w:w="1199" w:type="dxa"/>
            <w:tcBorders>
              <w:top w:val="nil"/>
              <w:left w:val="nil"/>
              <w:bottom w:val="single" w:sz="4" w:space="0" w:color="auto"/>
              <w:right w:val="single" w:sz="4" w:space="0" w:color="auto"/>
            </w:tcBorders>
            <w:shd w:val="clear" w:color="auto" w:fill="auto"/>
            <w:noWrap/>
            <w:vAlign w:val="center"/>
            <w:hideMark/>
          </w:tcPr>
          <w:p w14:paraId="35A33420" w14:textId="2EB0F728"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0.54</w:t>
            </w:r>
          </w:p>
        </w:tc>
        <w:tc>
          <w:tcPr>
            <w:tcW w:w="1137" w:type="dxa"/>
            <w:tcBorders>
              <w:top w:val="nil"/>
              <w:left w:val="nil"/>
              <w:bottom w:val="single" w:sz="4" w:space="0" w:color="auto"/>
              <w:right w:val="single" w:sz="4" w:space="0" w:color="auto"/>
            </w:tcBorders>
            <w:shd w:val="clear" w:color="auto" w:fill="auto"/>
            <w:noWrap/>
            <w:vAlign w:val="center"/>
            <w:hideMark/>
          </w:tcPr>
          <w:p w14:paraId="51137A1A"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 - SEM</w:t>
            </w:r>
          </w:p>
        </w:tc>
        <w:tc>
          <w:tcPr>
            <w:tcW w:w="567" w:type="dxa"/>
            <w:tcBorders>
              <w:top w:val="nil"/>
              <w:left w:val="nil"/>
              <w:bottom w:val="single" w:sz="4" w:space="0" w:color="auto"/>
              <w:right w:val="single" w:sz="4" w:space="0" w:color="auto"/>
            </w:tcBorders>
            <w:shd w:val="clear" w:color="auto" w:fill="auto"/>
            <w:noWrap/>
            <w:vAlign w:val="center"/>
            <w:hideMark/>
          </w:tcPr>
          <w:p w14:paraId="73402669" w14:textId="3BBC12DF"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7F0E8AB8"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6BECA95B" w14:textId="392CD718"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7129F347" w14:textId="084484A5"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7166E84C" w14:textId="47A16803"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13EA8F0B" w14:textId="16200C2A"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1FE1D31C" w14:textId="338069E0"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{"citationItems":[{"id":"ITEM-1","itemData":{"DOI":"10.1016/j.jlp.2018.10.005","ISSN":"09504230","abstract":"The effect of particle size polydispersity (σD) on coal dust explosibility was studied using a 20-L spherical explosion test apparatus. Four kinds of blends with a fixed median diameter (D50) of 95 μm but varying σD of 1.18, 1.70, 1.96 and 2.40, were prepared by mixing original coal samples with relative low σD. Experimental results showed that the values of maximum pressure rise (Pex) and maximum rate of pressure rise ((dP/dt)ex·V1/3) of coal blends with the same D50 of 95 μm varied largely with different σD, and bigger σD produced larger Pex and (dP/dt)ex·V1/3 values. The Sauter mean diameter (D3,2) presented the best correlation between particle size and the explosion parameters for the blended coal samples. Risk assessment evaluation of coal dust should be reported in terms of D3,2 and σD to avoid serious underestimation.","author":[{"dropping-particle":"","family":"Liu","given":"Shang Hao","non-dropping-particle":"","parse-names":false,"suffix":""},{"dropping-particle":"","family":"Cheng","given":"Yang Fan","non-dropping-particle":"","parse-names":false,"suffix":""},{"dropping-particle":"","family":"Meng","given":"Xiang Rui","non-dropping-particle":"","parse-names":false,"suffix":""},{"dropping-particle":"","family":"Ma","given":"Hong Hao","non-dropping-particle":"","parse-names":false,"suffix":""},{"dropping-particle":"","family":"Song","given":"Shi Xiang","non-dropping-particle":"","parse-names":false,"suffix":""},{"dropping-particle":"","family":"Liu","given":"Wen Jin","non-dropping-particle":"","parse-names":false,"suffix":""},{"dropping-particle":"","family":"Shen","given":"Zhao Wu","non-dropping-particle":"","parse-names":false,"suffix":""}],"container-title":"Journal of Loss Prevention in the Process Industries","id":"ITEM-1","issued":{"date-parts":[["2018"]]},"title":"Influence of particle size polydispersity on coal dust explosibility","type":"article-journal"},"uris":["http://www.mendeley.com/documents/?uuid=6abbfe74-aa49-4644-ab16-da9476f644b5"]}],"mendeley":{"formattedCitation":"[45]","plainTextFormattedCitation":"[45]","previouslyFormattedCitation":"[45]"},"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[45]</w:t>
            </w:r>
            <w:r w:rsidRPr="00DB19C7">
              <w:rPr>
                <w:color w:val="auto"/>
                <w:sz w:val="18"/>
                <w:szCs w:val="18"/>
                <w:lang w:eastAsia="en-GB" w:bidi="ar-SA"/>
              </w:rPr>
              <w:fldChar w:fldCharType="end"/>
            </w:r>
          </w:p>
        </w:tc>
      </w:tr>
      <w:tr w:rsidR="00DB19C7" w:rsidRPr="00DB19C7" w14:paraId="2F94F399" w14:textId="6106B85D"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10820D0C"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94</w:t>
            </w:r>
          </w:p>
        </w:tc>
        <w:tc>
          <w:tcPr>
            <w:tcW w:w="1746" w:type="dxa"/>
            <w:tcBorders>
              <w:top w:val="nil"/>
              <w:left w:val="nil"/>
              <w:bottom w:val="single" w:sz="4" w:space="0" w:color="auto"/>
              <w:right w:val="single" w:sz="4" w:space="0" w:color="auto"/>
            </w:tcBorders>
            <w:shd w:val="clear" w:color="auto" w:fill="auto"/>
            <w:noWrap/>
            <w:vAlign w:val="center"/>
            <w:hideMark/>
          </w:tcPr>
          <w:p w14:paraId="683B32B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Coal</w:t>
            </w:r>
          </w:p>
        </w:tc>
        <w:tc>
          <w:tcPr>
            <w:tcW w:w="767" w:type="dxa"/>
            <w:tcBorders>
              <w:top w:val="nil"/>
              <w:left w:val="nil"/>
              <w:bottom w:val="single" w:sz="4" w:space="0" w:color="auto"/>
              <w:right w:val="single" w:sz="4" w:space="0" w:color="auto"/>
            </w:tcBorders>
            <w:shd w:val="clear" w:color="auto" w:fill="auto"/>
            <w:noWrap/>
            <w:vAlign w:val="center"/>
            <w:hideMark/>
          </w:tcPr>
          <w:p w14:paraId="42148605"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5.12</w:t>
            </w:r>
          </w:p>
        </w:tc>
        <w:tc>
          <w:tcPr>
            <w:tcW w:w="767" w:type="dxa"/>
            <w:tcBorders>
              <w:top w:val="nil"/>
              <w:left w:val="nil"/>
              <w:bottom w:val="single" w:sz="4" w:space="0" w:color="auto"/>
              <w:right w:val="single" w:sz="4" w:space="0" w:color="auto"/>
            </w:tcBorders>
            <w:shd w:val="clear" w:color="auto" w:fill="auto"/>
            <w:noWrap/>
            <w:vAlign w:val="center"/>
            <w:hideMark/>
          </w:tcPr>
          <w:p w14:paraId="28663FDD"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11.53</w:t>
            </w:r>
          </w:p>
        </w:tc>
        <w:tc>
          <w:tcPr>
            <w:tcW w:w="1018" w:type="dxa"/>
            <w:tcBorders>
              <w:top w:val="nil"/>
              <w:left w:val="nil"/>
              <w:bottom w:val="single" w:sz="4" w:space="0" w:color="auto"/>
              <w:right w:val="single" w:sz="4" w:space="0" w:color="auto"/>
            </w:tcBorders>
            <w:shd w:val="clear" w:color="auto" w:fill="auto"/>
            <w:noWrap/>
            <w:vAlign w:val="center"/>
            <w:hideMark/>
          </w:tcPr>
          <w:p w14:paraId="75ACD726"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20.48</w:t>
            </w:r>
          </w:p>
        </w:tc>
        <w:tc>
          <w:tcPr>
            <w:tcW w:w="1096" w:type="dxa"/>
            <w:tcBorders>
              <w:top w:val="nil"/>
              <w:left w:val="nil"/>
              <w:bottom w:val="single" w:sz="4" w:space="0" w:color="auto"/>
              <w:right w:val="single" w:sz="4" w:space="0" w:color="auto"/>
            </w:tcBorders>
            <w:shd w:val="clear" w:color="auto" w:fill="auto"/>
            <w:noWrap/>
            <w:vAlign w:val="center"/>
            <w:hideMark/>
          </w:tcPr>
          <w:p w14:paraId="02C6D328" w14:textId="0AB1D146"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209F4CD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11.92</w:t>
            </w:r>
          </w:p>
        </w:tc>
        <w:tc>
          <w:tcPr>
            <w:tcW w:w="765" w:type="dxa"/>
            <w:tcBorders>
              <w:top w:val="nil"/>
              <w:left w:val="nil"/>
              <w:bottom w:val="single" w:sz="4" w:space="0" w:color="auto"/>
              <w:right w:val="single" w:sz="4" w:space="0" w:color="auto"/>
            </w:tcBorders>
            <w:shd w:val="clear" w:color="auto" w:fill="auto"/>
            <w:noWrap/>
            <w:vAlign w:val="center"/>
            <w:hideMark/>
          </w:tcPr>
          <w:p w14:paraId="1A54C85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4.06</w:t>
            </w:r>
          </w:p>
        </w:tc>
        <w:tc>
          <w:tcPr>
            <w:tcW w:w="1199" w:type="dxa"/>
            <w:tcBorders>
              <w:top w:val="nil"/>
              <w:left w:val="nil"/>
              <w:bottom w:val="single" w:sz="4" w:space="0" w:color="auto"/>
              <w:right w:val="single" w:sz="4" w:space="0" w:color="auto"/>
            </w:tcBorders>
            <w:shd w:val="clear" w:color="auto" w:fill="auto"/>
            <w:noWrap/>
            <w:vAlign w:val="center"/>
            <w:hideMark/>
          </w:tcPr>
          <w:p w14:paraId="4196FE29" w14:textId="56058D09"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1.48</w:t>
            </w:r>
          </w:p>
        </w:tc>
        <w:tc>
          <w:tcPr>
            <w:tcW w:w="1137" w:type="dxa"/>
            <w:tcBorders>
              <w:top w:val="nil"/>
              <w:left w:val="nil"/>
              <w:bottom w:val="single" w:sz="4" w:space="0" w:color="auto"/>
              <w:right w:val="single" w:sz="4" w:space="0" w:color="auto"/>
            </w:tcBorders>
            <w:shd w:val="clear" w:color="auto" w:fill="auto"/>
            <w:noWrap/>
            <w:vAlign w:val="center"/>
            <w:hideMark/>
          </w:tcPr>
          <w:p w14:paraId="58A14016"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 - SEM</w:t>
            </w:r>
          </w:p>
        </w:tc>
        <w:tc>
          <w:tcPr>
            <w:tcW w:w="567" w:type="dxa"/>
            <w:tcBorders>
              <w:top w:val="nil"/>
              <w:left w:val="nil"/>
              <w:bottom w:val="single" w:sz="4" w:space="0" w:color="auto"/>
              <w:right w:val="single" w:sz="4" w:space="0" w:color="auto"/>
            </w:tcBorders>
            <w:shd w:val="clear" w:color="auto" w:fill="auto"/>
            <w:noWrap/>
            <w:vAlign w:val="center"/>
            <w:hideMark/>
          </w:tcPr>
          <w:p w14:paraId="3D2479FD" w14:textId="667F6F43"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3B68AB43"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397F06B4" w14:textId="41DC4C89"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5930E74E" w14:textId="3B70EC87"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442672DA" w14:textId="762EB8D4"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1210F508" w14:textId="79758949"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23EA0E83" w14:textId="606A95AF"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{"citationItems":[{"id":"ITEM-1","itemData":{"DOI":"10.1016/j.jlp.2018.10.005","ISSN":"09504230","abstract":"The effect of particle size polydispersity (σD) on coal dust explosibility was studied using a 20-L spherical explosion test apparatus. Four kinds of blends with a fixed median diameter (D50) of 95 μm but varying σD of 1.18, 1.70, 1.96 and 2.40, were prepared by mixing original coal samples with relative low σD. Experimental results showed that the values of maximum pressure rise (Pex) and maximum rate of pressure rise ((dP/dt)ex·V1/3) of coal blends with the same D50 of 95 μm varied largely with different σD, and bigger σD produced larger Pex and (dP/dt)ex·V1/3 values. The Sauter mean diameter (D3,2) presented the best correlation between particle size and the explosion parameters for the blended coal samples. Risk assessment evaluation of coal dust should be reported in terms of D3,2 and σD to avoid serious underestimation.","author":[{"dropping-particle":"","family":"Liu","given":"Shang Hao","non-dropping-particle":"","parse-names":false,"suffix":""},{"dropping-particle":"","family":"Cheng","given":"Yang Fan","non-dropping-particle":"","parse-names":false,"suffix":""},{"dropping-particle":"","family":"Meng","given":"Xiang Rui","non-dropping-particle":"","parse-names":false,"suffix":""},{"dropping-particle":"","family":"Ma","given":"Hong Hao","non-dropping-particle":"","parse-names":false,"suffix":""},{"dropping-particle":"","family":"Song","given":"Shi Xiang","non-dropping-particle":"","parse-names":false,"suffix":""},{"dropping-particle":"","family":"Liu","given":"Wen Jin","non-dropping-particle":"","parse-names":false,"suffix":""},{"dropping-particle":"","family":"Shen","given":"Zhao Wu","non-dropping-particle":"","parse-names":false,"suffix":""}],"container-title":"Journal of Loss Prevention in the Process Industries","id":"ITEM-1","issued":{"date-parts":[["2018"]]},"title":"Influence of particle size polydispersity on coal dust explosibility","type":"article-journal"},"uris":["http://www.mendeley.com/documents/?uuid=6abbfe74-aa49-4644-ab16-da9476f644b5"]}],"mendeley":{"formattedCitation":"[45]","plainTextFormattedCitation":"[45]","previouslyFormattedCitation":"[45]"},"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[45]</w:t>
            </w:r>
            <w:r w:rsidRPr="00DB19C7">
              <w:rPr>
                <w:color w:val="auto"/>
                <w:sz w:val="18"/>
                <w:szCs w:val="18"/>
                <w:lang w:eastAsia="en-GB" w:bidi="ar-SA"/>
              </w:rPr>
              <w:fldChar w:fldCharType="end"/>
            </w:r>
          </w:p>
        </w:tc>
      </w:tr>
      <w:tr w:rsidR="00DB19C7" w:rsidRPr="00DB19C7" w14:paraId="13BF339E" w14:textId="5D0D43AE"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0051F733"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95</w:t>
            </w:r>
          </w:p>
        </w:tc>
        <w:tc>
          <w:tcPr>
            <w:tcW w:w="1746" w:type="dxa"/>
            <w:tcBorders>
              <w:top w:val="nil"/>
              <w:left w:val="nil"/>
              <w:bottom w:val="single" w:sz="4" w:space="0" w:color="auto"/>
              <w:right w:val="single" w:sz="4" w:space="0" w:color="auto"/>
            </w:tcBorders>
            <w:shd w:val="clear" w:color="auto" w:fill="auto"/>
            <w:noWrap/>
            <w:vAlign w:val="center"/>
            <w:hideMark/>
          </w:tcPr>
          <w:p w14:paraId="6384FEF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Coal</w:t>
            </w:r>
          </w:p>
        </w:tc>
        <w:tc>
          <w:tcPr>
            <w:tcW w:w="767" w:type="dxa"/>
            <w:tcBorders>
              <w:top w:val="nil"/>
              <w:left w:val="nil"/>
              <w:bottom w:val="single" w:sz="4" w:space="0" w:color="auto"/>
              <w:right w:val="single" w:sz="4" w:space="0" w:color="auto"/>
            </w:tcBorders>
            <w:shd w:val="clear" w:color="auto" w:fill="auto"/>
            <w:noWrap/>
            <w:vAlign w:val="center"/>
            <w:hideMark/>
          </w:tcPr>
          <w:p w14:paraId="0037619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1.8</w:t>
            </w:r>
          </w:p>
        </w:tc>
        <w:tc>
          <w:tcPr>
            <w:tcW w:w="767" w:type="dxa"/>
            <w:tcBorders>
              <w:top w:val="nil"/>
              <w:left w:val="nil"/>
              <w:bottom w:val="single" w:sz="4" w:space="0" w:color="auto"/>
              <w:right w:val="single" w:sz="4" w:space="0" w:color="auto"/>
            </w:tcBorders>
            <w:shd w:val="clear" w:color="auto" w:fill="auto"/>
            <w:noWrap/>
            <w:vAlign w:val="center"/>
            <w:hideMark/>
          </w:tcPr>
          <w:p w14:paraId="67A6D33C"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5.42</w:t>
            </w:r>
          </w:p>
        </w:tc>
        <w:tc>
          <w:tcPr>
            <w:tcW w:w="1018" w:type="dxa"/>
            <w:tcBorders>
              <w:top w:val="nil"/>
              <w:left w:val="nil"/>
              <w:bottom w:val="single" w:sz="4" w:space="0" w:color="auto"/>
              <w:right w:val="single" w:sz="4" w:space="0" w:color="auto"/>
            </w:tcBorders>
            <w:shd w:val="clear" w:color="auto" w:fill="auto"/>
            <w:noWrap/>
            <w:vAlign w:val="center"/>
            <w:hideMark/>
          </w:tcPr>
          <w:p w14:paraId="0602A3A8"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10.21</w:t>
            </w:r>
          </w:p>
        </w:tc>
        <w:tc>
          <w:tcPr>
            <w:tcW w:w="1096" w:type="dxa"/>
            <w:tcBorders>
              <w:top w:val="nil"/>
              <w:left w:val="nil"/>
              <w:bottom w:val="single" w:sz="4" w:space="0" w:color="auto"/>
              <w:right w:val="single" w:sz="4" w:space="0" w:color="auto"/>
            </w:tcBorders>
            <w:shd w:val="clear" w:color="auto" w:fill="auto"/>
            <w:noWrap/>
            <w:vAlign w:val="center"/>
            <w:hideMark/>
          </w:tcPr>
          <w:p w14:paraId="2E4D1363" w14:textId="7EBD496D"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5DED8F03"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5.41</w:t>
            </w:r>
          </w:p>
        </w:tc>
        <w:tc>
          <w:tcPr>
            <w:tcW w:w="765" w:type="dxa"/>
            <w:tcBorders>
              <w:top w:val="nil"/>
              <w:left w:val="nil"/>
              <w:bottom w:val="single" w:sz="4" w:space="0" w:color="auto"/>
              <w:right w:val="single" w:sz="4" w:space="0" w:color="auto"/>
            </w:tcBorders>
            <w:shd w:val="clear" w:color="auto" w:fill="auto"/>
            <w:noWrap/>
            <w:vAlign w:val="center"/>
            <w:hideMark/>
          </w:tcPr>
          <w:p w14:paraId="7D943BF4"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2.17</w:t>
            </w:r>
          </w:p>
        </w:tc>
        <w:tc>
          <w:tcPr>
            <w:tcW w:w="1199" w:type="dxa"/>
            <w:tcBorders>
              <w:top w:val="nil"/>
              <w:left w:val="nil"/>
              <w:bottom w:val="single" w:sz="4" w:space="0" w:color="auto"/>
              <w:right w:val="single" w:sz="4" w:space="0" w:color="auto"/>
            </w:tcBorders>
            <w:shd w:val="clear" w:color="auto" w:fill="auto"/>
            <w:noWrap/>
            <w:vAlign w:val="center"/>
            <w:hideMark/>
          </w:tcPr>
          <w:p w14:paraId="3ACD05FD" w14:textId="6285113A"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2.76</w:t>
            </w:r>
          </w:p>
        </w:tc>
        <w:tc>
          <w:tcPr>
            <w:tcW w:w="1137" w:type="dxa"/>
            <w:tcBorders>
              <w:top w:val="nil"/>
              <w:left w:val="nil"/>
              <w:bottom w:val="single" w:sz="4" w:space="0" w:color="auto"/>
              <w:right w:val="single" w:sz="4" w:space="0" w:color="auto"/>
            </w:tcBorders>
            <w:shd w:val="clear" w:color="auto" w:fill="auto"/>
            <w:noWrap/>
            <w:vAlign w:val="center"/>
            <w:hideMark/>
          </w:tcPr>
          <w:p w14:paraId="666B889C"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 - SEM</w:t>
            </w:r>
          </w:p>
        </w:tc>
        <w:tc>
          <w:tcPr>
            <w:tcW w:w="567" w:type="dxa"/>
            <w:tcBorders>
              <w:top w:val="nil"/>
              <w:left w:val="nil"/>
              <w:bottom w:val="single" w:sz="4" w:space="0" w:color="auto"/>
              <w:right w:val="single" w:sz="4" w:space="0" w:color="auto"/>
            </w:tcBorders>
            <w:shd w:val="clear" w:color="auto" w:fill="auto"/>
            <w:noWrap/>
            <w:vAlign w:val="center"/>
            <w:hideMark/>
          </w:tcPr>
          <w:p w14:paraId="4664B05F" w14:textId="2D20A17E"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1FCF1557"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66726280" w14:textId="57E02EDF"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4D39B5AC" w14:textId="4E730185"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39FB53E9" w14:textId="2D0E235C"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79CEF5F8" w14:textId="126F444F"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152F7691" w14:textId="73FD3635"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{"citationItems":[{"id":"ITEM-1","itemData":{"DOI":"10.1016/j.jlp.2018.10.005","ISSN":"09504230","abstract":"The effect of particle size polydispersity (σD) on coal dust explosibility was studied using a 20-L spherical explosion test apparatus. Four kinds of blends with a fixed median diameter (D50) of 95 μm but varying σD of 1.18, 1.70, 1.96 and 2.40, were prepared by mixing original coal samples with relative low σD. Experimental results showed that the values of maximum pressure rise (Pex) and maximum rate of pressure rise ((dP/dt)ex·V1/3) of coal blends with the same D50 of 95 μm varied largely with different σD, and bigger σD produced larger Pex and (dP/dt)ex·V1/3 values. The Sauter mean diameter (D3,2) presented the best correlation between particle size and the explosion parameters for the blended coal samples. Risk assessment evaluation of coal dust should be reported in terms of D3,2 and σD to avoid serious underestimation.","author":[{"dropping-particle":"","family":"Liu","given":"Shang Hao","non-dropping-particle":"","parse-names":false,"suffix":""},{"dropping-particle":"","family":"Cheng","given":"Yang Fan","non-dropping-particle":"","parse-names":false,"suffix":""},{"dropping-particle":"","family":"Meng","given":"Xiang Rui","non-dropping-particle":"","parse-names":false,"suffix":""},{"dropping-particle":"","family":"Ma","given":"Hong Hao","non-dropping-particle":"","parse-names":false,"suffix":""},{"dropping-particle":"","family":"Song","given":"Shi Xiang","non-dropping-particle":"","parse-names":false,"suffix":""},{"dropping-particle":"","family":"Liu","given":"Wen Jin","non-dropping-particle":"","parse-names":false,"suffix":""},{"dropping-particle":"","family":"Shen","given":"Zhao Wu","non-dropping-particle":"","parse-names":false,"suffix":""}],"container-title":"Journal of Loss Prevention in the Process Industries","id":"ITEM-1","issued":{"date-parts":[["2018"]]},"title":"Influence of particle size polydispersity on coal dust explosibility","type":"article-journal"},"uris":["http://www.mendeley.com/documents/?uuid=6abbfe74-aa49-4644-ab16-da9476f644b5"]}],"mendeley":{"formattedCitation":"[45]","plainTextFormattedCitation":"[45]","previouslyFormattedCitation":"[45]"},"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[45]</w:t>
            </w:r>
            <w:r w:rsidRPr="00DB19C7">
              <w:rPr>
                <w:color w:val="auto"/>
                <w:sz w:val="18"/>
                <w:szCs w:val="18"/>
                <w:lang w:eastAsia="en-GB" w:bidi="ar-SA"/>
              </w:rPr>
              <w:fldChar w:fldCharType="end"/>
            </w:r>
          </w:p>
        </w:tc>
      </w:tr>
      <w:tr w:rsidR="00DB19C7" w:rsidRPr="00DB19C7" w14:paraId="5897232E" w14:textId="172A4DEC"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292BE614"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96</w:t>
            </w:r>
          </w:p>
        </w:tc>
        <w:tc>
          <w:tcPr>
            <w:tcW w:w="1746" w:type="dxa"/>
            <w:tcBorders>
              <w:top w:val="nil"/>
              <w:left w:val="nil"/>
              <w:bottom w:val="single" w:sz="4" w:space="0" w:color="auto"/>
              <w:right w:val="single" w:sz="4" w:space="0" w:color="auto"/>
            </w:tcBorders>
            <w:shd w:val="clear" w:color="auto" w:fill="auto"/>
            <w:noWrap/>
            <w:vAlign w:val="center"/>
            <w:hideMark/>
          </w:tcPr>
          <w:p w14:paraId="14265127"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Coal (Colombia)</w:t>
            </w:r>
          </w:p>
        </w:tc>
        <w:tc>
          <w:tcPr>
            <w:tcW w:w="767" w:type="dxa"/>
            <w:tcBorders>
              <w:top w:val="nil"/>
              <w:left w:val="nil"/>
              <w:bottom w:val="single" w:sz="4" w:space="0" w:color="auto"/>
              <w:right w:val="single" w:sz="4" w:space="0" w:color="auto"/>
            </w:tcBorders>
            <w:shd w:val="clear" w:color="auto" w:fill="auto"/>
            <w:noWrap/>
            <w:vAlign w:val="center"/>
            <w:hideMark/>
          </w:tcPr>
          <w:p w14:paraId="1D040E6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6.8</w:t>
            </w:r>
          </w:p>
        </w:tc>
        <w:tc>
          <w:tcPr>
            <w:tcW w:w="767" w:type="dxa"/>
            <w:tcBorders>
              <w:top w:val="nil"/>
              <w:left w:val="nil"/>
              <w:bottom w:val="single" w:sz="4" w:space="0" w:color="auto"/>
              <w:right w:val="single" w:sz="4" w:space="0" w:color="auto"/>
            </w:tcBorders>
            <w:shd w:val="clear" w:color="auto" w:fill="auto"/>
            <w:noWrap/>
            <w:vAlign w:val="center"/>
            <w:hideMark/>
          </w:tcPr>
          <w:p w14:paraId="3FA83E1C"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28.1</w:t>
            </w:r>
          </w:p>
        </w:tc>
        <w:tc>
          <w:tcPr>
            <w:tcW w:w="1018" w:type="dxa"/>
            <w:tcBorders>
              <w:top w:val="nil"/>
              <w:left w:val="nil"/>
              <w:bottom w:val="single" w:sz="4" w:space="0" w:color="auto"/>
              <w:right w:val="single" w:sz="4" w:space="0" w:color="auto"/>
            </w:tcBorders>
            <w:shd w:val="clear" w:color="auto" w:fill="auto"/>
            <w:noWrap/>
            <w:vAlign w:val="center"/>
            <w:hideMark/>
          </w:tcPr>
          <w:p w14:paraId="34638BB8"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85.2</w:t>
            </w:r>
          </w:p>
        </w:tc>
        <w:tc>
          <w:tcPr>
            <w:tcW w:w="1096" w:type="dxa"/>
            <w:tcBorders>
              <w:top w:val="nil"/>
              <w:left w:val="nil"/>
              <w:bottom w:val="single" w:sz="4" w:space="0" w:color="auto"/>
              <w:right w:val="single" w:sz="4" w:space="0" w:color="auto"/>
            </w:tcBorders>
            <w:shd w:val="clear" w:color="auto" w:fill="auto"/>
            <w:noWrap/>
            <w:hideMark/>
          </w:tcPr>
          <w:p w14:paraId="69F3D99F" w14:textId="4F1FF96E"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w:t>
            </w:r>
          </w:p>
        </w:tc>
        <w:tc>
          <w:tcPr>
            <w:tcW w:w="767" w:type="dxa"/>
            <w:tcBorders>
              <w:top w:val="nil"/>
              <w:left w:val="nil"/>
              <w:bottom w:val="single" w:sz="4" w:space="0" w:color="auto"/>
              <w:right w:val="single" w:sz="4" w:space="0" w:color="auto"/>
            </w:tcBorders>
            <w:shd w:val="clear" w:color="auto" w:fill="auto"/>
            <w:noWrap/>
            <w:vAlign w:val="center"/>
            <w:hideMark/>
          </w:tcPr>
          <w:p w14:paraId="4AF0A96A"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40</w:t>
            </w:r>
          </w:p>
        </w:tc>
        <w:tc>
          <w:tcPr>
            <w:tcW w:w="765" w:type="dxa"/>
            <w:tcBorders>
              <w:top w:val="nil"/>
              <w:left w:val="nil"/>
              <w:bottom w:val="single" w:sz="4" w:space="0" w:color="auto"/>
              <w:right w:val="single" w:sz="4" w:space="0" w:color="auto"/>
            </w:tcBorders>
            <w:shd w:val="clear" w:color="auto" w:fill="auto"/>
            <w:noWrap/>
            <w:vAlign w:val="center"/>
            <w:hideMark/>
          </w:tcPr>
          <w:p w14:paraId="0DA01CA1"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15</w:t>
            </w:r>
          </w:p>
        </w:tc>
        <w:tc>
          <w:tcPr>
            <w:tcW w:w="1199" w:type="dxa"/>
            <w:tcBorders>
              <w:top w:val="nil"/>
              <w:left w:val="nil"/>
              <w:bottom w:val="single" w:sz="4" w:space="0" w:color="auto"/>
              <w:right w:val="single" w:sz="4" w:space="0" w:color="auto"/>
            </w:tcBorders>
            <w:shd w:val="clear" w:color="auto" w:fill="auto"/>
            <w:noWrap/>
            <w:vAlign w:val="center"/>
            <w:hideMark/>
          </w:tcPr>
          <w:p w14:paraId="52770D27" w14:textId="70689F0F"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15.8</w:t>
            </w:r>
          </w:p>
        </w:tc>
        <w:tc>
          <w:tcPr>
            <w:tcW w:w="1137" w:type="dxa"/>
            <w:tcBorders>
              <w:top w:val="nil"/>
              <w:left w:val="nil"/>
              <w:bottom w:val="single" w:sz="4" w:space="0" w:color="auto"/>
              <w:right w:val="single" w:sz="4" w:space="0" w:color="auto"/>
            </w:tcBorders>
            <w:shd w:val="clear" w:color="auto" w:fill="auto"/>
            <w:noWrap/>
            <w:vAlign w:val="center"/>
            <w:hideMark/>
          </w:tcPr>
          <w:p w14:paraId="3C4061A4"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 - SEM</w:t>
            </w:r>
          </w:p>
        </w:tc>
        <w:tc>
          <w:tcPr>
            <w:tcW w:w="567" w:type="dxa"/>
            <w:tcBorders>
              <w:top w:val="nil"/>
              <w:left w:val="nil"/>
              <w:bottom w:val="single" w:sz="4" w:space="0" w:color="auto"/>
              <w:right w:val="single" w:sz="4" w:space="0" w:color="auto"/>
            </w:tcBorders>
            <w:shd w:val="clear" w:color="auto" w:fill="auto"/>
            <w:noWrap/>
            <w:vAlign w:val="center"/>
            <w:hideMark/>
          </w:tcPr>
          <w:p w14:paraId="0CEEAD91" w14:textId="519C53E7"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3B85571D"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056BB94C"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3.2</w:t>
            </w:r>
          </w:p>
        </w:tc>
        <w:tc>
          <w:tcPr>
            <w:tcW w:w="737" w:type="dxa"/>
            <w:tcBorders>
              <w:top w:val="nil"/>
              <w:left w:val="nil"/>
              <w:bottom w:val="single" w:sz="4" w:space="0" w:color="auto"/>
              <w:right w:val="single" w:sz="4" w:space="0" w:color="auto"/>
            </w:tcBorders>
            <w:shd w:val="clear" w:color="auto" w:fill="auto"/>
            <w:noWrap/>
            <w:vAlign w:val="center"/>
            <w:hideMark/>
          </w:tcPr>
          <w:p w14:paraId="10B05036"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33.7</w:t>
            </w:r>
          </w:p>
        </w:tc>
        <w:tc>
          <w:tcPr>
            <w:tcW w:w="737" w:type="dxa"/>
            <w:tcBorders>
              <w:top w:val="nil"/>
              <w:left w:val="nil"/>
              <w:bottom w:val="single" w:sz="4" w:space="0" w:color="auto"/>
              <w:right w:val="single" w:sz="4" w:space="0" w:color="auto"/>
            </w:tcBorders>
            <w:shd w:val="clear" w:color="auto" w:fill="auto"/>
            <w:noWrap/>
            <w:vAlign w:val="center"/>
            <w:hideMark/>
          </w:tcPr>
          <w:p w14:paraId="5701D28D"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15.3</w:t>
            </w:r>
          </w:p>
        </w:tc>
        <w:tc>
          <w:tcPr>
            <w:tcW w:w="737" w:type="dxa"/>
            <w:tcBorders>
              <w:top w:val="nil"/>
              <w:left w:val="nil"/>
              <w:bottom w:val="single" w:sz="4" w:space="0" w:color="auto"/>
              <w:right w:val="single" w:sz="4" w:space="0" w:color="auto"/>
            </w:tcBorders>
            <w:shd w:val="clear" w:color="auto" w:fill="auto"/>
            <w:noWrap/>
            <w:vAlign w:val="center"/>
            <w:hideMark/>
          </w:tcPr>
          <w:p w14:paraId="7BF74821"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47.8</w:t>
            </w:r>
          </w:p>
        </w:tc>
        <w:tc>
          <w:tcPr>
            <w:tcW w:w="617" w:type="dxa"/>
            <w:tcBorders>
              <w:top w:val="single" w:sz="4" w:space="0" w:color="auto"/>
              <w:left w:val="nil"/>
              <w:bottom w:val="single" w:sz="4" w:space="0" w:color="auto"/>
              <w:right w:val="single" w:sz="4" w:space="0" w:color="auto"/>
            </w:tcBorders>
            <w:vAlign w:val="center"/>
          </w:tcPr>
          <w:p w14:paraId="1D31291F" w14:textId="54159513"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{"citationItems":[{"id":"ITEM-1","itemData":{"DOI":"10.1016/J.FUEL.2015.01.009","ISSN":"0016-2361","abstract":"Pulverised coal has been known to pose explosion risks since the 19th century, with the advent of biomass use in coal fired power generation boilers the explosion risk may need revision. The objective of the present work was to compare the explosibility of two samples of bituminous coal used in UK power stations with two biomass fuels and to review available explosion data in the literature for pulverised coal and biomass. The 1 m3 ISO explosion vessel was used to determine the explosion characteristics: deflagration index (KSt), maximum explosion pressure (Pmax) and minimum explosible concentration (MEC). Flame speeds were also measured and these are relevant to understanding the mechanism of turbulent flame propagation in power station burners, which is related to the problem of flame flashback or blow-off. Despite the similarities in composition of both coals, the explosion reactivity of Colombian coal was much higher, with a KSt value of 129 bar m/s compared to 78 bar m/s for Kellingley coal. The main difference between the two fuels was the surface area of particles which was higher for Colombian coal. It was shown that the char burn out rate at 900 °C in air was higher for Colombian coal, due to the greater oxygen diffusion in the higher porosity of the char. Results for two biomass fuels are also presented with similar values for KSt and the literature review shows that both coal and biomass have very variable flame reactivities. There is no general trend that coal is less reactive than biomass, although this could be the case for specific coals and biomass.","author":[{"dr</w:instrText>
            </w:r>
            <w:r w:rsidRPr="00DB19C7">
              <w:rPr>
                <w:color w:val="auto"/>
                <w:sz w:val="18"/>
                <w:szCs w:val="18"/>
                <w:lang w:val="it-IT" w:eastAsia="en-GB" w:bidi="ar-SA"/>
              </w:rPr>
              <w:instrText>opping-particle":"","family":"Huéscar Medina","given":"Clara","non-dropping-particle":"","parse-names":false,"suffix":""},{"dropping-particle":"","family":"Maccoitir","given":"Brian","non-dropping-particle":"","parse-names":false,"suffix":""},{"dropping-particle":"","family":"Sattar","given":"Hamed","non-dropping-particle":"","parse-names":false,"suffix":""},{"dropping-particle":"","family":"Slatter","given":"David J.F.","non-dropping-particle":"","parse-names":false,"suffix":""},{"dropping-particle":"","family":"Phylaktou","given":"Herodotos N.","non-dropping-particle":"","parse-names":false,"suffix":""},{"dropping-particle":"","family":"Andrews","given":"Gordon E.","non-dropping-particle":"","parse-names":false,"suffix":""},{"dropping-particle":"","family":"Gibbs","given":"Bernard M.","non-dropping-particle":"","parse-names":false,"suffix":""}],"container-title":"Fuel","id":"ITEM-1","issued":{"date-parts":[["2015","7","1"]]},"page":"91-101","publisher":"Elsevier","title":"Comparison of the explosion characteristics and flame speeds of pulverised coals and biomass in the ISO standard 1 m3 dust explosion equipment","type":"article-journal","volume":"151"},"uris":["http://www.mendeley.com/documents/?uuid=16e63468-cc45-4b29-81a4-483ec09b97cc"]}],"mendeley":{"formattedCitation":"[108]","plainTextFormattedCitation":"[108]","previouslyFormattedCitation":"[108]"},"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val="it-IT" w:eastAsia="en-GB" w:bidi="ar-SA"/>
              </w:rPr>
              <w:t>[108]</w:t>
            </w:r>
            <w:r w:rsidRPr="00DB19C7">
              <w:rPr>
                <w:color w:val="auto"/>
                <w:sz w:val="18"/>
                <w:szCs w:val="18"/>
                <w:lang w:eastAsia="en-GB" w:bidi="ar-SA"/>
              </w:rPr>
              <w:fldChar w:fldCharType="end"/>
            </w:r>
          </w:p>
        </w:tc>
      </w:tr>
      <w:tr w:rsidR="00DB19C7" w:rsidRPr="00DB19C7" w14:paraId="69E25AD9" w14:textId="7DC71846"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392D8C07"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lastRenderedPageBreak/>
              <w:t>97</w:t>
            </w:r>
          </w:p>
        </w:tc>
        <w:tc>
          <w:tcPr>
            <w:tcW w:w="1746" w:type="dxa"/>
            <w:tcBorders>
              <w:top w:val="nil"/>
              <w:left w:val="nil"/>
              <w:bottom w:val="single" w:sz="4" w:space="0" w:color="auto"/>
              <w:right w:val="single" w:sz="4" w:space="0" w:color="auto"/>
            </w:tcBorders>
            <w:shd w:val="clear" w:color="auto" w:fill="auto"/>
            <w:noWrap/>
            <w:vAlign w:val="center"/>
            <w:hideMark/>
          </w:tcPr>
          <w:p w14:paraId="2361CD19"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Coal (Huaibei, China)</w:t>
            </w:r>
          </w:p>
        </w:tc>
        <w:tc>
          <w:tcPr>
            <w:tcW w:w="767" w:type="dxa"/>
            <w:tcBorders>
              <w:top w:val="nil"/>
              <w:left w:val="nil"/>
              <w:bottom w:val="single" w:sz="4" w:space="0" w:color="auto"/>
              <w:right w:val="single" w:sz="4" w:space="0" w:color="auto"/>
            </w:tcBorders>
            <w:shd w:val="clear" w:color="auto" w:fill="auto"/>
            <w:noWrap/>
            <w:vAlign w:val="center"/>
            <w:hideMark/>
          </w:tcPr>
          <w:p w14:paraId="7A0608C7"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7.92</w:t>
            </w:r>
          </w:p>
        </w:tc>
        <w:tc>
          <w:tcPr>
            <w:tcW w:w="767" w:type="dxa"/>
            <w:tcBorders>
              <w:top w:val="nil"/>
              <w:left w:val="nil"/>
              <w:bottom w:val="single" w:sz="4" w:space="0" w:color="auto"/>
              <w:right w:val="single" w:sz="4" w:space="0" w:color="auto"/>
            </w:tcBorders>
            <w:shd w:val="clear" w:color="auto" w:fill="auto"/>
            <w:noWrap/>
            <w:vAlign w:val="center"/>
            <w:hideMark/>
          </w:tcPr>
          <w:p w14:paraId="548BAC2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45.2</w:t>
            </w:r>
          </w:p>
        </w:tc>
        <w:tc>
          <w:tcPr>
            <w:tcW w:w="1018" w:type="dxa"/>
            <w:tcBorders>
              <w:top w:val="nil"/>
              <w:left w:val="nil"/>
              <w:bottom w:val="single" w:sz="4" w:space="0" w:color="auto"/>
              <w:right w:val="single" w:sz="4" w:space="0" w:color="auto"/>
            </w:tcBorders>
            <w:shd w:val="clear" w:color="auto" w:fill="auto"/>
            <w:noWrap/>
            <w:vAlign w:val="center"/>
            <w:hideMark/>
          </w:tcPr>
          <w:p w14:paraId="0D596483"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91.66</w:t>
            </w:r>
          </w:p>
        </w:tc>
        <w:tc>
          <w:tcPr>
            <w:tcW w:w="1096" w:type="dxa"/>
            <w:tcBorders>
              <w:top w:val="nil"/>
              <w:left w:val="nil"/>
              <w:bottom w:val="single" w:sz="4" w:space="0" w:color="auto"/>
              <w:right w:val="single" w:sz="4" w:space="0" w:color="auto"/>
            </w:tcBorders>
            <w:shd w:val="clear" w:color="auto" w:fill="auto"/>
            <w:noWrap/>
            <w:hideMark/>
          </w:tcPr>
          <w:p w14:paraId="3971BC79" w14:textId="54FE8280"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w:t>
            </w:r>
          </w:p>
        </w:tc>
        <w:tc>
          <w:tcPr>
            <w:tcW w:w="767" w:type="dxa"/>
            <w:tcBorders>
              <w:top w:val="nil"/>
              <w:left w:val="nil"/>
              <w:bottom w:val="single" w:sz="4" w:space="0" w:color="auto"/>
              <w:right w:val="single" w:sz="4" w:space="0" w:color="auto"/>
            </w:tcBorders>
            <w:shd w:val="clear" w:color="auto" w:fill="auto"/>
            <w:noWrap/>
            <w:vAlign w:val="center"/>
            <w:hideMark/>
          </w:tcPr>
          <w:p w14:paraId="5B58415A" w14:textId="754BB083"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63CFF9E7" w14:textId="73BF8B7F"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3CB2F573" w14:textId="1657755C"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387F1126"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567" w:type="dxa"/>
            <w:tcBorders>
              <w:top w:val="nil"/>
              <w:left w:val="nil"/>
              <w:bottom w:val="single" w:sz="4" w:space="0" w:color="auto"/>
              <w:right w:val="single" w:sz="4" w:space="0" w:color="auto"/>
            </w:tcBorders>
            <w:shd w:val="clear" w:color="auto" w:fill="auto"/>
            <w:noWrap/>
            <w:vAlign w:val="center"/>
            <w:hideMark/>
          </w:tcPr>
          <w:p w14:paraId="7DC1A68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1.85</w:t>
            </w:r>
          </w:p>
        </w:tc>
        <w:tc>
          <w:tcPr>
            <w:tcW w:w="1134" w:type="dxa"/>
            <w:tcBorders>
              <w:top w:val="nil"/>
              <w:left w:val="nil"/>
              <w:bottom w:val="single" w:sz="4" w:space="0" w:color="auto"/>
              <w:right w:val="single" w:sz="4" w:space="0" w:color="auto"/>
            </w:tcBorders>
            <w:shd w:val="clear" w:color="auto" w:fill="auto"/>
            <w:noWrap/>
            <w:vAlign w:val="center"/>
            <w:hideMark/>
          </w:tcPr>
          <w:p w14:paraId="091DC2EA"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55CB3DE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2.16</w:t>
            </w:r>
          </w:p>
        </w:tc>
        <w:tc>
          <w:tcPr>
            <w:tcW w:w="737" w:type="dxa"/>
            <w:tcBorders>
              <w:top w:val="nil"/>
              <w:left w:val="nil"/>
              <w:bottom w:val="single" w:sz="4" w:space="0" w:color="auto"/>
              <w:right w:val="single" w:sz="4" w:space="0" w:color="auto"/>
            </w:tcBorders>
            <w:shd w:val="clear" w:color="auto" w:fill="auto"/>
            <w:noWrap/>
            <w:vAlign w:val="center"/>
            <w:hideMark/>
          </w:tcPr>
          <w:p w14:paraId="7111EDC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35.77</w:t>
            </w:r>
          </w:p>
        </w:tc>
        <w:tc>
          <w:tcPr>
            <w:tcW w:w="737" w:type="dxa"/>
            <w:tcBorders>
              <w:top w:val="nil"/>
              <w:left w:val="nil"/>
              <w:bottom w:val="single" w:sz="4" w:space="0" w:color="auto"/>
              <w:right w:val="single" w:sz="4" w:space="0" w:color="auto"/>
            </w:tcBorders>
            <w:shd w:val="clear" w:color="auto" w:fill="auto"/>
            <w:noWrap/>
            <w:vAlign w:val="center"/>
            <w:hideMark/>
          </w:tcPr>
          <w:p w14:paraId="57DAD91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20.55</w:t>
            </w:r>
          </w:p>
        </w:tc>
        <w:tc>
          <w:tcPr>
            <w:tcW w:w="737" w:type="dxa"/>
            <w:tcBorders>
              <w:top w:val="nil"/>
              <w:left w:val="nil"/>
              <w:bottom w:val="single" w:sz="4" w:space="0" w:color="auto"/>
              <w:right w:val="single" w:sz="4" w:space="0" w:color="auto"/>
            </w:tcBorders>
            <w:shd w:val="clear" w:color="auto" w:fill="auto"/>
            <w:noWrap/>
            <w:vAlign w:val="center"/>
            <w:hideMark/>
          </w:tcPr>
          <w:p w14:paraId="01C7D27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51.03</w:t>
            </w:r>
          </w:p>
        </w:tc>
        <w:tc>
          <w:tcPr>
            <w:tcW w:w="617" w:type="dxa"/>
            <w:tcBorders>
              <w:top w:val="single" w:sz="4" w:space="0" w:color="auto"/>
              <w:left w:val="nil"/>
              <w:bottom w:val="single" w:sz="4" w:space="0" w:color="auto"/>
              <w:right w:val="single" w:sz="4" w:space="0" w:color="auto"/>
            </w:tcBorders>
            <w:vAlign w:val="center"/>
          </w:tcPr>
          <w:p w14:paraId="59F95227" w14:textId="5B04E3A0"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val="it-IT" w:eastAsia="en-GB" w:bidi="ar-SA"/>
              </w:rPr>
              <w:instrText>ADDIN CSL_CITATION {"citationItems":[{"id":"ITEM-1","itemData":{"DOI":"10.1016/j.powtec.2016.01.035","ISSN":"1873328X","abstract":"In the present research work, the effects of particle size (D50) and size dispersity (</w:instrText>
            </w:r>
            <w:r w:rsidRPr="00DB19C7">
              <w:rPr>
                <w:color w:val="auto"/>
                <w:sz w:val="18"/>
                <w:szCs w:val="18"/>
                <w:lang w:eastAsia="en-GB" w:bidi="ar-SA"/>
              </w:rPr>
              <w:instrText>σ</w:instrText>
            </w:r>
            <w:r w:rsidRPr="00DB19C7">
              <w:rPr>
                <w:color w:val="auto"/>
                <w:sz w:val="18"/>
                <w:szCs w:val="18"/>
                <w:lang w:val="it-IT" w:eastAsia="en-GB" w:bidi="ar-SA"/>
              </w:rPr>
              <w:instrText>D) on the explosion severity of coal dust were investigated using a 20 L spherical explosion vessel. Coal dust samples with similar median diameter (D50) and different size dispersity (</w:instrText>
            </w:r>
            <w:r w:rsidRPr="00DB19C7">
              <w:rPr>
                <w:color w:val="auto"/>
                <w:sz w:val="18"/>
                <w:szCs w:val="18"/>
                <w:lang w:eastAsia="en-GB" w:bidi="ar-SA"/>
              </w:rPr>
              <w:instrText>σ</w:instrText>
            </w:r>
            <w:r w:rsidRPr="00DB19C7">
              <w:rPr>
                <w:color w:val="auto"/>
                <w:sz w:val="18"/>
                <w:szCs w:val="18"/>
                <w:lang w:val="it-IT" w:eastAsia="en-GB" w:bidi="ar-SA"/>
              </w:rPr>
              <w:instrText>D) and similar size dispersity (</w:instrText>
            </w:r>
            <w:r w:rsidRPr="00DB19C7">
              <w:rPr>
                <w:color w:val="auto"/>
                <w:sz w:val="18"/>
                <w:szCs w:val="18"/>
                <w:lang w:eastAsia="en-GB" w:bidi="ar-SA"/>
              </w:rPr>
              <w:instrText>σ</w:instrText>
            </w:r>
            <w:r w:rsidRPr="00DB19C7">
              <w:rPr>
                <w:color w:val="auto"/>
                <w:sz w:val="18"/>
                <w:szCs w:val="18"/>
                <w:lang w:val="it-IT" w:eastAsia="en-GB" w:bidi="ar-SA"/>
              </w:rPr>
              <w:instrText>D) and different size diameter (D50) were specially prepared by mixing original coal samples having a narrow size distribution. The explosion severity of each sample was evaluated by measuring the maximum pressure (Pmax) and the maximum rate of pressure rise ((dP/dt)max). Interestingly, results show that almost all of the selected coal dusts present the same optimum explosion concentration of 250 g/m3. The parameters of Pmax and (dP/dt)max show an increasing trend in explosion severity as size dispersity (</w:instrText>
            </w:r>
            <w:r w:rsidRPr="00DB19C7">
              <w:rPr>
                <w:color w:val="auto"/>
                <w:sz w:val="18"/>
                <w:szCs w:val="18"/>
                <w:lang w:eastAsia="en-GB" w:bidi="ar-SA"/>
              </w:rPr>
              <w:instrText>σ</w:instrText>
            </w:r>
            <w:r w:rsidRPr="00DB19C7">
              <w:rPr>
                <w:color w:val="auto"/>
                <w:sz w:val="18"/>
                <w:szCs w:val="18"/>
                <w:lang w:val="it-IT" w:eastAsia="en-GB" w:bidi="ar-SA"/>
              </w:rPr>
              <w:instrText>D) and particle size (D50) decrease, which indicate a more notable effect due to the contribution of finer coal particles on the dust cloud deflagration dynamics. The higher the volatile matter content, the more severe is the explosion. The presence of the finer particles would greatly increase the total effective specific surface area and speed up the devolatilization rate, which would cause acceleration of the dust explosion process. Furthermore, the</w:instrText>
            </w:r>
            <w:r w:rsidRPr="00DB19C7">
              <w:rPr>
                <w:color w:val="auto"/>
                <w:sz w:val="18"/>
                <w:szCs w:val="18"/>
                <w:lang w:eastAsia="en-GB" w:bidi="ar-SA"/>
              </w:rPr>
              <w:instrText xml:space="preserve"> effects of dust concentration on the explosion process were analyzed by comparing the defined time span (τ1) from ignition point to reach (dP/dt)max point and time span (τ2) from (dP/dt)max point to reach Pmax point. For the coal dust with lower D50 and lower σD, τ1 and τ2 are always short. Under lower coal dust concentration condition (&lt;250 g/m3), τ1 and τ2 present a stronger dependence on σD and dust concentration. However, the effect of σD and dust concentration on τ1 and τ2 becomes weak for the higher coal dust clouds (&gt;250 g/m3). Results indicated that the evaluation of coal dust explosion hazard should be considered in terms of not only dust concentration, but also particle size (D50) and size dispersity (σD).","author":[{"dropping-particle":"","family":"Li","given":"Qingzhao","non-dropping-particle":"","parse-names":false,"suffix":""},{"dropping-particle":"","family":"Wang","given":"Ke","non-dropping-particle":"","parse-names":false,"suffix":""},{"dropping-particle":"","family":"Zheng","given":"Yuannan","non-dropping-particle":"","parse-names":false,"suffix":""},{"dropping-particle":"","family":"Ruan","given":"Maliang","non-dropping-particle":"","parse-names":false,"suffix":""},{"dropping-particle":"","family":"Mei","given":"Xiaoning","non-dropping-particle":"","parse-names":false,"suffix":""},{"dropping-particle":"","family":"Lin","given":"Baiquan","non-dropping-particle":"","parse-names":false,"suffix":""}],"container-title":"Powder Technology","id":"ITEM-1","issued":{"date-parts":[["2016"]]},"title":"Experimental research of particle size and size dispersity on the explosibility characteristics of coal dust","type":"article-journal"},"uris":["http://www.mendeley.com/documents/?uuid=9ab36ac8-1259-46d4-8217-62838c14a76a"]}],"mendeley":{"formattedCitation":"[46]","plainTextFormattedCitation":"[46]","previouslyFormattedCitation":"[46]"},"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[46]</w:t>
            </w:r>
            <w:r w:rsidRPr="00DB19C7">
              <w:rPr>
                <w:color w:val="auto"/>
                <w:sz w:val="18"/>
                <w:szCs w:val="18"/>
                <w:lang w:eastAsia="en-GB" w:bidi="ar-SA"/>
              </w:rPr>
              <w:fldChar w:fldCharType="end"/>
            </w:r>
          </w:p>
        </w:tc>
      </w:tr>
      <w:tr w:rsidR="00DB19C7" w:rsidRPr="00DB19C7" w14:paraId="07ED8D83" w14:textId="1667AC77"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2BC4307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98</w:t>
            </w:r>
          </w:p>
        </w:tc>
        <w:tc>
          <w:tcPr>
            <w:tcW w:w="1746" w:type="dxa"/>
            <w:tcBorders>
              <w:top w:val="nil"/>
              <w:left w:val="nil"/>
              <w:bottom w:val="single" w:sz="4" w:space="0" w:color="auto"/>
              <w:right w:val="single" w:sz="4" w:space="0" w:color="auto"/>
            </w:tcBorders>
            <w:shd w:val="clear" w:color="auto" w:fill="auto"/>
            <w:noWrap/>
            <w:vAlign w:val="center"/>
            <w:hideMark/>
          </w:tcPr>
          <w:p w14:paraId="20834854"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Coal (</w:t>
            </w:r>
            <w:proofErr w:type="spellStart"/>
            <w:r w:rsidRPr="00DB19C7">
              <w:rPr>
                <w:color w:val="auto"/>
                <w:sz w:val="18"/>
                <w:szCs w:val="18"/>
                <w:lang w:eastAsia="en-GB" w:bidi="ar-SA"/>
              </w:rPr>
              <w:t>Kellingley</w:t>
            </w:r>
            <w:proofErr w:type="spellEnd"/>
            <w:r w:rsidRPr="00DB19C7">
              <w:rPr>
                <w:color w:val="auto"/>
                <w:sz w:val="18"/>
                <w:szCs w:val="18"/>
                <w:lang w:eastAsia="en-GB" w:bidi="ar-SA"/>
              </w:rPr>
              <w:t>, UK)</w:t>
            </w:r>
          </w:p>
        </w:tc>
        <w:tc>
          <w:tcPr>
            <w:tcW w:w="767" w:type="dxa"/>
            <w:tcBorders>
              <w:top w:val="nil"/>
              <w:left w:val="nil"/>
              <w:bottom w:val="single" w:sz="4" w:space="0" w:color="auto"/>
              <w:right w:val="single" w:sz="4" w:space="0" w:color="auto"/>
            </w:tcBorders>
            <w:shd w:val="clear" w:color="auto" w:fill="auto"/>
            <w:noWrap/>
            <w:vAlign w:val="center"/>
            <w:hideMark/>
          </w:tcPr>
          <w:p w14:paraId="677A79D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5</w:t>
            </w:r>
          </w:p>
        </w:tc>
        <w:tc>
          <w:tcPr>
            <w:tcW w:w="767" w:type="dxa"/>
            <w:tcBorders>
              <w:top w:val="nil"/>
              <w:left w:val="nil"/>
              <w:bottom w:val="single" w:sz="4" w:space="0" w:color="auto"/>
              <w:right w:val="single" w:sz="4" w:space="0" w:color="auto"/>
            </w:tcBorders>
            <w:shd w:val="clear" w:color="auto" w:fill="auto"/>
            <w:noWrap/>
            <w:vAlign w:val="center"/>
            <w:hideMark/>
          </w:tcPr>
          <w:p w14:paraId="60A1C15D"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25.5</w:t>
            </w:r>
          </w:p>
        </w:tc>
        <w:tc>
          <w:tcPr>
            <w:tcW w:w="1018" w:type="dxa"/>
            <w:tcBorders>
              <w:top w:val="nil"/>
              <w:left w:val="nil"/>
              <w:bottom w:val="single" w:sz="4" w:space="0" w:color="auto"/>
              <w:right w:val="single" w:sz="4" w:space="0" w:color="auto"/>
            </w:tcBorders>
            <w:shd w:val="clear" w:color="auto" w:fill="auto"/>
            <w:noWrap/>
            <w:vAlign w:val="center"/>
            <w:hideMark/>
          </w:tcPr>
          <w:p w14:paraId="388401D3"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65.3</w:t>
            </w:r>
          </w:p>
        </w:tc>
        <w:tc>
          <w:tcPr>
            <w:tcW w:w="1096" w:type="dxa"/>
            <w:tcBorders>
              <w:top w:val="nil"/>
              <w:left w:val="nil"/>
              <w:bottom w:val="single" w:sz="4" w:space="0" w:color="auto"/>
              <w:right w:val="single" w:sz="4" w:space="0" w:color="auto"/>
            </w:tcBorders>
            <w:shd w:val="clear" w:color="auto" w:fill="auto"/>
            <w:noWrap/>
            <w:hideMark/>
          </w:tcPr>
          <w:p w14:paraId="3B46CADA" w14:textId="59053AE5"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w:t>
            </w:r>
          </w:p>
        </w:tc>
        <w:tc>
          <w:tcPr>
            <w:tcW w:w="767" w:type="dxa"/>
            <w:tcBorders>
              <w:top w:val="nil"/>
              <w:left w:val="nil"/>
              <w:bottom w:val="single" w:sz="4" w:space="0" w:color="auto"/>
              <w:right w:val="single" w:sz="4" w:space="0" w:color="auto"/>
            </w:tcBorders>
            <w:shd w:val="clear" w:color="auto" w:fill="auto"/>
            <w:noWrap/>
            <w:vAlign w:val="center"/>
            <w:hideMark/>
          </w:tcPr>
          <w:p w14:paraId="25E0E6D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31</w:t>
            </w:r>
          </w:p>
        </w:tc>
        <w:tc>
          <w:tcPr>
            <w:tcW w:w="765" w:type="dxa"/>
            <w:tcBorders>
              <w:top w:val="nil"/>
              <w:left w:val="nil"/>
              <w:bottom w:val="single" w:sz="4" w:space="0" w:color="auto"/>
              <w:right w:val="single" w:sz="4" w:space="0" w:color="auto"/>
            </w:tcBorders>
            <w:shd w:val="clear" w:color="auto" w:fill="auto"/>
            <w:noWrap/>
            <w:vAlign w:val="center"/>
            <w:hideMark/>
          </w:tcPr>
          <w:p w14:paraId="40037654"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12</w:t>
            </w:r>
          </w:p>
        </w:tc>
        <w:tc>
          <w:tcPr>
            <w:tcW w:w="1199" w:type="dxa"/>
            <w:tcBorders>
              <w:top w:val="nil"/>
              <w:left w:val="nil"/>
              <w:bottom w:val="single" w:sz="4" w:space="0" w:color="auto"/>
              <w:right w:val="single" w:sz="4" w:space="0" w:color="auto"/>
            </w:tcBorders>
            <w:shd w:val="clear" w:color="auto" w:fill="auto"/>
            <w:noWrap/>
            <w:vAlign w:val="center"/>
            <w:hideMark/>
          </w:tcPr>
          <w:p w14:paraId="5FDF5A44" w14:textId="6D43E3E2"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3.7</w:t>
            </w:r>
          </w:p>
        </w:tc>
        <w:tc>
          <w:tcPr>
            <w:tcW w:w="1137" w:type="dxa"/>
            <w:tcBorders>
              <w:top w:val="nil"/>
              <w:left w:val="nil"/>
              <w:bottom w:val="single" w:sz="4" w:space="0" w:color="auto"/>
              <w:right w:val="single" w:sz="4" w:space="0" w:color="auto"/>
            </w:tcBorders>
            <w:shd w:val="clear" w:color="auto" w:fill="auto"/>
            <w:noWrap/>
            <w:vAlign w:val="center"/>
            <w:hideMark/>
          </w:tcPr>
          <w:p w14:paraId="1696D62C"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 - SEM</w:t>
            </w:r>
          </w:p>
        </w:tc>
        <w:tc>
          <w:tcPr>
            <w:tcW w:w="567" w:type="dxa"/>
            <w:tcBorders>
              <w:top w:val="nil"/>
              <w:left w:val="nil"/>
              <w:bottom w:val="single" w:sz="4" w:space="0" w:color="auto"/>
              <w:right w:val="single" w:sz="4" w:space="0" w:color="auto"/>
            </w:tcBorders>
            <w:shd w:val="clear" w:color="auto" w:fill="auto"/>
            <w:noWrap/>
            <w:vAlign w:val="center"/>
            <w:hideMark/>
          </w:tcPr>
          <w:p w14:paraId="33A305F1" w14:textId="343E0564"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1027AB9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5CEFA7A9"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1.7</w:t>
            </w:r>
          </w:p>
        </w:tc>
        <w:tc>
          <w:tcPr>
            <w:tcW w:w="737" w:type="dxa"/>
            <w:tcBorders>
              <w:top w:val="nil"/>
              <w:left w:val="nil"/>
              <w:bottom w:val="single" w:sz="4" w:space="0" w:color="auto"/>
              <w:right w:val="single" w:sz="4" w:space="0" w:color="auto"/>
            </w:tcBorders>
            <w:shd w:val="clear" w:color="auto" w:fill="auto"/>
            <w:noWrap/>
            <w:vAlign w:val="center"/>
            <w:hideMark/>
          </w:tcPr>
          <w:p w14:paraId="70FFE15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29.2</w:t>
            </w:r>
          </w:p>
        </w:tc>
        <w:tc>
          <w:tcPr>
            <w:tcW w:w="737" w:type="dxa"/>
            <w:tcBorders>
              <w:top w:val="nil"/>
              <w:left w:val="nil"/>
              <w:bottom w:val="single" w:sz="4" w:space="0" w:color="auto"/>
              <w:right w:val="single" w:sz="4" w:space="0" w:color="auto"/>
            </w:tcBorders>
            <w:shd w:val="clear" w:color="auto" w:fill="auto"/>
            <w:noWrap/>
            <w:vAlign w:val="center"/>
            <w:hideMark/>
          </w:tcPr>
          <w:p w14:paraId="2375F7B1"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19.1</w:t>
            </w:r>
          </w:p>
        </w:tc>
        <w:tc>
          <w:tcPr>
            <w:tcW w:w="737" w:type="dxa"/>
            <w:tcBorders>
              <w:top w:val="nil"/>
              <w:left w:val="nil"/>
              <w:bottom w:val="single" w:sz="4" w:space="0" w:color="auto"/>
              <w:right w:val="single" w:sz="4" w:space="0" w:color="auto"/>
            </w:tcBorders>
            <w:shd w:val="clear" w:color="auto" w:fill="auto"/>
            <w:noWrap/>
            <w:vAlign w:val="center"/>
            <w:hideMark/>
          </w:tcPr>
          <w:p w14:paraId="7FAC16A4"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50</w:t>
            </w:r>
          </w:p>
        </w:tc>
        <w:tc>
          <w:tcPr>
            <w:tcW w:w="617" w:type="dxa"/>
            <w:tcBorders>
              <w:top w:val="single" w:sz="4" w:space="0" w:color="auto"/>
              <w:left w:val="nil"/>
              <w:bottom w:val="single" w:sz="4" w:space="0" w:color="auto"/>
              <w:right w:val="single" w:sz="4" w:space="0" w:color="auto"/>
            </w:tcBorders>
            <w:vAlign w:val="center"/>
          </w:tcPr>
          <w:p w14:paraId="5F55A90A" w14:textId="659D5647"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{"citationItems":[{"id":"ITEM-1","itemData":{"DOI":"10.1016/J.FUEL.2015.01.009","ISSN":"0016-2361","abstract":"Pulverised coal has been known to pose explosion risks since the 19th century, with the advent of biomass use in coal fired power generation boilers the explosion risk may need revision. The objective of the present work was to compare the explosibility of two samples of bituminous coal used in UK power stations with two biomass fuels and to review available explosion data in the literature for pulverised coal and biomass. The 1 m3 ISO explosion vessel was used to determine the explosion characteristics: deflagration index (KSt), maximum explosion pressure (Pmax) and minimum explosible concentration (MEC). Flame speeds were also measured and these are relevant to understanding the mechanism of turbulent flame propagation in power station burners, which is related to the problem of flame flashback or blow-off. Despite the similarities in composition of both coals, the explosion reactivity of Colombian coal was much higher, with a KSt value of 129 bar m/s compared to 78 bar m/s for Kellingley coal. The main difference between the two fuels was the surface area of particles which was higher for Colombian coal. It was shown that the char burn out rate at 900 °C in air was higher for Colombian coal, due to the greater oxygen diffusion in the higher porosity of the char. Results for two biomass fuels are also presented with similar values for KSt and the literature review shows that both coal and biomass have very variable flame reactivities. There is no general trend that coal is less reactive than biomass, although this could be the case for specific coals and biomass.","author":[{"dropping-particle":"","family":"Huéscar Medina","given":"Clara","non-dropping-particle":"","parse-names":false,"suffix":""},{"dropping-particle":"","family":"Maccoitir","given":"Brian","non-dropping-particle":"","parse-names":false,"suffix":""},{"dropping-particle":"","family":"Sattar","given":"Hamed","non-dropping-particle":"","parse-names":false,"suffix":""},{"dropping-particle":"","family":"Slatter","given":"David J.F.","non-dropping-particle":"","parse-names":false,"suffix":""},{"dropping-particle":"","family":"Phylaktou","given":"Herodotos N.","non-dropping-particle":"","parse-names":false,"suffix":""},{"dropping-particle":"","family":"Andrews","given":"Gordon E.","non-dropping-particle":"","parse-names":false,"suffix":""},{"dropping-particle":"","family":"Gibbs","given":"Bernard M.","non-dropping-particle":"","parse-names":false,"suffix":""}],"container-title":"Fuel","id":"ITEM-1","issued":{"date-parts":[["2015","7","1"]]},"page":"91-101","publisher":"Elsevier","title":"Comparison of the explosion characteristics and flame speeds of pulverised coals and biomass in the ISO standard 1 m3 dust explosion equipment","type":"article-journal","volume":"151"},"uris":["http://www.mendeley.com/documents/?uuid=16e63468-cc45-4b29-81a4-483ec09b97cc"]}],"mendeley":{"formattedCitation":"[108]","plainTextFormattedCitation":"[108]","previouslyFormattedCitation":"[108]"},"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[108]</w:t>
            </w:r>
            <w:r w:rsidRPr="00DB19C7">
              <w:rPr>
                <w:color w:val="auto"/>
                <w:sz w:val="18"/>
                <w:szCs w:val="18"/>
                <w:lang w:eastAsia="en-GB" w:bidi="ar-SA"/>
              </w:rPr>
              <w:fldChar w:fldCharType="end"/>
            </w:r>
          </w:p>
        </w:tc>
      </w:tr>
      <w:tr w:rsidR="00DB19C7" w:rsidRPr="00DB19C7" w14:paraId="02D78EFD" w14:textId="739D7C3E"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3F5A9EDA"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99</w:t>
            </w:r>
          </w:p>
        </w:tc>
        <w:tc>
          <w:tcPr>
            <w:tcW w:w="1746" w:type="dxa"/>
            <w:tcBorders>
              <w:top w:val="nil"/>
              <w:left w:val="nil"/>
              <w:bottom w:val="single" w:sz="4" w:space="0" w:color="auto"/>
              <w:right w:val="single" w:sz="4" w:space="0" w:color="auto"/>
            </w:tcBorders>
            <w:shd w:val="clear" w:color="auto" w:fill="auto"/>
            <w:noWrap/>
            <w:vAlign w:val="center"/>
            <w:hideMark/>
          </w:tcPr>
          <w:p w14:paraId="128CD6E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Coal (</w:t>
            </w:r>
            <w:proofErr w:type="spellStart"/>
            <w:r w:rsidRPr="00DB19C7">
              <w:rPr>
                <w:color w:val="auto"/>
                <w:sz w:val="18"/>
                <w:szCs w:val="18"/>
                <w:lang w:eastAsia="en-GB" w:bidi="ar-SA"/>
              </w:rPr>
              <w:t>Lvliang</w:t>
            </w:r>
            <w:proofErr w:type="spellEnd"/>
            <w:r w:rsidRPr="00DB19C7">
              <w:rPr>
                <w:color w:val="auto"/>
                <w:sz w:val="18"/>
                <w:szCs w:val="18"/>
                <w:lang w:eastAsia="en-GB" w:bidi="ar-SA"/>
              </w:rPr>
              <w:t>, China)</w:t>
            </w:r>
          </w:p>
        </w:tc>
        <w:tc>
          <w:tcPr>
            <w:tcW w:w="767" w:type="dxa"/>
            <w:tcBorders>
              <w:top w:val="nil"/>
              <w:left w:val="nil"/>
              <w:bottom w:val="single" w:sz="4" w:space="0" w:color="auto"/>
              <w:right w:val="single" w:sz="4" w:space="0" w:color="auto"/>
            </w:tcBorders>
            <w:shd w:val="clear" w:color="auto" w:fill="auto"/>
            <w:noWrap/>
            <w:vAlign w:val="center"/>
            <w:hideMark/>
          </w:tcPr>
          <w:p w14:paraId="401C4CB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16.67</w:t>
            </w:r>
          </w:p>
        </w:tc>
        <w:tc>
          <w:tcPr>
            <w:tcW w:w="767" w:type="dxa"/>
            <w:tcBorders>
              <w:top w:val="nil"/>
              <w:left w:val="nil"/>
              <w:bottom w:val="single" w:sz="4" w:space="0" w:color="auto"/>
              <w:right w:val="single" w:sz="4" w:space="0" w:color="auto"/>
            </w:tcBorders>
            <w:shd w:val="clear" w:color="auto" w:fill="auto"/>
            <w:noWrap/>
            <w:vAlign w:val="center"/>
            <w:hideMark/>
          </w:tcPr>
          <w:p w14:paraId="18B8775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52.36</w:t>
            </w:r>
          </w:p>
        </w:tc>
        <w:tc>
          <w:tcPr>
            <w:tcW w:w="1018" w:type="dxa"/>
            <w:tcBorders>
              <w:top w:val="nil"/>
              <w:left w:val="nil"/>
              <w:bottom w:val="single" w:sz="4" w:space="0" w:color="auto"/>
              <w:right w:val="single" w:sz="4" w:space="0" w:color="auto"/>
            </w:tcBorders>
            <w:shd w:val="clear" w:color="auto" w:fill="auto"/>
            <w:noWrap/>
            <w:vAlign w:val="center"/>
            <w:hideMark/>
          </w:tcPr>
          <w:p w14:paraId="77C7943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205.4</w:t>
            </w:r>
          </w:p>
        </w:tc>
        <w:tc>
          <w:tcPr>
            <w:tcW w:w="1096" w:type="dxa"/>
            <w:tcBorders>
              <w:top w:val="nil"/>
              <w:left w:val="nil"/>
              <w:bottom w:val="single" w:sz="4" w:space="0" w:color="auto"/>
              <w:right w:val="single" w:sz="4" w:space="0" w:color="auto"/>
            </w:tcBorders>
            <w:shd w:val="clear" w:color="auto" w:fill="auto"/>
            <w:noWrap/>
            <w:hideMark/>
          </w:tcPr>
          <w:p w14:paraId="3E8E81C9" w14:textId="02EC68AB"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w:t>
            </w:r>
          </w:p>
        </w:tc>
        <w:tc>
          <w:tcPr>
            <w:tcW w:w="767" w:type="dxa"/>
            <w:tcBorders>
              <w:top w:val="nil"/>
              <w:left w:val="nil"/>
              <w:bottom w:val="single" w:sz="4" w:space="0" w:color="auto"/>
              <w:right w:val="single" w:sz="4" w:space="0" w:color="auto"/>
            </w:tcBorders>
            <w:shd w:val="clear" w:color="auto" w:fill="auto"/>
            <w:noWrap/>
            <w:vAlign w:val="center"/>
            <w:hideMark/>
          </w:tcPr>
          <w:p w14:paraId="7C15DAA7" w14:textId="4A61A54B"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6D722250" w14:textId="1F0F1187"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4E9B5BC3" w14:textId="2020355F"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391C15B1"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567" w:type="dxa"/>
            <w:tcBorders>
              <w:top w:val="nil"/>
              <w:left w:val="nil"/>
              <w:bottom w:val="single" w:sz="4" w:space="0" w:color="auto"/>
              <w:right w:val="single" w:sz="4" w:space="0" w:color="auto"/>
            </w:tcBorders>
            <w:shd w:val="clear" w:color="auto" w:fill="auto"/>
            <w:noWrap/>
            <w:vAlign w:val="center"/>
            <w:hideMark/>
          </w:tcPr>
          <w:p w14:paraId="0578F694"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3.6</w:t>
            </w:r>
          </w:p>
        </w:tc>
        <w:tc>
          <w:tcPr>
            <w:tcW w:w="1134" w:type="dxa"/>
            <w:tcBorders>
              <w:top w:val="nil"/>
              <w:left w:val="nil"/>
              <w:bottom w:val="single" w:sz="4" w:space="0" w:color="auto"/>
              <w:right w:val="single" w:sz="4" w:space="0" w:color="auto"/>
            </w:tcBorders>
            <w:shd w:val="clear" w:color="auto" w:fill="auto"/>
            <w:noWrap/>
            <w:vAlign w:val="center"/>
            <w:hideMark/>
          </w:tcPr>
          <w:p w14:paraId="0C9845FD"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48C1B38E"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1.03</w:t>
            </w:r>
          </w:p>
        </w:tc>
        <w:tc>
          <w:tcPr>
            <w:tcW w:w="737" w:type="dxa"/>
            <w:tcBorders>
              <w:top w:val="nil"/>
              <w:left w:val="nil"/>
              <w:bottom w:val="single" w:sz="4" w:space="0" w:color="auto"/>
              <w:right w:val="single" w:sz="4" w:space="0" w:color="auto"/>
            </w:tcBorders>
            <w:shd w:val="clear" w:color="auto" w:fill="auto"/>
            <w:noWrap/>
            <w:vAlign w:val="center"/>
            <w:hideMark/>
          </w:tcPr>
          <w:p w14:paraId="4A1234B7"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23.38</w:t>
            </w:r>
          </w:p>
        </w:tc>
        <w:tc>
          <w:tcPr>
            <w:tcW w:w="737" w:type="dxa"/>
            <w:tcBorders>
              <w:top w:val="nil"/>
              <w:left w:val="nil"/>
              <w:bottom w:val="single" w:sz="4" w:space="0" w:color="auto"/>
              <w:right w:val="single" w:sz="4" w:space="0" w:color="auto"/>
            </w:tcBorders>
            <w:shd w:val="clear" w:color="auto" w:fill="auto"/>
            <w:noWrap/>
            <w:vAlign w:val="center"/>
            <w:hideMark/>
          </w:tcPr>
          <w:p w14:paraId="377D1A1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6.92</w:t>
            </w:r>
          </w:p>
        </w:tc>
        <w:tc>
          <w:tcPr>
            <w:tcW w:w="737" w:type="dxa"/>
            <w:tcBorders>
              <w:top w:val="nil"/>
              <w:left w:val="nil"/>
              <w:bottom w:val="single" w:sz="4" w:space="0" w:color="auto"/>
              <w:right w:val="single" w:sz="4" w:space="0" w:color="auto"/>
            </w:tcBorders>
            <w:shd w:val="clear" w:color="auto" w:fill="auto"/>
            <w:noWrap/>
            <w:vAlign w:val="center"/>
            <w:hideMark/>
          </w:tcPr>
          <w:p w14:paraId="555D9986"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71.32</w:t>
            </w:r>
          </w:p>
        </w:tc>
        <w:tc>
          <w:tcPr>
            <w:tcW w:w="617" w:type="dxa"/>
            <w:tcBorders>
              <w:top w:val="single" w:sz="4" w:space="0" w:color="auto"/>
              <w:left w:val="nil"/>
              <w:bottom w:val="single" w:sz="4" w:space="0" w:color="auto"/>
              <w:right w:val="single" w:sz="4" w:space="0" w:color="auto"/>
            </w:tcBorders>
            <w:vAlign w:val="center"/>
          </w:tcPr>
          <w:p w14:paraId="030114DA" w14:textId="6003C3DF"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{"citationItems":[{"id":"ITEM-1","itemData":{"DOI":"10.1016/j.powtec.2016.01.035","ISSN":"1873328X",</w:instrText>
            </w:r>
            <w:r w:rsidRPr="00DB19C7">
              <w:rPr>
                <w:color w:val="auto"/>
                <w:sz w:val="18"/>
                <w:szCs w:val="18"/>
                <w:lang w:val="it-IT" w:eastAsia="en-GB" w:bidi="ar-SA"/>
              </w:rPr>
              <w:instrText>"abstract":"In the present research work, the effects of particle size (D50) and size dispersity (</w:instrText>
            </w:r>
            <w:r w:rsidRPr="00DB19C7">
              <w:rPr>
                <w:color w:val="auto"/>
                <w:sz w:val="18"/>
                <w:szCs w:val="18"/>
                <w:lang w:eastAsia="en-GB" w:bidi="ar-SA"/>
              </w:rPr>
              <w:instrText>σ</w:instrText>
            </w:r>
            <w:r w:rsidRPr="00DB19C7">
              <w:rPr>
                <w:color w:val="auto"/>
                <w:sz w:val="18"/>
                <w:szCs w:val="18"/>
                <w:lang w:val="it-IT" w:eastAsia="en-GB" w:bidi="ar-SA"/>
              </w:rPr>
              <w:instrText>D) on the explosion severity of coal dust were investigated using a 20 L spherical explosion vessel. Coal dust samples with similar median diameter (D50) and different size dispersity (</w:instrText>
            </w:r>
            <w:r w:rsidRPr="00DB19C7">
              <w:rPr>
                <w:color w:val="auto"/>
                <w:sz w:val="18"/>
                <w:szCs w:val="18"/>
                <w:lang w:eastAsia="en-GB" w:bidi="ar-SA"/>
              </w:rPr>
              <w:instrText>σ</w:instrText>
            </w:r>
            <w:r w:rsidRPr="00DB19C7">
              <w:rPr>
                <w:color w:val="auto"/>
                <w:sz w:val="18"/>
                <w:szCs w:val="18"/>
                <w:lang w:val="it-IT" w:eastAsia="en-GB" w:bidi="ar-SA"/>
              </w:rPr>
              <w:instrText>D) and similar size dispersity (</w:instrText>
            </w:r>
            <w:r w:rsidRPr="00DB19C7">
              <w:rPr>
                <w:color w:val="auto"/>
                <w:sz w:val="18"/>
                <w:szCs w:val="18"/>
                <w:lang w:eastAsia="en-GB" w:bidi="ar-SA"/>
              </w:rPr>
              <w:instrText>σ</w:instrText>
            </w:r>
            <w:r w:rsidRPr="00DB19C7">
              <w:rPr>
                <w:color w:val="auto"/>
                <w:sz w:val="18"/>
                <w:szCs w:val="18"/>
                <w:lang w:val="it-IT" w:eastAsia="en-GB" w:bidi="ar-SA"/>
              </w:rPr>
              <w:instrText>D) and different size diameter (D50) were specially prepared by mixing original coal samples having a narrow size distribution. The explosion severity of each sample was evaluated by measuring the maximum pressure (Pmax) and the maximum rate of pressure rise ((dP/dt)max). Interestingly, results show that almost all of the selected coal dusts present the same optimum explosion concentration of 250 g/m3. The parameters of Pmax and (dP/dt)max show an increasing trend in explosion severity as size dispersity (</w:instrText>
            </w:r>
            <w:r w:rsidRPr="00DB19C7">
              <w:rPr>
                <w:color w:val="auto"/>
                <w:sz w:val="18"/>
                <w:szCs w:val="18"/>
                <w:lang w:eastAsia="en-GB" w:bidi="ar-SA"/>
              </w:rPr>
              <w:instrText>σ</w:instrText>
            </w:r>
            <w:r w:rsidRPr="00DB19C7">
              <w:rPr>
                <w:color w:val="auto"/>
                <w:sz w:val="18"/>
                <w:szCs w:val="18"/>
                <w:lang w:val="it-IT" w:eastAsia="en-GB" w:bidi="ar-SA"/>
              </w:rPr>
              <w:instrText>D) and particle size (D50) decrease, which indicate a more notable effect due to the contribution of finer coal particles on the dust cloud deflagration dynamics. The higher the volatile matter content, the more severe is the explosion. The presence of the finer particles would greatly increase the total effective specific surface area and speed up the devolatilization rate, which would cause acceleration of the dust explosion process. Furthermore, the</w:instrText>
            </w:r>
            <w:r w:rsidRPr="00DB19C7">
              <w:rPr>
                <w:color w:val="auto"/>
                <w:sz w:val="18"/>
                <w:szCs w:val="18"/>
                <w:lang w:eastAsia="en-GB" w:bidi="ar-SA"/>
              </w:rPr>
              <w:instrText xml:space="preserve"> effects of dust concentration on the explosion process were analyzed by comparing the defined time span (τ1) from ignition point to reach (dP/dt)max point and time span (τ2) from (dP/dt)max point to reach Pmax point. For the coal dust with lower D50 and lower σD, τ1 and τ2 are always short. Under lower coal dust concentration condition (&lt;250 g/m3), τ1 and τ2 present a stronger dependence on σD and dust concentration. However, the effect of σD and dust concentration on τ1 and τ2 becomes weak for the higher coal dust clouds (&gt;250 g/m3). Results indicated that the evaluation of coal dust explosion hazard should be considered in terms of not only dust concentration, but also particle size (D50) and size dispersity (σD).","author":[{"dropping-particle":"","family":"Li","given":"Qingzhao","non-dropping-particle":"","parse-names":false,"suffix":""},{"dropping-particle":"","family":"Wang","given":"Ke","non-dropping-particle":"","parse-names":false,"suffix":""},{"dropping-particle":"","family":"Zheng","given":"Yuannan","non-dropping-particle":"","parse-names":false,"suffix":""},{"dropping-particle":"","family":"Ruan","given":"Maliang","non-dropping-particle":"","parse-names":false,"suffix":""},{"dropping-particle":"","family":"Mei","given":"Xiaoning","non-dropping-particle":"","parse-names":false,"suffix":""},{"dropping-particle":"","family":"Lin","given":"Baiquan","non-dropping-particle":"","parse-names":false,"suffix":""}],"container-title":"Powder Technology","id":"ITEM-1","issued":{"date-parts":[["2016"]]},"title":"Experimental research of particle size and size dispersity on the explosibility characteristics of coal dust","type":"article-journal"},"uris":["http://www.mendeley.com/documents/?uuid=9ab36ac8-1259-46d4-8217-62838c14a76a"]}],"mendeley":{"formattedCitation":"[46]","plainTextFormattedCitation":"[46]","previouslyFormattedCitation":"[46]"},"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[46]</w:t>
            </w:r>
            <w:r w:rsidRPr="00DB19C7">
              <w:rPr>
                <w:color w:val="auto"/>
                <w:sz w:val="18"/>
                <w:szCs w:val="18"/>
                <w:lang w:eastAsia="en-GB" w:bidi="ar-SA"/>
              </w:rPr>
              <w:fldChar w:fldCharType="end"/>
            </w:r>
          </w:p>
        </w:tc>
      </w:tr>
      <w:tr w:rsidR="00DB19C7" w:rsidRPr="00DB19C7" w14:paraId="10ECFDA7" w14:textId="4CC3F988"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22952334"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100</w:t>
            </w:r>
          </w:p>
        </w:tc>
        <w:tc>
          <w:tcPr>
            <w:tcW w:w="1746" w:type="dxa"/>
            <w:tcBorders>
              <w:top w:val="nil"/>
              <w:left w:val="nil"/>
              <w:bottom w:val="single" w:sz="4" w:space="0" w:color="auto"/>
              <w:right w:val="single" w:sz="4" w:space="0" w:color="auto"/>
            </w:tcBorders>
            <w:shd w:val="clear" w:color="auto" w:fill="auto"/>
            <w:noWrap/>
            <w:vAlign w:val="center"/>
            <w:hideMark/>
          </w:tcPr>
          <w:p w14:paraId="4E744A93"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Coal (</w:t>
            </w:r>
            <w:proofErr w:type="spellStart"/>
            <w:r w:rsidRPr="00DB19C7">
              <w:rPr>
                <w:color w:val="auto"/>
                <w:sz w:val="18"/>
                <w:szCs w:val="18"/>
                <w:lang w:eastAsia="en-GB" w:bidi="ar-SA"/>
              </w:rPr>
              <w:t>Lvliang</w:t>
            </w:r>
            <w:proofErr w:type="spellEnd"/>
            <w:r w:rsidRPr="00DB19C7">
              <w:rPr>
                <w:color w:val="auto"/>
                <w:sz w:val="18"/>
                <w:szCs w:val="18"/>
                <w:lang w:eastAsia="en-GB" w:bidi="ar-SA"/>
              </w:rPr>
              <w:t>, China)</w:t>
            </w:r>
          </w:p>
        </w:tc>
        <w:tc>
          <w:tcPr>
            <w:tcW w:w="767" w:type="dxa"/>
            <w:tcBorders>
              <w:top w:val="nil"/>
              <w:left w:val="nil"/>
              <w:bottom w:val="single" w:sz="4" w:space="0" w:color="auto"/>
              <w:right w:val="single" w:sz="4" w:space="0" w:color="auto"/>
            </w:tcBorders>
            <w:shd w:val="clear" w:color="auto" w:fill="auto"/>
            <w:noWrap/>
            <w:vAlign w:val="center"/>
            <w:hideMark/>
          </w:tcPr>
          <w:p w14:paraId="5E5DBB39"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17.11</w:t>
            </w:r>
          </w:p>
        </w:tc>
        <w:tc>
          <w:tcPr>
            <w:tcW w:w="767" w:type="dxa"/>
            <w:tcBorders>
              <w:top w:val="nil"/>
              <w:left w:val="nil"/>
              <w:bottom w:val="single" w:sz="4" w:space="0" w:color="auto"/>
              <w:right w:val="single" w:sz="4" w:space="0" w:color="auto"/>
            </w:tcBorders>
            <w:shd w:val="clear" w:color="auto" w:fill="auto"/>
            <w:noWrap/>
            <w:vAlign w:val="center"/>
            <w:hideMark/>
          </w:tcPr>
          <w:p w14:paraId="4CE46108"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51.13</w:t>
            </w:r>
          </w:p>
        </w:tc>
        <w:tc>
          <w:tcPr>
            <w:tcW w:w="1018" w:type="dxa"/>
            <w:tcBorders>
              <w:top w:val="nil"/>
              <w:left w:val="nil"/>
              <w:bottom w:val="single" w:sz="4" w:space="0" w:color="auto"/>
              <w:right w:val="single" w:sz="4" w:space="0" w:color="auto"/>
            </w:tcBorders>
            <w:shd w:val="clear" w:color="auto" w:fill="auto"/>
            <w:noWrap/>
            <w:vAlign w:val="center"/>
            <w:hideMark/>
          </w:tcPr>
          <w:p w14:paraId="706B5C4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111.2</w:t>
            </w:r>
          </w:p>
        </w:tc>
        <w:tc>
          <w:tcPr>
            <w:tcW w:w="1096" w:type="dxa"/>
            <w:tcBorders>
              <w:top w:val="nil"/>
              <w:left w:val="nil"/>
              <w:bottom w:val="single" w:sz="4" w:space="0" w:color="auto"/>
              <w:right w:val="single" w:sz="4" w:space="0" w:color="auto"/>
            </w:tcBorders>
            <w:shd w:val="clear" w:color="auto" w:fill="auto"/>
            <w:noWrap/>
            <w:hideMark/>
          </w:tcPr>
          <w:p w14:paraId="61BEF61D" w14:textId="143D9478"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w:t>
            </w:r>
          </w:p>
        </w:tc>
        <w:tc>
          <w:tcPr>
            <w:tcW w:w="767" w:type="dxa"/>
            <w:tcBorders>
              <w:top w:val="nil"/>
              <w:left w:val="nil"/>
              <w:bottom w:val="single" w:sz="4" w:space="0" w:color="auto"/>
              <w:right w:val="single" w:sz="4" w:space="0" w:color="auto"/>
            </w:tcBorders>
            <w:shd w:val="clear" w:color="auto" w:fill="auto"/>
            <w:noWrap/>
            <w:vAlign w:val="center"/>
            <w:hideMark/>
          </w:tcPr>
          <w:p w14:paraId="75F4A1E8" w14:textId="0EAC4260"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44F42649" w14:textId="017B0D95"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656D92A9" w14:textId="68C4C326"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37A05CEC"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567" w:type="dxa"/>
            <w:tcBorders>
              <w:top w:val="nil"/>
              <w:left w:val="nil"/>
              <w:bottom w:val="single" w:sz="4" w:space="0" w:color="auto"/>
              <w:right w:val="single" w:sz="4" w:space="0" w:color="auto"/>
            </w:tcBorders>
            <w:shd w:val="clear" w:color="auto" w:fill="auto"/>
            <w:noWrap/>
            <w:vAlign w:val="center"/>
            <w:hideMark/>
          </w:tcPr>
          <w:p w14:paraId="1E19A96C"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1.84</w:t>
            </w:r>
          </w:p>
        </w:tc>
        <w:tc>
          <w:tcPr>
            <w:tcW w:w="1134" w:type="dxa"/>
            <w:tcBorders>
              <w:top w:val="nil"/>
              <w:left w:val="nil"/>
              <w:bottom w:val="single" w:sz="4" w:space="0" w:color="auto"/>
              <w:right w:val="single" w:sz="4" w:space="0" w:color="auto"/>
            </w:tcBorders>
            <w:shd w:val="clear" w:color="auto" w:fill="auto"/>
            <w:noWrap/>
            <w:vAlign w:val="center"/>
            <w:hideMark/>
          </w:tcPr>
          <w:p w14:paraId="598545FC"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68DAC5C3"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1.03</w:t>
            </w:r>
          </w:p>
        </w:tc>
        <w:tc>
          <w:tcPr>
            <w:tcW w:w="737" w:type="dxa"/>
            <w:tcBorders>
              <w:top w:val="nil"/>
              <w:left w:val="nil"/>
              <w:bottom w:val="single" w:sz="4" w:space="0" w:color="auto"/>
              <w:right w:val="single" w:sz="4" w:space="0" w:color="auto"/>
            </w:tcBorders>
            <w:shd w:val="clear" w:color="auto" w:fill="auto"/>
            <w:noWrap/>
            <w:vAlign w:val="center"/>
            <w:hideMark/>
          </w:tcPr>
          <w:p w14:paraId="2BE1B54A"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23.38</w:t>
            </w:r>
          </w:p>
        </w:tc>
        <w:tc>
          <w:tcPr>
            <w:tcW w:w="737" w:type="dxa"/>
            <w:tcBorders>
              <w:top w:val="nil"/>
              <w:left w:val="nil"/>
              <w:bottom w:val="single" w:sz="4" w:space="0" w:color="auto"/>
              <w:right w:val="single" w:sz="4" w:space="0" w:color="auto"/>
            </w:tcBorders>
            <w:shd w:val="clear" w:color="auto" w:fill="auto"/>
            <w:noWrap/>
            <w:vAlign w:val="center"/>
            <w:hideMark/>
          </w:tcPr>
          <w:p w14:paraId="0CF49D7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6.92</w:t>
            </w:r>
          </w:p>
        </w:tc>
        <w:tc>
          <w:tcPr>
            <w:tcW w:w="737" w:type="dxa"/>
            <w:tcBorders>
              <w:top w:val="nil"/>
              <w:left w:val="nil"/>
              <w:bottom w:val="single" w:sz="4" w:space="0" w:color="auto"/>
              <w:right w:val="single" w:sz="4" w:space="0" w:color="auto"/>
            </w:tcBorders>
            <w:shd w:val="clear" w:color="auto" w:fill="auto"/>
            <w:noWrap/>
            <w:vAlign w:val="center"/>
            <w:hideMark/>
          </w:tcPr>
          <w:p w14:paraId="1F4ABACD"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71.32</w:t>
            </w:r>
          </w:p>
        </w:tc>
        <w:tc>
          <w:tcPr>
            <w:tcW w:w="617" w:type="dxa"/>
            <w:tcBorders>
              <w:top w:val="single" w:sz="4" w:space="0" w:color="auto"/>
              <w:left w:val="nil"/>
              <w:bottom w:val="single" w:sz="4" w:space="0" w:color="auto"/>
              <w:right w:val="single" w:sz="4" w:space="0" w:color="auto"/>
            </w:tcBorders>
            <w:vAlign w:val="center"/>
          </w:tcPr>
          <w:p w14:paraId="0987E4E9" w14:textId="0B7E394D"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 xml:space="preserve">ADDIN CSL_CITATION {"citationItems":[{"id":"ITEM-1","itemData":{"DOI":"10.1016/j.powtec.2016.01.035","ISSN":"1873328X","abstract":"In the present research work, the effects </w:instrText>
            </w:r>
            <w:r w:rsidRPr="00DB19C7">
              <w:rPr>
                <w:color w:val="auto"/>
                <w:sz w:val="18"/>
                <w:szCs w:val="18"/>
                <w:lang w:val="it-IT" w:eastAsia="en-GB" w:bidi="ar-SA"/>
              </w:rPr>
              <w:instrText>of particle size (D50) and size dispersity (</w:instrText>
            </w:r>
            <w:r w:rsidRPr="00DB19C7">
              <w:rPr>
                <w:color w:val="auto"/>
                <w:sz w:val="18"/>
                <w:szCs w:val="18"/>
                <w:lang w:eastAsia="en-GB" w:bidi="ar-SA"/>
              </w:rPr>
              <w:instrText>σ</w:instrText>
            </w:r>
            <w:r w:rsidRPr="00DB19C7">
              <w:rPr>
                <w:color w:val="auto"/>
                <w:sz w:val="18"/>
                <w:szCs w:val="18"/>
                <w:lang w:val="it-IT" w:eastAsia="en-GB" w:bidi="ar-SA"/>
              </w:rPr>
              <w:instrText>D) on the explosion severity of coal dust were investigated using a 20 L spherical explosion vessel. Coal dust samples with similar median diameter (D50) and different size dispersity (</w:instrText>
            </w:r>
            <w:r w:rsidRPr="00DB19C7">
              <w:rPr>
                <w:color w:val="auto"/>
                <w:sz w:val="18"/>
                <w:szCs w:val="18"/>
                <w:lang w:eastAsia="en-GB" w:bidi="ar-SA"/>
              </w:rPr>
              <w:instrText>σ</w:instrText>
            </w:r>
            <w:r w:rsidRPr="00DB19C7">
              <w:rPr>
                <w:color w:val="auto"/>
                <w:sz w:val="18"/>
                <w:szCs w:val="18"/>
                <w:lang w:val="it-IT" w:eastAsia="en-GB" w:bidi="ar-SA"/>
              </w:rPr>
              <w:instrText>D) and similar size dispersity (</w:instrText>
            </w:r>
            <w:r w:rsidRPr="00DB19C7">
              <w:rPr>
                <w:color w:val="auto"/>
                <w:sz w:val="18"/>
                <w:szCs w:val="18"/>
                <w:lang w:eastAsia="en-GB" w:bidi="ar-SA"/>
              </w:rPr>
              <w:instrText>σ</w:instrText>
            </w:r>
            <w:r w:rsidRPr="00DB19C7">
              <w:rPr>
                <w:color w:val="auto"/>
                <w:sz w:val="18"/>
                <w:szCs w:val="18"/>
                <w:lang w:val="it-IT" w:eastAsia="en-GB" w:bidi="ar-SA"/>
              </w:rPr>
              <w:instrText>D) and different size diameter (D50) were specially prepared by mixing original coal samples having a narrow size distribution. The explosion severity of each sample was evaluated by measuring the maximum pressure (Pmax) and the maximum rate of pressure rise ((dP/dt)max). Interestingly, results show that almost all of the selected coal dusts present the same optimum explosion concentration of 250 g/m3. The parameters of Pmax and (dP/dt)max show an increasing trend in explosion severity as size dispersity (</w:instrText>
            </w:r>
            <w:r w:rsidRPr="00DB19C7">
              <w:rPr>
                <w:color w:val="auto"/>
                <w:sz w:val="18"/>
                <w:szCs w:val="18"/>
                <w:lang w:eastAsia="en-GB" w:bidi="ar-SA"/>
              </w:rPr>
              <w:instrText>σ</w:instrText>
            </w:r>
            <w:r w:rsidRPr="00DB19C7">
              <w:rPr>
                <w:color w:val="auto"/>
                <w:sz w:val="18"/>
                <w:szCs w:val="18"/>
                <w:lang w:val="it-IT" w:eastAsia="en-GB" w:bidi="ar-SA"/>
              </w:rPr>
              <w:instrText>D) and particle size (D50) decrease, which indicate a more notable effect due to the contribution of finer coal particles on the dust cloud deflagration dynamics. The higher the volatile matter content, the more severe is the explosion. The presence of the finer particles would greatly increase the total effective specific surface area and speed up the devolatilization rate, which would cause acceleration of the dust explosion process. Furthermore, the</w:instrText>
            </w:r>
            <w:r w:rsidRPr="00DB19C7">
              <w:rPr>
                <w:color w:val="auto"/>
                <w:sz w:val="18"/>
                <w:szCs w:val="18"/>
                <w:lang w:eastAsia="en-GB" w:bidi="ar-SA"/>
              </w:rPr>
              <w:instrText xml:space="preserve"> effects of dust concentration on the explosion process were analyzed by comparing the defined time span (τ1) from ignition point to reach (dP/dt)max point and time span (τ2) from (dP/dt)max point to reach Pmax point. For the coal dust with lower D50 and lower σD, τ1 and τ2 are always short. Under lower coal dust concentration condition (&lt;250 g/m3), τ1 and τ2 present a stronger dependence on σD and dust concentration. However, the effect of σD and dust concentration on τ1 and τ2 becomes weak for the higher coal dust clouds (&gt;250 g/m3). Results indicated that the evaluation of coal dust explosion hazard should be considered in terms of not only dust concentration, but also particle size (D50) and size dispersity (σD).","author":[{"dropping-particle":"","family":"Li","given":"Qingzhao","non-dropping-particle":"","parse-names":false,"suffix":""},{"dropping-particle":"","family":"Wang","given":"Ke","non-dropping-particle":"","parse-names":false,"suffix":""},{"dropping-particle":"","family":"Zheng","given":"Yuannan","non-dropping-particle":"","parse-names":false,"suffix":""},{"dropping-particle":"","family":"Ruan","given":"Maliang","non-dropping-particle":"","parse-names":false,"suffix":""},{"dropping-particle":"","family":"Mei","given":"Xiaoning","non-dropping-particle":"","parse-names":false,"suffix":""},{"dropping-particle":"","family":"Lin","given":"Baiquan","non-dropping-particle":"","parse-names":false,"suffix":""}],"container-title":"Powder Technology","id":"ITEM-1","issued":{"date-parts":[["2016"]]},"title":"Experimental research of particle size and size dispersity on the explosibility characteristics of coal dust","type":"article-journal"},"uris":["http://www.mendeley.com/documents/?uuid=9ab36ac8-1259-46d4-8217-62838c14a76a"]}],"mendeley":{"formattedCitation":"[46]","plainTextFormattedCitation":"[46]","previouslyFormattedCitation":"[46]"},"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[46]</w:t>
            </w:r>
            <w:r w:rsidRPr="00DB19C7">
              <w:rPr>
                <w:color w:val="auto"/>
                <w:sz w:val="18"/>
                <w:szCs w:val="18"/>
                <w:lang w:eastAsia="en-GB" w:bidi="ar-SA"/>
              </w:rPr>
              <w:fldChar w:fldCharType="end"/>
            </w:r>
          </w:p>
        </w:tc>
      </w:tr>
      <w:tr w:rsidR="00DB19C7" w:rsidRPr="00DB19C7" w14:paraId="7165E97F" w14:textId="214AAACD"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6ECBA577"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101</w:t>
            </w:r>
          </w:p>
        </w:tc>
        <w:tc>
          <w:tcPr>
            <w:tcW w:w="1746" w:type="dxa"/>
            <w:tcBorders>
              <w:top w:val="nil"/>
              <w:left w:val="nil"/>
              <w:bottom w:val="single" w:sz="4" w:space="0" w:color="auto"/>
              <w:right w:val="single" w:sz="4" w:space="0" w:color="auto"/>
            </w:tcBorders>
            <w:shd w:val="clear" w:color="auto" w:fill="auto"/>
            <w:noWrap/>
            <w:vAlign w:val="center"/>
            <w:hideMark/>
          </w:tcPr>
          <w:p w14:paraId="1597B01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Coal (</w:t>
            </w:r>
            <w:proofErr w:type="spellStart"/>
            <w:r w:rsidRPr="00DB19C7">
              <w:rPr>
                <w:color w:val="auto"/>
                <w:sz w:val="18"/>
                <w:szCs w:val="18"/>
                <w:lang w:eastAsia="en-GB" w:bidi="ar-SA"/>
              </w:rPr>
              <w:t>Neimeng</w:t>
            </w:r>
            <w:proofErr w:type="spellEnd"/>
            <w:r w:rsidRPr="00DB19C7">
              <w:rPr>
                <w:color w:val="auto"/>
                <w:sz w:val="18"/>
                <w:szCs w:val="18"/>
                <w:lang w:eastAsia="en-GB" w:bidi="ar-SA"/>
              </w:rPr>
              <w:t>, China)</w:t>
            </w:r>
          </w:p>
        </w:tc>
        <w:tc>
          <w:tcPr>
            <w:tcW w:w="767" w:type="dxa"/>
            <w:tcBorders>
              <w:top w:val="nil"/>
              <w:left w:val="nil"/>
              <w:bottom w:val="single" w:sz="4" w:space="0" w:color="auto"/>
              <w:right w:val="single" w:sz="4" w:space="0" w:color="auto"/>
            </w:tcBorders>
            <w:shd w:val="clear" w:color="auto" w:fill="auto"/>
            <w:noWrap/>
            <w:vAlign w:val="center"/>
            <w:hideMark/>
          </w:tcPr>
          <w:p w14:paraId="774BC89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9.54</w:t>
            </w:r>
          </w:p>
        </w:tc>
        <w:tc>
          <w:tcPr>
            <w:tcW w:w="767" w:type="dxa"/>
            <w:tcBorders>
              <w:top w:val="nil"/>
              <w:left w:val="nil"/>
              <w:bottom w:val="single" w:sz="4" w:space="0" w:color="auto"/>
              <w:right w:val="single" w:sz="4" w:space="0" w:color="auto"/>
            </w:tcBorders>
            <w:shd w:val="clear" w:color="auto" w:fill="auto"/>
            <w:noWrap/>
            <w:vAlign w:val="center"/>
            <w:hideMark/>
          </w:tcPr>
          <w:p w14:paraId="315BE97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45.37</w:t>
            </w:r>
          </w:p>
        </w:tc>
        <w:tc>
          <w:tcPr>
            <w:tcW w:w="1018" w:type="dxa"/>
            <w:tcBorders>
              <w:top w:val="nil"/>
              <w:left w:val="nil"/>
              <w:bottom w:val="single" w:sz="4" w:space="0" w:color="auto"/>
              <w:right w:val="single" w:sz="4" w:space="0" w:color="auto"/>
            </w:tcBorders>
            <w:shd w:val="clear" w:color="auto" w:fill="auto"/>
            <w:noWrap/>
            <w:vAlign w:val="center"/>
            <w:hideMark/>
          </w:tcPr>
          <w:p w14:paraId="2E18E13C"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101.4</w:t>
            </w:r>
          </w:p>
        </w:tc>
        <w:tc>
          <w:tcPr>
            <w:tcW w:w="1096" w:type="dxa"/>
            <w:tcBorders>
              <w:top w:val="nil"/>
              <w:left w:val="nil"/>
              <w:bottom w:val="single" w:sz="4" w:space="0" w:color="auto"/>
              <w:right w:val="single" w:sz="4" w:space="0" w:color="auto"/>
            </w:tcBorders>
            <w:shd w:val="clear" w:color="auto" w:fill="auto"/>
            <w:noWrap/>
            <w:hideMark/>
          </w:tcPr>
          <w:p w14:paraId="0B859491" w14:textId="4853BC2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w:t>
            </w:r>
          </w:p>
        </w:tc>
        <w:tc>
          <w:tcPr>
            <w:tcW w:w="767" w:type="dxa"/>
            <w:tcBorders>
              <w:top w:val="nil"/>
              <w:left w:val="nil"/>
              <w:bottom w:val="single" w:sz="4" w:space="0" w:color="auto"/>
              <w:right w:val="single" w:sz="4" w:space="0" w:color="auto"/>
            </w:tcBorders>
            <w:shd w:val="clear" w:color="auto" w:fill="auto"/>
            <w:noWrap/>
            <w:vAlign w:val="center"/>
            <w:hideMark/>
          </w:tcPr>
          <w:p w14:paraId="1EA12305" w14:textId="5F7F8795"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26C92DF7" w14:textId="3A815152"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0EF52A96" w14:textId="0E1989BD"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6E6F6567"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567" w:type="dxa"/>
            <w:tcBorders>
              <w:top w:val="nil"/>
              <w:left w:val="nil"/>
              <w:bottom w:val="single" w:sz="4" w:space="0" w:color="auto"/>
              <w:right w:val="single" w:sz="4" w:space="0" w:color="auto"/>
            </w:tcBorders>
            <w:shd w:val="clear" w:color="auto" w:fill="auto"/>
            <w:noWrap/>
            <w:vAlign w:val="center"/>
            <w:hideMark/>
          </w:tcPr>
          <w:p w14:paraId="4292010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2.02</w:t>
            </w:r>
          </w:p>
        </w:tc>
        <w:tc>
          <w:tcPr>
            <w:tcW w:w="1134" w:type="dxa"/>
            <w:tcBorders>
              <w:top w:val="nil"/>
              <w:left w:val="nil"/>
              <w:bottom w:val="single" w:sz="4" w:space="0" w:color="auto"/>
              <w:right w:val="single" w:sz="4" w:space="0" w:color="auto"/>
            </w:tcBorders>
            <w:shd w:val="clear" w:color="auto" w:fill="auto"/>
            <w:noWrap/>
            <w:vAlign w:val="center"/>
            <w:hideMark/>
          </w:tcPr>
          <w:p w14:paraId="763D3C15"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2636DEBA"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1.48</w:t>
            </w:r>
          </w:p>
        </w:tc>
        <w:tc>
          <w:tcPr>
            <w:tcW w:w="737" w:type="dxa"/>
            <w:tcBorders>
              <w:top w:val="nil"/>
              <w:left w:val="nil"/>
              <w:bottom w:val="single" w:sz="4" w:space="0" w:color="auto"/>
              <w:right w:val="single" w:sz="4" w:space="0" w:color="auto"/>
            </w:tcBorders>
            <w:shd w:val="clear" w:color="auto" w:fill="auto"/>
            <w:noWrap/>
            <w:vAlign w:val="center"/>
            <w:hideMark/>
          </w:tcPr>
          <w:p w14:paraId="220B4B08"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14.03</w:t>
            </w:r>
          </w:p>
        </w:tc>
        <w:tc>
          <w:tcPr>
            <w:tcW w:w="737" w:type="dxa"/>
            <w:tcBorders>
              <w:top w:val="nil"/>
              <w:left w:val="nil"/>
              <w:bottom w:val="single" w:sz="4" w:space="0" w:color="auto"/>
              <w:right w:val="single" w:sz="4" w:space="0" w:color="auto"/>
            </w:tcBorders>
            <w:shd w:val="clear" w:color="auto" w:fill="auto"/>
            <w:noWrap/>
            <w:vAlign w:val="center"/>
            <w:hideMark/>
          </w:tcPr>
          <w:p w14:paraId="264A33F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14.25</w:t>
            </w:r>
          </w:p>
        </w:tc>
        <w:tc>
          <w:tcPr>
            <w:tcW w:w="737" w:type="dxa"/>
            <w:tcBorders>
              <w:top w:val="nil"/>
              <w:left w:val="nil"/>
              <w:bottom w:val="single" w:sz="4" w:space="0" w:color="auto"/>
              <w:right w:val="single" w:sz="4" w:space="0" w:color="auto"/>
            </w:tcBorders>
            <w:shd w:val="clear" w:color="auto" w:fill="auto"/>
            <w:noWrap/>
            <w:vAlign w:val="center"/>
            <w:hideMark/>
          </w:tcPr>
          <w:p w14:paraId="07B9790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73.72</w:t>
            </w:r>
          </w:p>
        </w:tc>
        <w:tc>
          <w:tcPr>
            <w:tcW w:w="617" w:type="dxa"/>
            <w:tcBorders>
              <w:top w:val="single" w:sz="4" w:space="0" w:color="auto"/>
              <w:left w:val="nil"/>
              <w:bottom w:val="single" w:sz="4" w:space="0" w:color="auto"/>
              <w:right w:val="single" w:sz="4" w:space="0" w:color="auto"/>
            </w:tcBorders>
            <w:vAlign w:val="center"/>
          </w:tcPr>
          <w:p w14:paraId="5129FE8F" w14:textId="0468F90C"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 xml:space="preserve">ADDIN CSL_CITATION {"citationItems":[{"id":"ITEM-1","itemData":{"DOI":"10.1016/j.powtec.2016.01.035","ISSN":"1873328X","abstract":"In the present research work, the effects </w:instrText>
            </w:r>
            <w:r w:rsidRPr="00DB19C7">
              <w:rPr>
                <w:color w:val="auto"/>
                <w:sz w:val="18"/>
                <w:szCs w:val="18"/>
                <w:lang w:val="it-IT" w:eastAsia="en-GB" w:bidi="ar-SA"/>
              </w:rPr>
              <w:instrText>of particle size (D50) and size dispersity (</w:instrText>
            </w:r>
            <w:r w:rsidRPr="00DB19C7">
              <w:rPr>
                <w:color w:val="auto"/>
                <w:sz w:val="18"/>
                <w:szCs w:val="18"/>
                <w:lang w:eastAsia="en-GB" w:bidi="ar-SA"/>
              </w:rPr>
              <w:instrText>σ</w:instrText>
            </w:r>
            <w:r w:rsidRPr="00DB19C7">
              <w:rPr>
                <w:color w:val="auto"/>
                <w:sz w:val="18"/>
                <w:szCs w:val="18"/>
                <w:lang w:val="it-IT" w:eastAsia="en-GB" w:bidi="ar-SA"/>
              </w:rPr>
              <w:instrText>D) on the explosion severity of coal dust were investigated using a 20 L spherical explosion vessel. Coal dust samples with similar median diameter (D50) and different size dispersity (</w:instrText>
            </w:r>
            <w:r w:rsidRPr="00DB19C7">
              <w:rPr>
                <w:color w:val="auto"/>
                <w:sz w:val="18"/>
                <w:szCs w:val="18"/>
                <w:lang w:eastAsia="en-GB" w:bidi="ar-SA"/>
              </w:rPr>
              <w:instrText>σ</w:instrText>
            </w:r>
            <w:r w:rsidRPr="00DB19C7">
              <w:rPr>
                <w:color w:val="auto"/>
                <w:sz w:val="18"/>
                <w:szCs w:val="18"/>
                <w:lang w:val="it-IT" w:eastAsia="en-GB" w:bidi="ar-SA"/>
              </w:rPr>
              <w:instrText>D) and similar size dispersity (</w:instrText>
            </w:r>
            <w:r w:rsidRPr="00DB19C7">
              <w:rPr>
                <w:color w:val="auto"/>
                <w:sz w:val="18"/>
                <w:szCs w:val="18"/>
                <w:lang w:eastAsia="en-GB" w:bidi="ar-SA"/>
              </w:rPr>
              <w:instrText>σ</w:instrText>
            </w:r>
            <w:r w:rsidRPr="00DB19C7">
              <w:rPr>
                <w:color w:val="auto"/>
                <w:sz w:val="18"/>
                <w:szCs w:val="18"/>
                <w:lang w:val="it-IT" w:eastAsia="en-GB" w:bidi="ar-SA"/>
              </w:rPr>
              <w:instrText>D) and different size diameter (D50) were specially prepared by mixing original coal samples having a narrow size distribution. The explosion severity of each sample was evaluated by measuring the maximum pressure (Pmax) and the maximum rate of pressure rise ((dP/dt)max). Interestingly, results show that almost all of the selected coal dusts present the same optimum explosion concentration of 250 g/m3. The parameters of Pmax and (dP/dt)max show an increasing trend in explosion severity as size dispersity (</w:instrText>
            </w:r>
            <w:r w:rsidRPr="00DB19C7">
              <w:rPr>
                <w:color w:val="auto"/>
                <w:sz w:val="18"/>
                <w:szCs w:val="18"/>
                <w:lang w:eastAsia="en-GB" w:bidi="ar-SA"/>
              </w:rPr>
              <w:instrText>σ</w:instrText>
            </w:r>
            <w:r w:rsidRPr="00DB19C7">
              <w:rPr>
                <w:color w:val="auto"/>
                <w:sz w:val="18"/>
                <w:szCs w:val="18"/>
                <w:lang w:val="it-IT" w:eastAsia="en-GB" w:bidi="ar-SA"/>
              </w:rPr>
              <w:instrText>D) and particle size (D50) decrease, which indicate a more notable effect due to the contribution of finer coal particles on the dust cloud deflagration dynamics. The higher the volatile matter content, the more severe is the explosion. The presence of the finer particles would greatly increase the total effective specific surface area and speed up the devolatilization rate, which would cause acceleration of the dust explosion process. Furthermore, the</w:instrText>
            </w:r>
            <w:r w:rsidRPr="00DB19C7">
              <w:rPr>
                <w:color w:val="auto"/>
                <w:sz w:val="18"/>
                <w:szCs w:val="18"/>
                <w:lang w:eastAsia="en-GB" w:bidi="ar-SA"/>
              </w:rPr>
              <w:instrText xml:space="preserve"> effects of dust concentration on the explosion process were analyzed by comparing the defined time span (τ1) from ignition point to reach (dP/dt)max point and time span (τ2) from (dP/dt)max point to reach Pmax point. For the coal dust with lower D50 and lower σD, τ1 and τ2 are always short. Under lower coal dust concentration condition (&lt;250 g/m3), τ1 and τ2 present a stronger dependence on σD and dust concentration. However, the effect of σD and dust concentration on τ1 and τ2 becomes weak for the higher coal dust clouds (&gt;250 g/m3). Results indicated that the evaluation of coal dust explosion hazard should be considered in terms of not only dust concentration, but also particle size (D50) and size dispersity (σD).","author":[{"dropping-particle":"","family":"Li","given":"Qingzhao","non-dropping-particle":"","parse-names":false,"suffix":""},{"dropping-particle":"","family":"Wang","given":"Ke","non-dropping-particle":"","parse-names":false,"suffix":""},{"dropping-particle":"","family":"Zheng","given":"Yuannan","non-dropping-particle":"","parse-names":false,"suffix":""},{"dropping-particle":"","family":"Ruan","given":"Maliang","non-dropping-particle":"","parse-names":false,"suffix":""},{"dropping-particle":"","family":"Mei","given":"Xiaoning","non-dropping-particle":"","parse-names":false,"suffix":""},{"dropping-particle":"","family":"Lin","given":"Baiquan","non-dropping-particle":"","parse-names":false,"suffix":""}],"container-title":"Powder Technology","id":"ITEM-1","issued":{"date-parts":[["2016"]]},"title":"Experimental research of particle size and size dispersity on the explosibility characteristics of coal dust","type":"article-journal"},"uris":["http://www.mendeley.com/documents/?uuid=9ab36ac8-1259-46d4-8217-62838c14a76a"]}],"mendeley":{"formattedCitation":"[46]","plainTextFormattedCitation":"[46]","previouslyFormattedCitation":"[46]"},"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[46]</w:t>
            </w:r>
            <w:r w:rsidRPr="00DB19C7">
              <w:rPr>
                <w:color w:val="auto"/>
                <w:sz w:val="18"/>
                <w:szCs w:val="18"/>
                <w:lang w:eastAsia="en-GB" w:bidi="ar-SA"/>
              </w:rPr>
              <w:fldChar w:fldCharType="end"/>
            </w:r>
          </w:p>
        </w:tc>
      </w:tr>
      <w:tr w:rsidR="00DB19C7" w:rsidRPr="00DB19C7" w14:paraId="621FD5FD" w14:textId="0819B100"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6DBB9E0D"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102</w:t>
            </w:r>
          </w:p>
        </w:tc>
        <w:tc>
          <w:tcPr>
            <w:tcW w:w="1746" w:type="dxa"/>
            <w:tcBorders>
              <w:top w:val="nil"/>
              <w:left w:val="nil"/>
              <w:bottom w:val="single" w:sz="4" w:space="0" w:color="auto"/>
              <w:right w:val="single" w:sz="4" w:space="0" w:color="auto"/>
            </w:tcBorders>
            <w:shd w:val="clear" w:color="auto" w:fill="auto"/>
            <w:noWrap/>
            <w:vAlign w:val="center"/>
            <w:hideMark/>
          </w:tcPr>
          <w:p w14:paraId="51AB4EBC"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Coal (Ningxia, China)</w:t>
            </w:r>
          </w:p>
        </w:tc>
        <w:tc>
          <w:tcPr>
            <w:tcW w:w="767" w:type="dxa"/>
            <w:tcBorders>
              <w:top w:val="nil"/>
              <w:left w:val="nil"/>
              <w:bottom w:val="single" w:sz="4" w:space="0" w:color="auto"/>
              <w:right w:val="single" w:sz="4" w:space="0" w:color="auto"/>
            </w:tcBorders>
            <w:shd w:val="clear" w:color="auto" w:fill="auto"/>
            <w:noWrap/>
            <w:vAlign w:val="center"/>
            <w:hideMark/>
          </w:tcPr>
          <w:p w14:paraId="33F85F6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7.14</w:t>
            </w:r>
          </w:p>
        </w:tc>
        <w:tc>
          <w:tcPr>
            <w:tcW w:w="767" w:type="dxa"/>
            <w:tcBorders>
              <w:top w:val="nil"/>
              <w:left w:val="nil"/>
              <w:bottom w:val="single" w:sz="4" w:space="0" w:color="auto"/>
              <w:right w:val="single" w:sz="4" w:space="0" w:color="auto"/>
            </w:tcBorders>
            <w:shd w:val="clear" w:color="auto" w:fill="auto"/>
            <w:noWrap/>
            <w:vAlign w:val="center"/>
            <w:hideMark/>
          </w:tcPr>
          <w:p w14:paraId="5A71F6B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43.69</w:t>
            </w:r>
          </w:p>
        </w:tc>
        <w:tc>
          <w:tcPr>
            <w:tcW w:w="1018" w:type="dxa"/>
            <w:tcBorders>
              <w:top w:val="nil"/>
              <w:left w:val="nil"/>
              <w:bottom w:val="single" w:sz="4" w:space="0" w:color="auto"/>
              <w:right w:val="single" w:sz="4" w:space="0" w:color="auto"/>
            </w:tcBorders>
            <w:shd w:val="clear" w:color="auto" w:fill="auto"/>
            <w:noWrap/>
            <w:vAlign w:val="center"/>
            <w:hideMark/>
          </w:tcPr>
          <w:p w14:paraId="6111EE8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91.62</w:t>
            </w:r>
          </w:p>
        </w:tc>
        <w:tc>
          <w:tcPr>
            <w:tcW w:w="1096" w:type="dxa"/>
            <w:tcBorders>
              <w:top w:val="nil"/>
              <w:left w:val="nil"/>
              <w:bottom w:val="single" w:sz="4" w:space="0" w:color="auto"/>
              <w:right w:val="single" w:sz="4" w:space="0" w:color="auto"/>
            </w:tcBorders>
            <w:shd w:val="clear" w:color="auto" w:fill="auto"/>
            <w:noWrap/>
            <w:hideMark/>
          </w:tcPr>
          <w:p w14:paraId="07F92936" w14:textId="17278064"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w:t>
            </w:r>
          </w:p>
        </w:tc>
        <w:tc>
          <w:tcPr>
            <w:tcW w:w="767" w:type="dxa"/>
            <w:tcBorders>
              <w:top w:val="nil"/>
              <w:left w:val="nil"/>
              <w:bottom w:val="single" w:sz="4" w:space="0" w:color="auto"/>
              <w:right w:val="single" w:sz="4" w:space="0" w:color="auto"/>
            </w:tcBorders>
            <w:shd w:val="clear" w:color="auto" w:fill="auto"/>
            <w:noWrap/>
            <w:vAlign w:val="center"/>
            <w:hideMark/>
          </w:tcPr>
          <w:p w14:paraId="7CAEA081" w14:textId="04C5CE10"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5250754A" w14:textId="337EEA58"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73B07E9B" w14:textId="26F10418"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54F601A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567" w:type="dxa"/>
            <w:tcBorders>
              <w:top w:val="nil"/>
              <w:left w:val="nil"/>
              <w:bottom w:val="single" w:sz="4" w:space="0" w:color="auto"/>
              <w:right w:val="single" w:sz="4" w:space="0" w:color="auto"/>
            </w:tcBorders>
            <w:shd w:val="clear" w:color="auto" w:fill="auto"/>
            <w:noWrap/>
            <w:vAlign w:val="center"/>
            <w:hideMark/>
          </w:tcPr>
          <w:p w14:paraId="7CA99178"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1.93</w:t>
            </w:r>
          </w:p>
        </w:tc>
        <w:tc>
          <w:tcPr>
            <w:tcW w:w="1134" w:type="dxa"/>
            <w:tcBorders>
              <w:top w:val="nil"/>
              <w:left w:val="nil"/>
              <w:bottom w:val="single" w:sz="4" w:space="0" w:color="auto"/>
              <w:right w:val="single" w:sz="4" w:space="0" w:color="auto"/>
            </w:tcBorders>
            <w:shd w:val="clear" w:color="auto" w:fill="auto"/>
            <w:noWrap/>
            <w:vAlign w:val="center"/>
            <w:hideMark/>
          </w:tcPr>
          <w:p w14:paraId="103E9ED5"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4D601D2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1.58</w:t>
            </w:r>
          </w:p>
        </w:tc>
        <w:tc>
          <w:tcPr>
            <w:tcW w:w="737" w:type="dxa"/>
            <w:tcBorders>
              <w:top w:val="nil"/>
              <w:left w:val="nil"/>
              <w:bottom w:val="single" w:sz="4" w:space="0" w:color="auto"/>
              <w:right w:val="single" w:sz="4" w:space="0" w:color="auto"/>
            </w:tcBorders>
            <w:shd w:val="clear" w:color="auto" w:fill="auto"/>
            <w:noWrap/>
            <w:vAlign w:val="center"/>
            <w:hideMark/>
          </w:tcPr>
          <w:p w14:paraId="7B4A6D53"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33.51</w:t>
            </w:r>
          </w:p>
        </w:tc>
        <w:tc>
          <w:tcPr>
            <w:tcW w:w="737" w:type="dxa"/>
            <w:tcBorders>
              <w:top w:val="nil"/>
              <w:left w:val="nil"/>
              <w:bottom w:val="single" w:sz="4" w:space="0" w:color="auto"/>
              <w:right w:val="single" w:sz="4" w:space="0" w:color="auto"/>
            </w:tcBorders>
            <w:shd w:val="clear" w:color="auto" w:fill="auto"/>
            <w:noWrap/>
            <w:vAlign w:val="center"/>
            <w:hideMark/>
          </w:tcPr>
          <w:p w14:paraId="71511065"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28.54</w:t>
            </w:r>
          </w:p>
        </w:tc>
        <w:tc>
          <w:tcPr>
            <w:tcW w:w="737" w:type="dxa"/>
            <w:tcBorders>
              <w:top w:val="nil"/>
              <w:left w:val="nil"/>
              <w:bottom w:val="single" w:sz="4" w:space="0" w:color="auto"/>
              <w:right w:val="single" w:sz="4" w:space="0" w:color="auto"/>
            </w:tcBorders>
            <w:shd w:val="clear" w:color="auto" w:fill="auto"/>
            <w:noWrap/>
            <w:vAlign w:val="center"/>
            <w:hideMark/>
          </w:tcPr>
          <w:p w14:paraId="4DEEEDA6"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47.51</w:t>
            </w:r>
          </w:p>
        </w:tc>
        <w:tc>
          <w:tcPr>
            <w:tcW w:w="617" w:type="dxa"/>
            <w:tcBorders>
              <w:top w:val="single" w:sz="4" w:space="0" w:color="auto"/>
              <w:left w:val="nil"/>
              <w:bottom w:val="single" w:sz="4" w:space="0" w:color="auto"/>
              <w:right w:val="single" w:sz="4" w:space="0" w:color="auto"/>
            </w:tcBorders>
            <w:vAlign w:val="center"/>
          </w:tcPr>
          <w:p w14:paraId="104B769D" w14:textId="4A26EC11"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 xml:space="preserve">ADDIN CSL_CITATION {"citationItems":[{"id":"ITEM-1","itemData":{"DOI":"10.1016/j.powtec.2016.01.035","ISSN":"1873328X","abstract":"In the present research work, the effects </w:instrText>
            </w:r>
            <w:r w:rsidRPr="00DB19C7">
              <w:rPr>
                <w:color w:val="auto"/>
                <w:sz w:val="18"/>
                <w:szCs w:val="18"/>
                <w:lang w:val="it-IT" w:eastAsia="en-GB" w:bidi="ar-SA"/>
              </w:rPr>
              <w:instrText>of particle size (D50) and size dispersity (σD) on the explosion severity of coal dust were investigated using a 20 L spherical explosion vessel. Coal dust samples with similar median diameter (D50) and different size dispersity (σD) and similar size dispersity (σD) and different size diameter (D50) were specially prepared by mixing original coal samples having a narrow size distribution. The explosion severity of each sample was evaluated by measuring the maximum pressure (Pmax) and the maximum rate of pressure rise ((dP/dt)max). Interestingly, results show that almost all of the selected coal dusts present the same optimum explosion concentration of 250 g/m3. The parameters of Pmax and (dP/dt)max show an increasing trend in explosion severity as size dispersity (σD) and particle size (D50) decrease, which indicate a more notable effect due to the contribution of finer coal particles on the dust cloud deflagration dynamics. The higher the volatile matter content, the more severe is the explosion. The presence of the finer particles would greatly increase the total effective specific surface area and speed up the devolatilization rate, which would cause acceleration of the dust explosion process. Furthermore, the effects of dust concentration on the explosion process were analyzed by comparing the defined time span (τ1) from ignition point to reach (dP/dt)max point and time span (τ2) from (dP/dt)max point to reach Pmax point. For the coal dust with lower D50 and lower σD, τ1 and τ2 are always short. Under lower coal dust concentration condition (&lt;250 g/m3), τ1 and τ2 present a stronger dependence on σD and dust concentration. However, the effect of σD and dust concentration on τ1 and τ2 becomes weak</w:instrText>
            </w:r>
            <w:r w:rsidRPr="00DB19C7">
              <w:rPr>
                <w:color w:val="auto"/>
                <w:sz w:val="18"/>
                <w:szCs w:val="18"/>
                <w:lang w:eastAsia="en-GB" w:bidi="ar-SA"/>
              </w:rPr>
              <w:instrText xml:space="preserve"> for the higher coal dust clouds (&gt;250 g/m3). Results indicated that the evaluation of coal dust explosion hazard should be considered in terms of not only dust concentration, but also particle size (D50) and size dispersity (</w:instrText>
            </w:r>
            <w:r w:rsidRPr="00DB19C7">
              <w:rPr>
                <w:color w:val="auto"/>
                <w:sz w:val="18"/>
                <w:szCs w:val="18"/>
                <w:lang w:val="it-IT" w:eastAsia="en-GB" w:bidi="ar-SA"/>
              </w:rPr>
              <w:instrText>σ</w:instrText>
            </w:r>
            <w:r w:rsidRPr="00DB19C7">
              <w:rPr>
                <w:color w:val="auto"/>
                <w:sz w:val="18"/>
                <w:szCs w:val="18"/>
                <w:lang w:eastAsia="en-GB" w:bidi="ar-SA"/>
              </w:rPr>
              <w:instrText>D).","author":[{"dropping-particle":"","family":"Li","given":"Qingzhao","non-dropping-particle":"","parse-names":false,"suffix":""},{"dropping-particle":"","family":"Wang","given":"Ke","non-dropping-particle":"","parse-names":false,"suffix":""},{"dropping-particle":"","family":"Zheng","given":"Yuannan","non-dropping-particle":"","parse-names":false,"suffix":""},{"dropping-particle":"","family":"Ruan","given":"Maliang","non-dropping-particle":"","parse-names":false,"suffix":""},{"dropping-particle":"","family":"Mei","given":"Xiaoning","non-dropping-particle":"","parse-names":false,"suffix":""},{"dropping-particle":"","family":"Lin","given":"Baiquan","non-dropping-particle":"","parse-names":false,"suffix":""}],"container-title":"Powder Technology","id":"ITEM-1","issued":{"date-parts":[["2016"]]},"title":"Experimental research of particle size and size dispersity on the explosibility characteristics of coal dust","type":"article-journal"},"uris":["http://www.mendeley.com/documents/?uuid=9ab36ac8-1259-46d4-8217-62838c14a76a"]}],"mendeley":{"formattedCitation":"[46]","plainTextFormattedCitation":"[46]","previouslyFormattedCitation":"[46]"},"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[46]</w:t>
            </w:r>
            <w:r w:rsidRPr="00DB19C7">
              <w:rPr>
                <w:color w:val="auto"/>
                <w:sz w:val="18"/>
                <w:szCs w:val="18"/>
                <w:lang w:eastAsia="en-GB" w:bidi="ar-SA"/>
              </w:rPr>
              <w:fldChar w:fldCharType="end"/>
            </w:r>
          </w:p>
        </w:tc>
      </w:tr>
      <w:tr w:rsidR="00DB19C7" w:rsidRPr="00DB19C7" w14:paraId="0AA37B24" w14:textId="34DF11B7"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7A613F3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103</w:t>
            </w:r>
          </w:p>
        </w:tc>
        <w:tc>
          <w:tcPr>
            <w:tcW w:w="1746" w:type="dxa"/>
            <w:tcBorders>
              <w:top w:val="nil"/>
              <w:left w:val="nil"/>
              <w:bottom w:val="single" w:sz="4" w:space="0" w:color="auto"/>
              <w:right w:val="single" w:sz="4" w:space="0" w:color="auto"/>
            </w:tcBorders>
            <w:shd w:val="clear" w:color="auto" w:fill="auto"/>
            <w:noWrap/>
            <w:vAlign w:val="center"/>
            <w:hideMark/>
          </w:tcPr>
          <w:p w14:paraId="7FC25DC4"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Coal (Spain)</w:t>
            </w:r>
          </w:p>
        </w:tc>
        <w:tc>
          <w:tcPr>
            <w:tcW w:w="767" w:type="dxa"/>
            <w:tcBorders>
              <w:top w:val="nil"/>
              <w:left w:val="nil"/>
              <w:bottom w:val="single" w:sz="4" w:space="0" w:color="auto"/>
              <w:right w:val="single" w:sz="4" w:space="0" w:color="auto"/>
            </w:tcBorders>
            <w:shd w:val="clear" w:color="auto" w:fill="auto"/>
            <w:noWrap/>
            <w:vAlign w:val="center"/>
            <w:hideMark/>
          </w:tcPr>
          <w:p w14:paraId="5E942B1A" w14:textId="0736C332" w:rsidR="002B4066" w:rsidRPr="00DB19C7" w:rsidRDefault="002B4066" w:rsidP="002B4066">
            <w:pPr>
              <w:adjustRightInd/>
              <w:snapToGrid/>
              <w:spacing w:line="240" w:lineRule="auto"/>
              <w:jc w:val="center"/>
              <w:rPr>
                <w:color w:val="auto"/>
                <w:sz w:val="18"/>
                <w:szCs w:val="18"/>
                <w:lang w:eastAsia="en-GB" w:bidi="ar-SA"/>
              </w:rPr>
            </w:pPr>
          </w:p>
        </w:tc>
        <w:tc>
          <w:tcPr>
            <w:tcW w:w="767" w:type="dxa"/>
            <w:tcBorders>
              <w:top w:val="nil"/>
              <w:left w:val="nil"/>
              <w:bottom w:val="single" w:sz="4" w:space="0" w:color="auto"/>
              <w:right w:val="single" w:sz="4" w:space="0" w:color="auto"/>
            </w:tcBorders>
            <w:shd w:val="clear" w:color="auto" w:fill="auto"/>
            <w:noWrap/>
            <w:vAlign w:val="center"/>
            <w:hideMark/>
          </w:tcPr>
          <w:p w14:paraId="75466AD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26.8</w:t>
            </w:r>
          </w:p>
        </w:tc>
        <w:tc>
          <w:tcPr>
            <w:tcW w:w="1018" w:type="dxa"/>
            <w:tcBorders>
              <w:top w:val="nil"/>
              <w:left w:val="nil"/>
              <w:bottom w:val="single" w:sz="4" w:space="0" w:color="auto"/>
              <w:right w:val="single" w:sz="4" w:space="0" w:color="auto"/>
            </w:tcBorders>
            <w:shd w:val="clear" w:color="auto" w:fill="auto"/>
            <w:noWrap/>
            <w:vAlign w:val="center"/>
            <w:hideMark/>
          </w:tcPr>
          <w:p w14:paraId="297ED277" w14:textId="5AEB0AA9" w:rsidR="002B4066" w:rsidRPr="00DB19C7" w:rsidRDefault="002B4066" w:rsidP="002B4066">
            <w:pPr>
              <w:adjustRightInd/>
              <w:snapToGrid/>
              <w:spacing w:line="240" w:lineRule="auto"/>
              <w:jc w:val="center"/>
              <w:rPr>
                <w:color w:val="auto"/>
                <w:sz w:val="18"/>
                <w:szCs w:val="18"/>
                <w:lang w:eastAsia="en-GB" w:bidi="ar-SA"/>
              </w:rPr>
            </w:pPr>
          </w:p>
        </w:tc>
        <w:tc>
          <w:tcPr>
            <w:tcW w:w="1096" w:type="dxa"/>
            <w:tcBorders>
              <w:top w:val="nil"/>
              <w:left w:val="nil"/>
              <w:bottom w:val="single" w:sz="4" w:space="0" w:color="auto"/>
              <w:right w:val="single" w:sz="4" w:space="0" w:color="auto"/>
            </w:tcBorders>
            <w:shd w:val="clear" w:color="auto" w:fill="auto"/>
            <w:noWrap/>
            <w:vAlign w:val="center"/>
            <w:hideMark/>
          </w:tcPr>
          <w:p w14:paraId="015CF6FA" w14:textId="062BB0B6"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667B7CD4"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32.1</w:t>
            </w:r>
          </w:p>
        </w:tc>
        <w:tc>
          <w:tcPr>
            <w:tcW w:w="765" w:type="dxa"/>
            <w:tcBorders>
              <w:top w:val="nil"/>
              <w:left w:val="nil"/>
              <w:bottom w:val="single" w:sz="4" w:space="0" w:color="auto"/>
              <w:right w:val="single" w:sz="4" w:space="0" w:color="auto"/>
            </w:tcBorders>
            <w:shd w:val="clear" w:color="auto" w:fill="auto"/>
            <w:noWrap/>
            <w:vAlign w:val="center"/>
            <w:hideMark/>
          </w:tcPr>
          <w:p w14:paraId="2A70D11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9.7</w:t>
            </w:r>
          </w:p>
        </w:tc>
        <w:tc>
          <w:tcPr>
            <w:tcW w:w="1199" w:type="dxa"/>
            <w:tcBorders>
              <w:top w:val="nil"/>
              <w:left w:val="nil"/>
              <w:bottom w:val="single" w:sz="4" w:space="0" w:color="auto"/>
              <w:right w:val="single" w:sz="4" w:space="0" w:color="auto"/>
            </w:tcBorders>
            <w:shd w:val="clear" w:color="auto" w:fill="auto"/>
            <w:noWrap/>
            <w:vAlign w:val="center"/>
            <w:hideMark/>
          </w:tcPr>
          <w:p w14:paraId="45116EBD" w14:textId="0908831D"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0.62</w:t>
            </w:r>
          </w:p>
        </w:tc>
        <w:tc>
          <w:tcPr>
            <w:tcW w:w="1137" w:type="dxa"/>
            <w:tcBorders>
              <w:top w:val="nil"/>
              <w:left w:val="nil"/>
              <w:bottom w:val="single" w:sz="4" w:space="0" w:color="auto"/>
              <w:right w:val="single" w:sz="4" w:space="0" w:color="auto"/>
            </w:tcBorders>
            <w:shd w:val="clear" w:color="auto" w:fill="auto"/>
            <w:noWrap/>
            <w:vAlign w:val="center"/>
            <w:hideMark/>
          </w:tcPr>
          <w:p w14:paraId="48D22246"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567" w:type="dxa"/>
            <w:tcBorders>
              <w:top w:val="nil"/>
              <w:left w:val="nil"/>
              <w:bottom w:val="single" w:sz="4" w:space="0" w:color="auto"/>
              <w:right w:val="single" w:sz="4" w:space="0" w:color="auto"/>
            </w:tcBorders>
            <w:shd w:val="clear" w:color="auto" w:fill="auto"/>
            <w:noWrap/>
            <w:vAlign w:val="center"/>
            <w:hideMark/>
          </w:tcPr>
          <w:p w14:paraId="4079BA8F" w14:textId="0604E9C3"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18F6E5B4"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52D6F77E" w14:textId="058894B1"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1BE17318" w14:textId="63BCFC47"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33091CC9" w14:textId="64270F8D"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7FA22647" w14:textId="498C734E"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50A00BBE" w14:textId="523B368B"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{"citationItems":[{"id":"ITEM-1","itemData":{"DOI":"10.1007/s10694-018-0782-3","ISSN":"1572-8099","abstract":"Dust layers are present in every industrial facility where solid materials are generated or processed. The emergence of new fuels with still unknown flammability properties generates an increase on the risks related with these facilities that needs to be further studied. Most of these biomasses are susceptible to exothermically react, acting as an ignition source and causing fires and explosions. One of the most common causes of explosions is the ignition of dust layers deposited on the equipment, which could be avoided by a better understanding of the materials. However, the ignitability of these layers depend on several parameters as the particle size and the density of the deposited materials. This paper reports experimental work on hot surface ignition temperatures of layers of different fuels, both biofuels, such as wood or sewage sludge, and fossil fuels, coal and coke. It shows that the common practices that are well-known for fossil fuels cannot be directly extrapolated to new fuels. Unlike fossil fuels, wood-based materials present the same ignition risk in dust and bulk size, so an increase on the particle size does not ensure a safer work space. Furthermore, compacting these materials can increase the ignition risk of these type of layers, contrary to the common practices for fossil fuels storages. These differences point out the need of a complete characterisation of each material to ensure a safe working facility.","author":[{"dropping-particle":"","family":"Fernandez-Anez","given":"Nieves","non-dropping-particle":"","parse-names":false,"suffix":""},{"dropping-particle":"","family":"Garcia-Torrent","given":"Javier","non-dropping-particle":"","parse-names":false,"suffix":""}],"container-title":"Fire Technology","id":"ITEM-1","issue":"1","issued":{"date-parts":[["2019"]]},"page":"175-191","title":"Influence of Particle Size and Density on the Hot Surface Ignition of Solid Fuel Layers","type":"article-journal","volume":"55"},"uris":["http://www.mendeley.com/documents/?uuid=f107a61e-81cb-4767-8f95-3d5cff660de0"]}],"mendeley":{"formattedCitation":"[28]","plainTextFormattedCitation":"[28]","previouslyFormattedCitation":"[28]"},"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[28]</w:t>
            </w:r>
            <w:r w:rsidRPr="00DB19C7">
              <w:rPr>
                <w:color w:val="auto"/>
                <w:sz w:val="18"/>
                <w:szCs w:val="18"/>
                <w:lang w:eastAsia="en-GB" w:bidi="ar-SA"/>
              </w:rPr>
              <w:fldChar w:fldCharType="end"/>
            </w:r>
          </w:p>
        </w:tc>
      </w:tr>
      <w:tr w:rsidR="00DB19C7" w:rsidRPr="00DB19C7" w14:paraId="51BF2080" w14:textId="55769AF6"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3CB7C59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104</w:t>
            </w:r>
          </w:p>
        </w:tc>
        <w:tc>
          <w:tcPr>
            <w:tcW w:w="1746" w:type="dxa"/>
            <w:tcBorders>
              <w:top w:val="nil"/>
              <w:left w:val="nil"/>
              <w:bottom w:val="single" w:sz="4" w:space="0" w:color="auto"/>
              <w:right w:val="single" w:sz="4" w:space="0" w:color="auto"/>
            </w:tcBorders>
            <w:shd w:val="clear" w:color="auto" w:fill="auto"/>
            <w:noWrap/>
            <w:vAlign w:val="center"/>
            <w:hideMark/>
          </w:tcPr>
          <w:p w14:paraId="7124A79E"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Coal (</w:t>
            </w:r>
            <w:proofErr w:type="spellStart"/>
            <w:r w:rsidRPr="00DB19C7">
              <w:rPr>
                <w:color w:val="auto"/>
                <w:sz w:val="18"/>
                <w:szCs w:val="18"/>
                <w:lang w:eastAsia="en-GB" w:bidi="ar-SA"/>
              </w:rPr>
              <w:t>Tiefa</w:t>
            </w:r>
            <w:proofErr w:type="spellEnd"/>
            <w:r w:rsidRPr="00DB19C7">
              <w:rPr>
                <w:color w:val="auto"/>
                <w:sz w:val="18"/>
                <w:szCs w:val="18"/>
                <w:lang w:eastAsia="en-GB" w:bidi="ar-SA"/>
              </w:rPr>
              <w:t>, China)</w:t>
            </w:r>
          </w:p>
        </w:tc>
        <w:tc>
          <w:tcPr>
            <w:tcW w:w="767" w:type="dxa"/>
            <w:tcBorders>
              <w:top w:val="nil"/>
              <w:left w:val="nil"/>
              <w:bottom w:val="single" w:sz="4" w:space="0" w:color="auto"/>
              <w:right w:val="single" w:sz="4" w:space="0" w:color="auto"/>
            </w:tcBorders>
            <w:shd w:val="clear" w:color="auto" w:fill="auto"/>
            <w:noWrap/>
            <w:vAlign w:val="center"/>
            <w:hideMark/>
          </w:tcPr>
          <w:p w14:paraId="263F5036"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12.37</w:t>
            </w:r>
          </w:p>
        </w:tc>
        <w:tc>
          <w:tcPr>
            <w:tcW w:w="767" w:type="dxa"/>
            <w:tcBorders>
              <w:top w:val="nil"/>
              <w:left w:val="nil"/>
              <w:bottom w:val="single" w:sz="4" w:space="0" w:color="auto"/>
              <w:right w:val="single" w:sz="4" w:space="0" w:color="auto"/>
            </w:tcBorders>
            <w:shd w:val="clear" w:color="auto" w:fill="auto"/>
            <w:noWrap/>
            <w:vAlign w:val="center"/>
            <w:hideMark/>
          </w:tcPr>
          <w:p w14:paraId="65F4EC2D"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55.94</w:t>
            </w:r>
          </w:p>
        </w:tc>
        <w:tc>
          <w:tcPr>
            <w:tcW w:w="1018" w:type="dxa"/>
            <w:tcBorders>
              <w:top w:val="nil"/>
              <w:left w:val="nil"/>
              <w:bottom w:val="single" w:sz="4" w:space="0" w:color="auto"/>
              <w:right w:val="single" w:sz="4" w:space="0" w:color="auto"/>
            </w:tcBorders>
            <w:shd w:val="clear" w:color="auto" w:fill="auto"/>
            <w:noWrap/>
            <w:vAlign w:val="center"/>
            <w:hideMark/>
          </w:tcPr>
          <w:p w14:paraId="00155BE9"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103.4</w:t>
            </w:r>
          </w:p>
        </w:tc>
        <w:tc>
          <w:tcPr>
            <w:tcW w:w="1096" w:type="dxa"/>
            <w:tcBorders>
              <w:top w:val="nil"/>
              <w:left w:val="nil"/>
              <w:bottom w:val="single" w:sz="4" w:space="0" w:color="auto"/>
              <w:right w:val="single" w:sz="4" w:space="0" w:color="auto"/>
            </w:tcBorders>
            <w:shd w:val="clear" w:color="auto" w:fill="auto"/>
            <w:noWrap/>
            <w:hideMark/>
          </w:tcPr>
          <w:p w14:paraId="4E7399CA" w14:textId="435F7C72"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w:t>
            </w:r>
          </w:p>
        </w:tc>
        <w:tc>
          <w:tcPr>
            <w:tcW w:w="767" w:type="dxa"/>
            <w:tcBorders>
              <w:top w:val="nil"/>
              <w:left w:val="nil"/>
              <w:bottom w:val="single" w:sz="4" w:space="0" w:color="auto"/>
              <w:right w:val="single" w:sz="4" w:space="0" w:color="auto"/>
            </w:tcBorders>
            <w:shd w:val="clear" w:color="auto" w:fill="auto"/>
            <w:noWrap/>
            <w:vAlign w:val="center"/>
            <w:hideMark/>
          </w:tcPr>
          <w:p w14:paraId="43DFB14D" w14:textId="2C30646F"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77A1B30E" w14:textId="5789BBC8"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115F295C" w14:textId="59F5D01B"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0AC258E9"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567" w:type="dxa"/>
            <w:tcBorders>
              <w:top w:val="nil"/>
              <w:left w:val="nil"/>
              <w:bottom w:val="single" w:sz="4" w:space="0" w:color="auto"/>
              <w:right w:val="single" w:sz="4" w:space="0" w:color="auto"/>
            </w:tcBorders>
            <w:shd w:val="clear" w:color="auto" w:fill="auto"/>
            <w:noWrap/>
            <w:vAlign w:val="center"/>
            <w:hideMark/>
          </w:tcPr>
          <w:p w14:paraId="5CD995B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1.63</w:t>
            </w:r>
          </w:p>
        </w:tc>
        <w:tc>
          <w:tcPr>
            <w:tcW w:w="1134" w:type="dxa"/>
            <w:tcBorders>
              <w:top w:val="nil"/>
              <w:left w:val="nil"/>
              <w:bottom w:val="single" w:sz="4" w:space="0" w:color="auto"/>
              <w:right w:val="single" w:sz="4" w:space="0" w:color="auto"/>
            </w:tcBorders>
            <w:shd w:val="clear" w:color="auto" w:fill="auto"/>
            <w:noWrap/>
            <w:vAlign w:val="center"/>
            <w:hideMark/>
          </w:tcPr>
          <w:p w14:paraId="22529595"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55413CC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9.76</w:t>
            </w:r>
          </w:p>
        </w:tc>
        <w:tc>
          <w:tcPr>
            <w:tcW w:w="737" w:type="dxa"/>
            <w:tcBorders>
              <w:top w:val="nil"/>
              <w:left w:val="nil"/>
              <w:bottom w:val="single" w:sz="4" w:space="0" w:color="auto"/>
              <w:right w:val="single" w:sz="4" w:space="0" w:color="auto"/>
            </w:tcBorders>
            <w:shd w:val="clear" w:color="auto" w:fill="auto"/>
            <w:noWrap/>
            <w:vAlign w:val="center"/>
            <w:hideMark/>
          </w:tcPr>
          <w:p w14:paraId="42C4D131"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40.97</w:t>
            </w:r>
          </w:p>
        </w:tc>
        <w:tc>
          <w:tcPr>
            <w:tcW w:w="737" w:type="dxa"/>
            <w:tcBorders>
              <w:top w:val="nil"/>
              <w:left w:val="nil"/>
              <w:bottom w:val="single" w:sz="4" w:space="0" w:color="auto"/>
              <w:right w:val="single" w:sz="4" w:space="0" w:color="auto"/>
            </w:tcBorders>
            <w:shd w:val="clear" w:color="auto" w:fill="auto"/>
            <w:noWrap/>
            <w:vAlign w:val="center"/>
            <w:hideMark/>
          </w:tcPr>
          <w:p w14:paraId="139A222A"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28.12</w:t>
            </w:r>
          </w:p>
        </w:tc>
        <w:tc>
          <w:tcPr>
            <w:tcW w:w="737" w:type="dxa"/>
            <w:tcBorders>
              <w:top w:val="nil"/>
              <w:left w:val="nil"/>
              <w:bottom w:val="single" w:sz="4" w:space="0" w:color="auto"/>
              <w:right w:val="single" w:sz="4" w:space="0" w:color="auto"/>
            </w:tcBorders>
            <w:shd w:val="clear" w:color="auto" w:fill="auto"/>
            <w:noWrap/>
            <w:vAlign w:val="center"/>
            <w:hideMark/>
          </w:tcPr>
          <w:p w14:paraId="1B1D652D"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42.44</w:t>
            </w:r>
          </w:p>
        </w:tc>
        <w:tc>
          <w:tcPr>
            <w:tcW w:w="617" w:type="dxa"/>
            <w:tcBorders>
              <w:top w:val="single" w:sz="4" w:space="0" w:color="auto"/>
              <w:left w:val="nil"/>
              <w:bottom w:val="single" w:sz="4" w:space="0" w:color="auto"/>
              <w:right w:val="single" w:sz="4" w:space="0" w:color="auto"/>
            </w:tcBorders>
            <w:vAlign w:val="center"/>
          </w:tcPr>
          <w:p w14:paraId="17E32F35" w14:textId="44A861B1"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{"citationItems":[{"id":"ITEM-1","itemData":{"DOI":"10.1016/j.powtec.2016.01.035","ISSN":"1873328X","abstract":"In the present research work, the effects of particle size (D50) and size dispersity (σD) on the explosion severity of coal dust were investigated using a 20 L spherical explosion vessel. Coal dust samples with similar median diameter (D50) and different size dispersity (σD) and similar size dispersity (σD) and different size diameter (D50) were specially prepared by mixing original coal samples having a narrow size distribution. The explosion severity of each sample was evaluated by measuring the maximum pressure (Pmax) and the maximum rate of pressure rise ((dP/dt)max). Interestingly, results show that almost all of the selected coal dusts present the same optimum explosion concentration of 250 g/m3. The parameters of Pmax and (dP/dt)max show an increasing trend in explosion severity as size dispersity (σD) and particle size (D50) decrease, which indicate a more notable effect due to the contribution of finer coal particles on the dust cloud deflagration dynamics. The higher the volatile matter content, the more severe is the explosion. The presence of the finer particles would greatly increase the total effective specific surface area and speed up the devolatilization rate, which would cause acceleration of the dust explosion process. Furthermore, the effects of dust concentration on the explosion process were analyzed by comparing the defined time span (τ1) from ignition point to reach (dP/dt)max point and time span (τ2) from (dP/dt)max point to reach Pmax point. For the coal dust with lower D50 and lower σD, τ1 and τ2 are always short. Under lower coal dust concentration condition (&lt;250 g/m3), τ1 and τ2 present a stronger dependence on σD and dust concentration. However, the effect of σD and dust concentration on τ1 and τ2 becomes weak for the higher coal dust clouds (&gt;250 g/m3). Results indicated that the evaluation of coal dust explosion hazard should be considered in terms of not only dust concentration, but also particle size (D50) and size dispersity (σD).","author":[{"dropping-particle":"","family":"Li","given":"Qingzhao","non-dropping-particle":"","parse-names":false,"suffix":""},{"dropping-particle":"","family":"Wang","given":"Ke","non-dropping-particle":"","parse-names":false,"suffix":""},{"dropping-particle":"","family":"Zheng","given":"Yuannan","non-dropping-particle":"","parse-names":false,"suffix":""},{"dropping-particle":"","family":"Ruan","given":"Maliang","non-dropping-particle":"","parse-names":false,"suffix":""},{"dropping-particle":"","family":"Mei","given":"Xiaoning","non-dropping-particle":"","parse-names":false,"suffix":""},{"dropping-particle":"","family":"Lin","given":"Baiquan","non-dropping-particle":"","parse-names":false,"suffix":""}],"container-title":"Powder Technology","id":"ITEM-1","issued":{"date-parts":[["2016"]]},"title":"Experimental research of particle size and size dispersity on the explosibility characteristics of coal dust","type":"article-journal"},"uris":["http://www.mendeley.com/documents/?uuid=9ab36ac8-1259-46d4-8217-62838c14a76a"]}],"mendeley":{"formattedCitation":"[46]","plainTextFormattedCitation":"[46]","previouslyFormattedCitation":"[46]"},"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[46]</w:t>
            </w:r>
            <w:r w:rsidRPr="00DB19C7">
              <w:rPr>
                <w:color w:val="auto"/>
                <w:sz w:val="18"/>
                <w:szCs w:val="18"/>
                <w:lang w:eastAsia="en-GB" w:bidi="ar-SA"/>
              </w:rPr>
              <w:fldChar w:fldCharType="end"/>
            </w:r>
          </w:p>
        </w:tc>
      </w:tr>
      <w:tr w:rsidR="00DB19C7" w:rsidRPr="00DB19C7" w14:paraId="529340AB" w14:textId="6BBAB7F6"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2C4EAE56"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105</w:t>
            </w:r>
          </w:p>
        </w:tc>
        <w:tc>
          <w:tcPr>
            <w:tcW w:w="1746" w:type="dxa"/>
            <w:tcBorders>
              <w:top w:val="nil"/>
              <w:left w:val="nil"/>
              <w:bottom w:val="single" w:sz="4" w:space="0" w:color="auto"/>
              <w:right w:val="single" w:sz="4" w:space="0" w:color="auto"/>
            </w:tcBorders>
            <w:shd w:val="clear" w:color="auto" w:fill="auto"/>
            <w:noWrap/>
            <w:vAlign w:val="center"/>
            <w:hideMark/>
          </w:tcPr>
          <w:p w14:paraId="6182D8EE"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Coal (</w:t>
            </w:r>
            <w:proofErr w:type="spellStart"/>
            <w:r w:rsidRPr="00DB19C7">
              <w:rPr>
                <w:color w:val="auto"/>
                <w:sz w:val="18"/>
                <w:szCs w:val="18"/>
                <w:lang w:eastAsia="en-GB" w:bidi="ar-SA"/>
              </w:rPr>
              <w:t>Tiefa</w:t>
            </w:r>
            <w:proofErr w:type="spellEnd"/>
            <w:r w:rsidRPr="00DB19C7">
              <w:rPr>
                <w:color w:val="auto"/>
                <w:sz w:val="18"/>
                <w:szCs w:val="18"/>
                <w:lang w:eastAsia="en-GB" w:bidi="ar-SA"/>
              </w:rPr>
              <w:t>, China)</w:t>
            </w:r>
          </w:p>
        </w:tc>
        <w:tc>
          <w:tcPr>
            <w:tcW w:w="767" w:type="dxa"/>
            <w:tcBorders>
              <w:top w:val="nil"/>
              <w:left w:val="nil"/>
              <w:bottom w:val="single" w:sz="4" w:space="0" w:color="auto"/>
              <w:right w:val="single" w:sz="4" w:space="0" w:color="auto"/>
            </w:tcBorders>
            <w:shd w:val="clear" w:color="auto" w:fill="auto"/>
            <w:noWrap/>
            <w:vAlign w:val="center"/>
            <w:hideMark/>
          </w:tcPr>
          <w:p w14:paraId="73C90B6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9.63</w:t>
            </w:r>
          </w:p>
        </w:tc>
        <w:tc>
          <w:tcPr>
            <w:tcW w:w="767" w:type="dxa"/>
            <w:tcBorders>
              <w:top w:val="nil"/>
              <w:left w:val="nil"/>
              <w:bottom w:val="single" w:sz="4" w:space="0" w:color="auto"/>
              <w:right w:val="single" w:sz="4" w:space="0" w:color="auto"/>
            </w:tcBorders>
            <w:shd w:val="clear" w:color="auto" w:fill="auto"/>
            <w:noWrap/>
            <w:vAlign w:val="center"/>
            <w:hideMark/>
          </w:tcPr>
          <w:p w14:paraId="02C88D86"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37.33</w:t>
            </w:r>
          </w:p>
        </w:tc>
        <w:tc>
          <w:tcPr>
            <w:tcW w:w="1018" w:type="dxa"/>
            <w:tcBorders>
              <w:top w:val="nil"/>
              <w:left w:val="nil"/>
              <w:bottom w:val="single" w:sz="4" w:space="0" w:color="auto"/>
              <w:right w:val="single" w:sz="4" w:space="0" w:color="auto"/>
            </w:tcBorders>
            <w:shd w:val="clear" w:color="auto" w:fill="auto"/>
            <w:noWrap/>
            <w:vAlign w:val="center"/>
            <w:hideMark/>
          </w:tcPr>
          <w:p w14:paraId="62EA0C3E"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71.95</w:t>
            </w:r>
          </w:p>
        </w:tc>
        <w:tc>
          <w:tcPr>
            <w:tcW w:w="1096" w:type="dxa"/>
            <w:tcBorders>
              <w:top w:val="nil"/>
              <w:left w:val="nil"/>
              <w:bottom w:val="single" w:sz="4" w:space="0" w:color="auto"/>
              <w:right w:val="single" w:sz="4" w:space="0" w:color="auto"/>
            </w:tcBorders>
            <w:shd w:val="clear" w:color="auto" w:fill="auto"/>
            <w:noWrap/>
            <w:hideMark/>
          </w:tcPr>
          <w:p w14:paraId="47E49A11" w14:textId="4ED23FD6"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w:t>
            </w:r>
          </w:p>
        </w:tc>
        <w:tc>
          <w:tcPr>
            <w:tcW w:w="767" w:type="dxa"/>
            <w:tcBorders>
              <w:top w:val="nil"/>
              <w:left w:val="nil"/>
              <w:bottom w:val="single" w:sz="4" w:space="0" w:color="auto"/>
              <w:right w:val="single" w:sz="4" w:space="0" w:color="auto"/>
            </w:tcBorders>
            <w:shd w:val="clear" w:color="auto" w:fill="auto"/>
            <w:noWrap/>
            <w:vAlign w:val="center"/>
            <w:hideMark/>
          </w:tcPr>
          <w:p w14:paraId="27F74C1A" w14:textId="463D7D97"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552F57B0" w14:textId="4007E545"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1443D767" w14:textId="09F352A0"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09AB4371"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567" w:type="dxa"/>
            <w:tcBorders>
              <w:top w:val="nil"/>
              <w:left w:val="nil"/>
              <w:bottom w:val="single" w:sz="4" w:space="0" w:color="auto"/>
              <w:right w:val="single" w:sz="4" w:space="0" w:color="auto"/>
            </w:tcBorders>
            <w:shd w:val="clear" w:color="auto" w:fill="auto"/>
            <w:noWrap/>
            <w:vAlign w:val="center"/>
            <w:hideMark/>
          </w:tcPr>
          <w:p w14:paraId="0A47024C"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1.67</w:t>
            </w:r>
          </w:p>
        </w:tc>
        <w:tc>
          <w:tcPr>
            <w:tcW w:w="1134" w:type="dxa"/>
            <w:tcBorders>
              <w:top w:val="nil"/>
              <w:left w:val="nil"/>
              <w:bottom w:val="single" w:sz="4" w:space="0" w:color="auto"/>
              <w:right w:val="single" w:sz="4" w:space="0" w:color="auto"/>
            </w:tcBorders>
            <w:shd w:val="clear" w:color="auto" w:fill="auto"/>
            <w:noWrap/>
            <w:vAlign w:val="center"/>
            <w:hideMark/>
          </w:tcPr>
          <w:p w14:paraId="612FD295"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02AE8815"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9.76</w:t>
            </w:r>
          </w:p>
        </w:tc>
        <w:tc>
          <w:tcPr>
            <w:tcW w:w="737" w:type="dxa"/>
            <w:tcBorders>
              <w:top w:val="nil"/>
              <w:left w:val="nil"/>
              <w:bottom w:val="single" w:sz="4" w:space="0" w:color="auto"/>
              <w:right w:val="single" w:sz="4" w:space="0" w:color="auto"/>
            </w:tcBorders>
            <w:shd w:val="clear" w:color="auto" w:fill="auto"/>
            <w:noWrap/>
            <w:vAlign w:val="center"/>
            <w:hideMark/>
          </w:tcPr>
          <w:p w14:paraId="7CA73AF5"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40.97</w:t>
            </w:r>
          </w:p>
        </w:tc>
        <w:tc>
          <w:tcPr>
            <w:tcW w:w="737" w:type="dxa"/>
            <w:tcBorders>
              <w:top w:val="nil"/>
              <w:left w:val="nil"/>
              <w:bottom w:val="single" w:sz="4" w:space="0" w:color="auto"/>
              <w:right w:val="single" w:sz="4" w:space="0" w:color="auto"/>
            </w:tcBorders>
            <w:shd w:val="clear" w:color="auto" w:fill="auto"/>
            <w:noWrap/>
            <w:vAlign w:val="center"/>
            <w:hideMark/>
          </w:tcPr>
          <w:p w14:paraId="368DC517"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28.12</w:t>
            </w:r>
          </w:p>
        </w:tc>
        <w:tc>
          <w:tcPr>
            <w:tcW w:w="737" w:type="dxa"/>
            <w:tcBorders>
              <w:top w:val="nil"/>
              <w:left w:val="nil"/>
              <w:bottom w:val="single" w:sz="4" w:space="0" w:color="auto"/>
              <w:right w:val="single" w:sz="4" w:space="0" w:color="auto"/>
            </w:tcBorders>
            <w:shd w:val="clear" w:color="auto" w:fill="auto"/>
            <w:noWrap/>
            <w:vAlign w:val="center"/>
            <w:hideMark/>
          </w:tcPr>
          <w:p w14:paraId="77CEC61D"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42.44</w:t>
            </w:r>
          </w:p>
        </w:tc>
        <w:tc>
          <w:tcPr>
            <w:tcW w:w="617" w:type="dxa"/>
            <w:tcBorders>
              <w:top w:val="single" w:sz="4" w:space="0" w:color="auto"/>
              <w:left w:val="nil"/>
              <w:bottom w:val="single" w:sz="4" w:space="0" w:color="auto"/>
              <w:right w:val="single" w:sz="4" w:space="0" w:color="auto"/>
            </w:tcBorders>
            <w:vAlign w:val="center"/>
          </w:tcPr>
          <w:p w14:paraId="7084A7F7" w14:textId="0AB88C0F"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{"citationItems":[{"id":"ITEM-1","itemData":{"DOI":"10.1016/j.powtec.2016.01.035","ISSN":"1873328X","a</w:instrText>
            </w:r>
            <w:r w:rsidRPr="00DB19C7">
              <w:rPr>
                <w:color w:val="auto"/>
                <w:sz w:val="18"/>
                <w:szCs w:val="18"/>
                <w:lang w:val="it-IT" w:eastAsia="en-GB" w:bidi="ar-SA"/>
              </w:rPr>
              <w:instrText>bstract":"In the present research work, the effects of particle size (D50) and size dispersity (σD) on the explosion severity of coal dust were investigated using a 20 L spherical explosion vessel. Coal dust samples with similar median diameter (D50) and different size dispersity (σD) and similar size dispersity (σD) and different size diameter (D50) were specially prepared by mixing original coal samples having a narrow size distribution. The explosion severity of each sample was evaluated by measuring the maximum pressure (Pmax) and the maximum rate of pressure rise ((dP/dt)max). Interestingly, results show that almost all of the selected coal dusts present the same optimum explosion concentration of 250 g/m3. The parameters of Pmax and (dP/dt)max show an increasing trend in explosion severity as size dispersity (σD) and particle size (D50) decrease, which indicate a more notable effect due to the contribution of finer coal particles on the dust cloud deflagration dynamics. The higher the volatile matter content, the more severe is the explosion. The presence of the finer particles would greatly increase the total effective specific surface area and speed up the devolatilization rate, which would cause acceleration of the dust explosion process. Furthermore, the effects of dust concentration on the explosion process were analyzed by comparing the defined time span (τ1) from ignition point to reach (dP/dt)max point and time span (τ2) from (dP/dt)max point to reach Pmax point. For the coal dust with lower D50 and lower σD, τ1 and τ2 are always short. Under lower coal dust concentration condition (&lt;250 g/m3), τ1 and τ2 present a stronger dependence on σD and dust concentration. However, the effect of σD and dust concentration on τ1 and τ2 becomes weak</w:instrText>
            </w:r>
            <w:r w:rsidRPr="00DB19C7">
              <w:rPr>
                <w:color w:val="auto"/>
                <w:sz w:val="18"/>
                <w:szCs w:val="18"/>
                <w:lang w:eastAsia="en-GB" w:bidi="ar-SA"/>
              </w:rPr>
              <w:instrText xml:space="preserve"> for the higher coal dust clouds (&gt;250 g/m3). Results indicated that the evaluation of coal dust explosion hazard should be considered in terms of not only dust concentration, but also particle size (D50) and size dispersity (</w:instrText>
            </w:r>
            <w:r w:rsidRPr="00DB19C7">
              <w:rPr>
                <w:color w:val="auto"/>
                <w:sz w:val="18"/>
                <w:szCs w:val="18"/>
                <w:lang w:val="it-IT" w:eastAsia="en-GB" w:bidi="ar-SA"/>
              </w:rPr>
              <w:instrText>σ</w:instrText>
            </w:r>
            <w:r w:rsidRPr="00DB19C7">
              <w:rPr>
                <w:color w:val="auto"/>
                <w:sz w:val="18"/>
                <w:szCs w:val="18"/>
                <w:lang w:eastAsia="en-GB" w:bidi="ar-SA"/>
              </w:rPr>
              <w:instrText>D).","author":[{"dropping-particle":"","family":"Li","given":"Qingzhao","non-dropping-particle":"","parse-names":false,"suffix":""},{"dropping-particle":"","family":"Wang","given":"Ke","non-dropping-particle":"","parse-names":false,"suffix":""},{"dropping-particle":"","family":"Zheng","given":"Yuannan","non-dropping-particle":"","parse-names":false,"suffix":""},{"dropping-particle":"","family":"Ruan","given":"Maliang","non-dropping-particle":"","parse-names":false,"suffix":""},{"dropping-particle":"","family":"Mei","given":"Xiaoning","non-dropping-particle":"","parse-names":false,"suffix":""},{"dropping-particle":"","family":"Lin","given":"Baiquan","non-dropping-particle":"","parse-names":false,"suffix":""}],"container-title":"Powder Technology","id":"ITEM-1","issued":{"date-parts":[["2016"]]},"title":"Experimental research of particle size and size dispersity on the explosibility characteristics of coal dust","type":"article-journal"},"uris":["http://www.mendeley.com/documents/?uuid=9ab36ac8-1259-46d4-8217-62838c14a76a"]}],"mendeley":{"formattedCitation":"[46]","plainTextFormattedCitation":"[46]","previouslyFormattedCitation":"[46]"},"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[46]</w:t>
            </w:r>
            <w:r w:rsidRPr="00DB19C7">
              <w:rPr>
                <w:color w:val="auto"/>
                <w:sz w:val="18"/>
                <w:szCs w:val="18"/>
                <w:lang w:eastAsia="en-GB" w:bidi="ar-SA"/>
              </w:rPr>
              <w:fldChar w:fldCharType="end"/>
            </w:r>
          </w:p>
        </w:tc>
      </w:tr>
      <w:tr w:rsidR="00DB19C7" w:rsidRPr="00DB19C7" w14:paraId="60AD7704" w14:textId="56C91891"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7624BCF4"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106</w:t>
            </w:r>
          </w:p>
        </w:tc>
        <w:tc>
          <w:tcPr>
            <w:tcW w:w="1746" w:type="dxa"/>
            <w:tcBorders>
              <w:top w:val="nil"/>
              <w:left w:val="nil"/>
              <w:bottom w:val="single" w:sz="4" w:space="0" w:color="auto"/>
              <w:right w:val="single" w:sz="4" w:space="0" w:color="auto"/>
            </w:tcBorders>
            <w:shd w:val="clear" w:color="auto" w:fill="auto"/>
            <w:noWrap/>
            <w:vAlign w:val="center"/>
            <w:hideMark/>
          </w:tcPr>
          <w:p w14:paraId="7A71DEDD"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Coal (UK)</w:t>
            </w:r>
          </w:p>
        </w:tc>
        <w:tc>
          <w:tcPr>
            <w:tcW w:w="767" w:type="dxa"/>
            <w:tcBorders>
              <w:top w:val="nil"/>
              <w:left w:val="nil"/>
              <w:bottom w:val="single" w:sz="4" w:space="0" w:color="auto"/>
              <w:right w:val="single" w:sz="4" w:space="0" w:color="auto"/>
            </w:tcBorders>
            <w:shd w:val="clear" w:color="auto" w:fill="auto"/>
            <w:noWrap/>
            <w:vAlign w:val="center"/>
            <w:hideMark/>
          </w:tcPr>
          <w:p w14:paraId="7D7FB8CC" w14:textId="56B56D56" w:rsidR="002B4066" w:rsidRPr="00DB19C7" w:rsidRDefault="002B4066" w:rsidP="002B4066">
            <w:pPr>
              <w:adjustRightInd/>
              <w:snapToGrid/>
              <w:spacing w:line="240" w:lineRule="auto"/>
              <w:jc w:val="center"/>
              <w:rPr>
                <w:color w:val="auto"/>
                <w:sz w:val="18"/>
                <w:szCs w:val="18"/>
                <w:lang w:eastAsia="en-GB" w:bidi="ar-SA"/>
              </w:rPr>
            </w:pPr>
          </w:p>
        </w:tc>
        <w:tc>
          <w:tcPr>
            <w:tcW w:w="767" w:type="dxa"/>
            <w:tcBorders>
              <w:top w:val="nil"/>
              <w:left w:val="nil"/>
              <w:bottom w:val="single" w:sz="4" w:space="0" w:color="auto"/>
              <w:right w:val="single" w:sz="4" w:space="0" w:color="auto"/>
            </w:tcBorders>
            <w:shd w:val="clear" w:color="auto" w:fill="auto"/>
            <w:noWrap/>
            <w:vAlign w:val="center"/>
            <w:hideMark/>
          </w:tcPr>
          <w:p w14:paraId="27E15555"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45.9</w:t>
            </w:r>
          </w:p>
        </w:tc>
        <w:tc>
          <w:tcPr>
            <w:tcW w:w="1018" w:type="dxa"/>
            <w:tcBorders>
              <w:top w:val="nil"/>
              <w:left w:val="nil"/>
              <w:bottom w:val="single" w:sz="4" w:space="0" w:color="auto"/>
              <w:right w:val="single" w:sz="4" w:space="0" w:color="auto"/>
            </w:tcBorders>
            <w:shd w:val="clear" w:color="auto" w:fill="auto"/>
            <w:noWrap/>
            <w:vAlign w:val="center"/>
            <w:hideMark/>
          </w:tcPr>
          <w:p w14:paraId="0A937506" w14:textId="09305257" w:rsidR="002B4066" w:rsidRPr="00DB19C7" w:rsidRDefault="002B4066" w:rsidP="002B4066">
            <w:pPr>
              <w:adjustRightInd/>
              <w:snapToGrid/>
              <w:spacing w:line="240" w:lineRule="auto"/>
              <w:jc w:val="center"/>
              <w:rPr>
                <w:color w:val="auto"/>
                <w:sz w:val="18"/>
                <w:szCs w:val="18"/>
                <w:lang w:eastAsia="en-GB" w:bidi="ar-SA"/>
              </w:rPr>
            </w:pPr>
          </w:p>
        </w:tc>
        <w:tc>
          <w:tcPr>
            <w:tcW w:w="1096" w:type="dxa"/>
            <w:tcBorders>
              <w:top w:val="nil"/>
              <w:left w:val="nil"/>
              <w:bottom w:val="single" w:sz="4" w:space="0" w:color="auto"/>
              <w:right w:val="single" w:sz="4" w:space="0" w:color="auto"/>
            </w:tcBorders>
            <w:shd w:val="clear" w:color="auto" w:fill="auto"/>
            <w:noWrap/>
            <w:vAlign w:val="center"/>
            <w:hideMark/>
          </w:tcPr>
          <w:p w14:paraId="55FD242C" w14:textId="5140D95D"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6B618047"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55.3</w:t>
            </w:r>
          </w:p>
        </w:tc>
        <w:tc>
          <w:tcPr>
            <w:tcW w:w="765" w:type="dxa"/>
            <w:tcBorders>
              <w:top w:val="nil"/>
              <w:left w:val="nil"/>
              <w:bottom w:val="single" w:sz="4" w:space="0" w:color="auto"/>
              <w:right w:val="single" w:sz="4" w:space="0" w:color="auto"/>
            </w:tcBorders>
            <w:shd w:val="clear" w:color="auto" w:fill="auto"/>
            <w:noWrap/>
            <w:vAlign w:val="center"/>
            <w:hideMark/>
          </w:tcPr>
          <w:p w14:paraId="16830AE6"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19.5</w:t>
            </w:r>
          </w:p>
        </w:tc>
        <w:tc>
          <w:tcPr>
            <w:tcW w:w="1199" w:type="dxa"/>
            <w:tcBorders>
              <w:top w:val="nil"/>
              <w:left w:val="nil"/>
              <w:bottom w:val="single" w:sz="4" w:space="0" w:color="auto"/>
              <w:right w:val="single" w:sz="4" w:space="0" w:color="auto"/>
            </w:tcBorders>
            <w:shd w:val="clear" w:color="auto" w:fill="auto"/>
            <w:noWrap/>
            <w:vAlign w:val="center"/>
            <w:hideMark/>
          </w:tcPr>
          <w:p w14:paraId="3C45CAA2" w14:textId="691E4096"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0.307</w:t>
            </w:r>
          </w:p>
        </w:tc>
        <w:tc>
          <w:tcPr>
            <w:tcW w:w="1137" w:type="dxa"/>
            <w:tcBorders>
              <w:top w:val="nil"/>
              <w:left w:val="nil"/>
              <w:bottom w:val="single" w:sz="4" w:space="0" w:color="auto"/>
              <w:right w:val="single" w:sz="4" w:space="0" w:color="auto"/>
            </w:tcBorders>
            <w:shd w:val="clear" w:color="auto" w:fill="auto"/>
            <w:noWrap/>
            <w:vAlign w:val="center"/>
            <w:hideMark/>
          </w:tcPr>
          <w:p w14:paraId="5C7B81B7"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567" w:type="dxa"/>
            <w:tcBorders>
              <w:top w:val="nil"/>
              <w:left w:val="nil"/>
              <w:bottom w:val="single" w:sz="4" w:space="0" w:color="auto"/>
              <w:right w:val="single" w:sz="4" w:space="0" w:color="auto"/>
            </w:tcBorders>
            <w:shd w:val="clear" w:color="auto" w:fill="auto"/>
            <w:noWrap/>
            <w:vAlign w:val="center"/>
            <w:hideMark/>
          </w:tcPr>
          <w:p w14:paraId="092C33A8" w14:textId="1DD37BC5"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7FC67644"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7BB3FE6B" w14:textId="553FF5D4"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4334487B" w14:textId="11C6A7E0"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47CD6908" w14:textId="0D22F865"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2E432349" w14:textId="11A00121"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72ADD4CB" w14:textId="64E1DD3C"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{"citationItems":[{"id":"ITEM-1","itemData":{"DOI":"10.1007/s10694-018-0782-3","ISSN":"1572-8099","abstra</w:instrText>
            </w:r>
            <w:r w:rsidRPr="00DB19C7">
              <w:rPr>
                <w:color w:val="auto"/>
                <w:sz w:val="18"/>
                <w:szCs w:val="18"/>
                <w:lang w:val="es-ES" w:eastAsia="en-GB" w:bidi="ar-SA"/>
              </w:rPr>
              <w:instrText>ct":"Dust layers are present in every industrial facility where solid materials are generated or processed. The emergence of new fuels with still unknown flammability properties generates an increase on the risks related with these facilities that needs to be further studied. Most of these biomasses are susceptible to exothermically react, acting as an ignition source and causing fires and explosions. One of the most common causes of explosions is the ignition of dust layers deposited on the equipment, which could be avoided by a better understanding of the materials. However, the ignitability of these layers depend on several parameters as the particle size and the density of the deposited materials. This paper reports experimental work on hot surface ignition temperatures of layers of different fuels, both biofuels, such as wood or sewage sludge, and fossil fuels, coal and coke. It shows that the common practices that are well-known for fossil fuels cannot be directly extrapolated to new fuels. Unlike fossil fuels, wood-based materials present the same ignition risk in dust and bulk size, so an increase on the particle size does not ensure a safer work space. Furthermore, compacting these materials can increase the ignition risk of these type of layers, contrary t</w:instrText>
            </w:r>
            <w:r w:rsidRPr="00DB19C7">
              <w:rPr>
                <w:color w:val="auto"/>
                <w:sz w:val="18"/>
                <w:szCs w:val="18"/>
                <w:lang w:eastAsia="en-GB" w:bidi="ar-SA"/>
              </w:rPr>
              <w:instrText>o the common practices for fossil fuels storages. These differences point out the need of a complete characterisation of each material to ensure a safe working facility.","author":[{"dropping-particle":"","family":"Fernandez-Anez","given":"Nieves","non-dropping-particle":"","parse-names":false,"suffix":""},{"dropping-particle":"","family":"Garcia-Torrent","given":"Javier","non-dropping-particle":"","parse-names":false,"suffix":""}],"container-title":"Fire Technology","id":"ITEM-1","issue":"1","issued":{"date-parts":[["2019"]]},"page":"175-191","title":"Influence of Particle Size and Density on the Hot Surface Ignition of Solid Fuel Layers","type":"article-journal","volume":"55"},"uris":["http://www.mendeley.com/documents/?uuid=f107a61e-81cb-4767-8f95-3d5cff660de0"]}],"mendeley":{"formattedCitation":"[28]","plainTextFormattedCitation":"[28]","previouslyFormattedCitation":"[28]"},"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[28]</w:t>
            </w:r>
            <w:r w:rsidRPr="00DB19C7">
              <w:rPr>
                <w:color w:val="auto"/>
                <w:sz w:val="18"/>
                <w:szCs w:val="18"/>
                <w:lang w:eastAsia="en-GB" w:bidi="ar-SA"/>
              </w:rPr>
              <w:fldChar w:fldCharType="end"/>
            </w:r>
          </w:p>
        </w:tc>
      </w:tr>
      <w:tr w:rsidR="00DB19C7" w:rsidRPr="00DB19C7" w14:paraId="1CC348EF" w14:textId="1C696870"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79BBC9F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107</w:t>
            </w:r>
          </w:p>
        </w:tc>
        <w:tc>
          <w:tcPr>
            <w:tcW w:w="1746" w:type="dxa"/>
            <w:tcBorders>
              <w:top w:val="nil"/>
              <w:left w:val="nil"/>
              <w:bottom w:val="single" w:sz="4" w:space="0" w:color="auto"/>
              <w:right w:val="single" w:sz="4" w:space="0" w:color="auto"/>
            </w:tcBorders>
            <w:shd w:val="clear" w:color="auto" w:fill="auto"/>
            <w:noWrap/>
            <w:vAlign w:val="center"/>
            <w:hideMark/>
          </w:tcPr>
          <w:p w14:paraId="343EF533"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Coke (Spain)</w:t>
            </w:r>
          </w:p>
        </w:tc>
        <w:tc>
          <w:tcPr>
            <w:tcW w:w="767" w:type="dxa"/>
            <w:tcBorders>
              <w:top w:val="nil"/>
              <w:left w:val="nil"/>
              <w:bottom w:val="single" w:sz="4" w:space="0" w:color="auto"/>
              <w:right w:val="single" w:sz="4" w:space="0" w:color="auto"/>
            </w:tcBorders>
            <w:shd w:val="clear" w:color="auto" w:fill="auto"/>
            <w:noWrap/>
            <w:vAlign w:val="center"/>
            <w:hideMark/>
          </w:tcPr>
          <w:p w14:paraId="6E51667D" w14:textId="4257F893" w:rsidR="002B4066" w:rsidRPr="00DB19C7" w:rsidRDefault="002B4066" w:rsidP="002B4066">
            <w:pPr>
              <w:adjustRightInd/>
              <w:snapToGrid/>
              <w:spacing w:line="240" w:lineRule="auto"/>
              <w:jc w:val="center"/>
              <w:rPr>
                <w:color w:val="auto"/>
                <w:sz w:val="18"/>
                <w:szCs w:val="18"/>
                <w:lang w:eastAsia="en-GB" w:bidi="ar-SA"/>
              </w:rPr>
            </w:pPr>
          </w:p>
        </w:tc>
        <w:tc>
          <w:tcPr>
            <w:tcW w:w="767" w:type="dxa"/>
            <w:tcBorders>
              <w:top w:val="nil"/>
              <w:left w:val="nil"/>
              <w:bottom w:val="single" w:sz="4" w:space="0" w:color="auto"/>
              <w:right w:val="single" w:sz="4" w:space="0" w:color="auto"/>
            </w:tcBorders>
            <w:shd w:val="clear" w:color="auto" w:fill="auto"/>
            <w:noWrap/>
            <w:vAlign w:val="center"/>
            <w:hideMark/>
          </w:tcPr>
          <w:p w14:paraId="43D5B5C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77.4</w:t>
            </w:r>
          </w:p>
        </w:tc>
        <w:tc>
          <w:tcPr>
            <w:tcW w:w="1018" w:type="dxa"/>
            <w:tcBorders>
              <w:top w:val="nil"/>
              <w:left w:val="nil"/>
              <w:bottom w:val="single" w:sz="4" w:space="0" w:color="auto"/>
              <w:right w:val="single" w:sz="4" w:space="0" w:color="auto"/>
            </w:tcBorders>
            <w:shd w:val="clear" w:color="auto" w:fill="auto"/>
            <w:noWrap/>
            <w:vAlign w:val="center"/>
            <w:hideMark/>
          </w:tcPr>
          <w:p w14:paraId="78AAA020" w14:textId="43E7F1F9" w:rsidR="002B4066" w:rsidRPr="00DB19C7" w:rsidRDefault="002B4066" w:rsidP="002B4066">
            <w:pPr>
              <w:adjustRightInd/>
              <w:snapToGrid/>
              <w:spacing w:line="240" w:lineRule="auto"/>
              <w:jc w:val="center"/>
              <w:rPr>
                <w:color w:val="auto"/>
                <w:sz w:val="18"/>
                <w:szCs w:val="18"/>
                <w:lang w:eastAsia="en-GB" w:bidi="ar-SA"/>
              </w:rPr>
            </w:pPr>
          </w:p>
        </w:tc>
        <w:tc>
          <w:tcPr>
            <w:tcW w:w="1096" w:type="dxa"/>
            <w:tcBorders>
              <w:top w:val="nil"/>
              <w:left w:val="nil"/>
              <w:bottom w:val="single" w:sz="4" w:space="0" w:color="auto"/>
              <w:right w:val="single" w:sz="4" w:space="0" w:color="auto"/>
            </w:tcBorders>
            <w:shd w:val="clear" w:color="auto" w:fill="auto"/>
            <w:noWrap/>
            <w:vAlign w:val="center"/>
            <w:hideMark/>
          </w:tcPr>
          <w:p w14:paraId="44CDE4DC" w14:textId="022582AB"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29D1A1DE"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90.6</w:t>
            </w:r>
          </w:p>
        </w:tc>
        <w:tc>
          <w:tcPr>
            <w:tcW w:w="765" w:type="dxa"/>
            <w:tcBorders>
              <w:top w:val="nil"/>
              <w:left w:val="nil"/>
              <w:bottom w:val="single" w:sz="4" w:space="0" w:color="auto"/>
              <w:right w:val="single" w:sz="4" w:space="0" w:color="auto"/>
            </w:tcBorders>
            <w:shd w:val="clear" w:color="auto" w:fill="auto"/>
            <w:noWrap/>
            <w:vAlign w:val="center"/>
            <w:hideMark/>
          </w:tcPr>
          <w:p w14:paraId="6A3B823C"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23.2</w:t>
            </w:r>
          </w:p>
        </w:tc>
        <w:tc>
          <w:tcPr>
            <w:tcW w:w="1199" w:type="dxa"/>
            <w:tcBorders>
              <w:top w:val="nil"/>
              <w:left w:val="nil"/>
              <w:bottom w:val="single" w:sz="4" w:space="0" w:color="auto"/>
              <w:right w:val="single" w:sz="4" w:space="0" w:color="auto"/>
            </w:tcBorders>
            <w:shd w:val="clear" w:color="auto" w:fill="auto"/>
            <w:noWrap/>
            <w:vAlign w:val="center"/>
            <w:hideMark/>
          </w:tcPr>
          <w:p w14:paraId="080027AB" w14:textId="544A6855"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0.258</w:t>
            </w:r>
          </w:p>
        </w:tc>
        <w:tc>
          <w:tcPr>
            <w:tcW w:w="1137" w:type="dxa"/>
            <w:tcBorders>
              <w:top w:val="nil"/>
              <w:left w:val="nil"/>
              <w:bottom w:val="single" w:sz="4" w:space="0" w:color="auto"/>
              <w:right w:val="single" w:sz="4" w:space="0" w:color="auto"/>
            </w:tcBorders>
            <w:shd w:val="clear" w:color="auto" w:fill="auto"/>
            <w:noWrap/>
            <w:vAlign w:val="center"/>
            <w:hideMark/>
          </w:tcPr>
          <w:p w14:paraId="08FE85DE"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567" w:type="dxa"/>
            <w:tcBorders>
              <w:top w:val="nil"/>
              <w:left w:val="nil"/>
              <w:bottom w:val="single" w:sz="4" w:space="0" w:color="auto"/>
              <w:right w:val="single" w:sz="4" w:space="0" w:color="auto"/>
            </w:tcBorders>
            <w:shd w:val="clear" w:color="auto" w:fill="auto"/>
            <w:noWrap/>
            <w:vAlign w:val="center"/>
            <w:hideMark/>
          </w:tcPr>
          <w:p w14:paraId="276258B6" w14:textId="343ABDBE"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02F20767"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1A12A042" w14:textId="4C8DE529"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579AD367" w14:textId="7A9D2624"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69ACF593" w14:textId="79CD2185"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2B55FC78" w14:textId="4D8BE1A1"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41EB6CC5" w14:textId="47F13311"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{"citationItems":[{"id":"ITEM-1","itemData":{"DOI":"10.1007/s10694-018-0782-3","ISSN":"1572-8099","abstract":"Dust layers are present in every industrial facility where solid materials are generated or processed. The emergence of new fuels with still unknown flammability properties generates an increase on the risks related with these facilities that needs to be further studied. Most of these biomasses are susceptible to exothermically react, acting as an ignition source and causing fires and explosions. One of the most common causes of explosions is the ignition of dust layers deposited on the equipment, which could be avoided by a better understanding of the materials. However, the ignitability of these layers depend on several parameters as the particle size and the density of the deposited materials. This paper reports experimental work on hot surface ignition temperatures of layers of different fuels, both biofuels, such as wood or sewage sludge, and fossil fuels, coal and coke. It shows that the common practices that are well-known for fossil fuels cannot be directly extrapolated to new fuels. Unlike fossil fuels, wood-based materials present the same ignition risk in dust and bulk size, so an increase on the particle size does not ensure a safer work space. Furthermore, compacting these materials can increase the ignition risk of these type of layers, contrary to the common practices for fossil fuels storages. These differences point out the need of a complete characterisation of each material to ensure a safe working facility.","author":[{"dropping-particle":"","family":"Fernandez-Anez","given":"Nieves","non-dropping-particle":"","parse-names":false,"suffix":""},{"dropping-particle":"","family":"Garcia-Torrent","given":"Javier","non-dropping-particle":"","parse-names":false,"suffix":""}],"container-title":"Fire Technology","id":"ITEM-1","issue":"1","issued":{"date-parts":[["2019"]]},"page":"175-191","title":"Influence of Particle Size and Density on the Hot Surface Ignition of Solid Fuel Layers","type":"article-journal","volume":"55"},"uris":["http://www.mendeley.com/documents/?uuid=f107a61e-81cb-4767-8f95-3d5cff660de0"]}],"mendeley":{"formattedCitation":"[28]","plainTextFormattedCitation":"[28]","previouslyFormattedCitation":"[28]"},"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[28]</w:t>
            </w:r>
            <w:r w:rsidRPr="00DB19C7">
              <w:rPr>
                <w:color w:val="auto"/>
                <w:sz w:val="18"/>
                <w:szCs w:val="18"/>
                <w:lang w:eastAsia="en-GB" w:bidi="ar-SA"/>
              </w:rPr>
              <w:fldChar w:fldCharType="end"/>
            </w:r>
          </w:p>
        </w:tc>
      </w:tr>
      <w:tr w:rsidR="00DB19C7" w:rsidRPr="00DB19C7" w14:paraId="19770D41" w14:textId="0DE9CEDD"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0AD1BB4A"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108</w:t>
            </w:r>
          </w:p>
        </w:tc>
        <w:tc>
          <w:tcPr>
            <w:tcW w:w="1746" w:type="dxa"/>
            <w:tcBorders>
              <w:top w:val="nil"/>
              <w:left w:val="nil"/>
              <w:bottom w:val="single" w:sz="4" w:space="0" w:color="auto"/>
              <w:right w:val="single" w:sz="4" w:space="0" w:color="auto"/>
            </w:tcBorders>
            <w:shd w:val="clear" w:color="auto" w:fill="auto"/>
            <w:noWrap/>
            <w:vAlign w:val="center"/>
            <w:hideMark/>
          </w:tcPr>
          <w:p w14:paraId="2B0ABDC8"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Coke (Spain)</w:t>
            </w:r>
          </w:p>
        </w:tc>
        <w:tc>
          <w:tcPr>
            <w:tcW w:w="767" w:type="dxa"/>
            <w:tcBorders>
              <w:top w:val="nil"/>
              <w:left w:val="nil"/>
              <w:bottom w:val="single" w:sz="4" w:space="0" w:color="auto"/>
              <w:right w:val="single" w:sz="4" w:space="0" w:color="auto"/>
            </w:tcBorders>
            <w:shd w:val="clear" w:color="auto" w:fill="auto"/>
            <w:noWrap/>
            <w:vAlign w:val="center"/>
            <w:hideMark/>
          </w:tcPr>
          <w:p w14:paraId="561F6876" w14:textId="0A5BB023" w:rsidR="002B4066" w:rsidRPr="00DB19C7" w:rsidRDefault="002B4066" w:rsidP="002B4066">
            <w:pPr>
              <w:adjustRightInd/>
              <w:snapToGrid/>
              <w:spacing w:line="240" w:lineRule="auto"/>
              <w:jc w:val="center"/>
              <w:rPr>
                <w:color w:val="auto"/>
                <w:sz w:val="18"/>
                <w:szCs w:val="18"/>
                <w:lang w:eastAsia="en-GB" w:bidi="ar-SA"/>
              </w:rPr>
            </w:pPr>
          </w:p>
        </w:tc>
        <w:tc>
          <w:tcPr>
            <w:tcW w:w="767" w:type="dxa"/>
            <w:tcBorders>
              <w:top w:val="nil"/>
              <w:left w:val="nil"/>
              <w:bottom w:val="single" w:sz="4" w:space="0" w:color="auto"/>
              <w:right w:val="single" w:sz="4" w:space="0" w:color="auto"/>
            </w:tcBorders>
            <w:shd w:val="clear" w:color="auto" w:fill="auto"/>
            <w:noWrap/>
            <w:vAlign w:val="center"/>
            <w:hideMark/>
          </w:tcPr>
          <w:p w14:paraId="0DF769A9"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1200</w:t>
            </w:r>
          </w:p>
        </w:tc>
        <w:tc>
          <w:tcPr>
            <w:tcW w:w="1018" w:type="dxa"/>
            <w:tcBorders>
              <w:top w:val="nil"/>
              <w:left w:val="nil"/>
              <w:bottom w:val="single" w:sz="4" w:space="0" w:color="auto"/>
              <w:right w:val="single" w:sz="4" w:space="0" w:color="auto"/>
            </w:tcBorders>
            <w:shd w:val="clear" w:color="auto" w:fill="auto"/>
            <w:noWrap/>
            <w:vAlign w:val="center"/>
            <w:hideMark/>
          </w:tcPr>
          <w:p w14:paraId="679D365C" w14:textId="7A80EF99" w:rsidR="002B4066" w:rsidRPr="00DB19C7" w:rsidRDefault="002B4066" w:rsidP="002B4066">
            <w:pPr>
              <w:adjustRightInd/>
              <w:snapToGrid/>
              <w:spacing w:line="240" w:lineRule="auto"/>
              <w:jc w:val="center"/>
              <w:rPr>
                <w:color w:val="auto"/>
                <w:sz w:val="18"/>
                <w:szCs w:val="18"/>
                <w:lang w:eastAsia="en-GB" w:bidi="ar-SA"/>
              </w:rPr>
            </w:pPr>
          </w:p>
        </w:tc>
        <w:tc>
          <w:tcPr>
            <w:tcW w:w="1096" w:type="dxa"/>
            <w:tcBorders>
              <w:top w:val="nil"/>
              <w:left w:val="nil"/>
              <w:bottom w:val="single" w:sz="4" w:space="0" w:color="auto"/>
              <w:right w:val="single" w:sz="4" w:space="0" w:color="auto"/>
            </w:tcBorders>
            <w:shd w:val="clear" w:color="auto" w:fill="auto"/>
            <w:noWrap/>
            <w:vAlign w:val="center"/>
            <w:hideMark/>
          </w:tcPr>
          <w:p w14:paraId="153B4995" w14:textId="0938FC74"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1E828AA9" w14:textId="3F74CC53"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110E2B59" w14:textId="7ECF5CD9"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67A1A06A" w14:textId="7429E2B8"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3E93ED5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567" w:type="dxa"/>
            <w:tcBorders>
              <w:top w:val="nil"/>
              <w:left w:val="nil"/>
              <w:bottom w:val="single" w:sz="4" w:space="0" w:color="auto"/>
              <w:right w:val="single" w:sz="4" w:space="0" w:color="auto"/>
            </w:tcBorders>
            <w:shd w:val="clear" w:color="auto" w:fill="auto"/>
            <w:noWrap/>
            <w:vAlign w:val="center"/>
            <w:hideMark/>
          </w:tcPr>
          <w:p w14:paraId="4C0596A6" w14:textId="05EBB0A6"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0D7128F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Sieves</w:t>
            </w:r>
          </w:p>
        </w:tc>
        <w:tc>
          <w:tcPr>
            <w:tcW w:w="737" w:type="dxa"/>
            <w:tcBorders>
              <w:top w:val="nil"/>
              <w:left w:val="nil"/>
              <w:bottom w:val="single" w:sz="4" w:space="0" w:color="auto"/>
              <w:right w:val="single" w:sz="4" w:space="0" w:color="auto"/>
            </w:tcBorders>
            <w:shd w:val="clear" w:color="auto" w:fill="auto"/>
            <w:noWrap/>
            <w:vAlign w:val="center"/>
            <w:hideMark/>
          </w:tcPr>
          <w:p w14:paraId="493C2F5E" w14:textId="3DE470E6"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24F1FB1F" w14:textId="7FCC01EA"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723BA329" w14:textId="50727075"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74EF3FFF" w14:textId="51511B7C"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6A14E3A2" w14:textId="0B40FF13"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{"citationItems":[{"id":"ITEM-1","itemData":{"DOI":"10.1007/s10694-018-0782-3","ISSN":"1572-8099","abstract":"Dust layers are present in every industrial facility where solid materials are generated or processed. The emergence of new fuels with still unknown flammability properties generates an increase on the risks related with these facilities that needs to be further studied. Most of these biomasses are susceptible to exothermically react, acting as an ignition source and causing fires and explosions. One of the most common causes of explosions is the ignition of dust layers deposited on the equipment, which could be avoided by a better understanding of the materials. However, the ignitability of these layers depend on several parameters as the particle size and the density of the deposited materials. This paper reports experimental work on hot surface ignition temperatures of layers of different fuels, both biofuels, such as wood or sewage sludge, and fossil fuels, coal and coke. It shows that the common practices that are well-known for fossil fuels cannot be directly extrapolated to new fuels. Unlike fossil fuels, wood-based materials present the same ignition risk in dust and bulk size, so an increase on the particle size does not ensure a safer work space. Furthermore, compacting these materials can increase the ignition risk of these type of layers, contrary to the common practices for fossil fuels storages. These differences point out the need of a complete characterisation of each material to ensure a safe working facility.","author":[{"dropping-particle":"","family":"Fernandez-Anez","given":"Nieves","non-dropping-particle":"","parse-names":false,"suffix":""},{"dropping-particle":"","family":"Garcia-Torrent","given":"Javier","non-dropping-particle":"","parse-names":false,"suffix":""}],"container-title":"Fire Technology","id":"ITEM-1","issue":"1","issued":{"date-parts":[["2019"]]},"page":"175-191","title":"Influence of Particle Size and Density on the Hot Surface Ignition of Solid Fuel Layers","type":"article-journal","volume":"55"},"uris":["http://www.mendeley.com/documents/?uuid=f107a61e-81cb-4767-8f95-3d5cff660de0"]}],"mendeley":{"formattedCitation":"[28]","plainTextFormattedCitation":"[28]","previouslyFormattedCitation":"[28]"},"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[28]</w:t>
            </w:r>
            <w:r w:rsidRPr="00DB19C7">
              <w:rPr>
                <w:color w:val="auto"/>
                <w:sz w:val="18"/>
                <w:szCs w:val="18"/>
                <w:lang w:eastAsia="en-GB" w:bidi="ar-SA"/>
              </w:rPr>
              <w:fldChar w:fldCharType="end"/>
            </w:r>
          </w:p>
        </w:tc>
      </w:tr>
      <w:tr w:rsidR="00DB19C7" w:rsidRPr="00DB19C7" w14:paraId="2979B674" w14:textId="050A63AB"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07443495"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109</w:t>
            </w:r>
          </w:p>
        </w:tc>
        <w:tc>
          <w:tcPr>
            <w:tcW w:w="1746" w:type="dxa"/>
            <w:tcBorders>
              <w:top w:val="nil"/>
              <w:left w:val="nil"/>
              <w:bottom w:val="single" w:sz="4" w:space="0" w:color="auto"/>
              <w:right w:val="single" w:sz="4" w:space="0" w:color="auto"/>
            </w:tcBorders>
            <w:shd w:val="clear" w:color="auto" w:fill="auto"/>
            <w:noWrap/>
            <w:vAlign w:val="center"/>
            <w:hideMark/>
          </w:tcPr>
          <w:p w14:paraId="5EA1F3EC"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Lignite</w:t>
            </w:r>
          </w:p>
        </w:tc>
        <w:tc>
          <w:tcPr>
            <w:tcW w:w="767" w:type="dxa"/>
            <w:tcBorders>
              <w:top w:val="nil"/>
              <w:left w:val="nil"/>
              <w:bottom w:val="single" w:sz="4" w:space="0" w:color="auto"/>
              <w:right w:val="single" w:sz="4" w:space="0" w:color="auto"/>
            </w:tcBorders>
            <w:shd w:val="clear" w:color="auto" w:fill="auto"/>
            <w:noWrap/>
            <w:vAlign w:val="center"/>
            <w:hideMark/>
          </w:tcPr>
          <w:p w14:paraId="06177CA1" w14:textId="2F983BDD" w:rsidR="002B4066" w:rsidRPr="00DB19C7" w:rsidRDefault="002B4066" w:rsidP="002B4066">
            <w:pPr>
              <w:adjustRightInd/>
              <w:snapToGrid/>
              <w:spacing w:line="240" w:lineRule="auto"/>
              <w:jc w:val="center"/>
              <w:rPr>
                <w:color w:val="auto"/>
                <w:sz w:val="18"/>
                <w:szCs w:val="18"/>
                <w:lang w:eastAsia="en-GB" w:bidi="ar-SA"/>
              </w:rPr>
            </w:pPr>
          </w:p>
        </w:tc>
        <w:tc>
          <w:tcPr>
            <w:tcW w:w="767" w:type="dxa"/>
            <w:tcBorders>
              <w:top w:val="nil"/>
              <w:left w:val="nil"/>
              <w:bottom w:val="single" w:sz="4" w:space="0" w:color="auto"/>
              <w:right w:val="single" w:sz="4" w:space="0" w:color="auto"/>
            </w:tcBorders>
            <w:shd w:val="clear" w:color="auto" w:fill="auto"/>
            <w:noWrap/>
            <w:vAlign w:val="center"/>
            <w:hideMark/>
          </w:tcPr>
          <w:p w14:paraId="4E14E27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73</w:t>
            </w:r>
          </w:p>
        </w:tc>
        <w:tc>
          <w:tcPr>
            <w:tcW w:w="1018" w:type="dxa"/>
            <w:tcBorders>
              <w:top w:val="nil"/>
              <w:left w:val="nil"/>
              <w:bottom w:val="single" w:sz="4" w:space="0" w:color="auto"/>
              <w:right w:val="single" w:sz="4" w:space="0" w:color="auto"/>
            </w:tcBorders>
            <w:shd w:val="clear" w:color="auto" w:fill="auto"/>
            <w:noWrap/>
            <w:vAlign w:val="center"/>
            <w:hideMark/>
          </w:tcPr>
          <w:p w14:paraId="123FB423" w14:textId="7E3D62A0" w:rsidR="002B4066" w:rsidRPr="00DB19C7" w:rsidRDefault="002B4066" w:rsidP="002B4066">
            <w:pPr>
              <w:adjustRightInd/>
              <w:snapToGrid/>
              <w:spacing w:line="240" w:lineRule="auto"/>
              <w:jc w:val="center"/>
              <w:rPr>
                <w:color w:val="auto"/>
                <w:sz w:val="18"/>
                <w:szCs w:val="18"/>
                <w:lang w:eastAsia="en-GB" w:bidi="ar-SA"/>
              </w:rPr>
            </w:pPr>
          </w:p>
        </w:tc>
        <w:tc>
          <w:tcPr>
            <w:tcW w:w="1096" w:type="dxa"/>
            <w:tcBorders>
              <w:top w:val="nil"/>
              <w:left w:val="nil"/>
              <w:bottom w:val="single" w:sz="4" w:space="0" w:color="auto"/>
              <w:right w:val="single" w:sz="4" w:space="0" w:color="auto"/>
            </w:tcBorders>
            <w:shd w:val="clear" w:color="auto" w:fill="auto"/>
            <w:noWrap/>
            <w:vAlign w:val="center"/>
            <w:hideMark/>
          </w:tcPr>
          <w:p w14:paraId="30EE6733" w14:textId="42CE5B7B"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44F9EA1E" w14:textId="13FD900F"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42974B87" w14:textId="018C53B7"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41395096" w14:textId="157A99D2"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 xml:space="preserve">2.35/0.11 </w:t>
            </w:r>
            <w:r w:rsidRPr="00DB19C7">
              <w:rPr>
                <w:color w:val="auto"/>
                <w:vertAlign w:val="superscript"/>
              </w:rPr>
              <w:t>c</w:t>
            </w:r>
          </w:p>
        </w:tc>
        <w:tc>
          <w:tcPr>
            <w:tcW w:w="1137" w:type="dxa"/>
            <w:tcBorders>
              <w:top w:val="nil"/>
              <w:left w:val="nil"/>
              <w:bottom w:val="single" w:sz="4" w:space="0" w:color="auto"/>
              <w:right w:val="single" w:sz="4" w:space="0" w:color="auto"/>
            </w:tcBorders>
            <w:shd w:val="clear" w:color="auto" w:fill="auto"/>
            <w:noWrap/>
            <w:vAlign w:val="center"/>
            <w:hideMark/>
          </w:tcPr>
          <w:p w14:paraId="4ED55C77"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567" w:type="dxa"/>
            <w:tcBorders>
              <w:top w:val="nil"/>
              <w:left w:val="nil"/>
              <w:bottom w:val="single" w:sz="4" w:space="0" w:color="auto"/>
              <w:right w:val="single" w:sz="4" w:space="0" w:color="auto"/>
            </w:tcBorders>
            <w:shd w:val="clear" w:color="auto" w:fill="auto"/>
            <w:noWrap/>
            <w:vAlign w:val="center"/>
            <w:hideMark/>
          </w:tcPr>
          <w:p w14:paraId="6A491021"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1.3</w:t>
            </w:r>
          </w:p>
        </w:tc>
        <w:tc>
          <w:tcPr>
            <w:tcW w:w="1134" w:type="dxa"/>
            <w:tcBorders>
              <w:top w:val="nil"/>
              <w:left w:val="nil"/>
              <w:bottom w:val="single" w:sz="4" w:space="0" w:color="auto"/>
              <w:right w:val="single" w:sz="4" w:space="0" w:color="auto"/>
            </w:tcBorders>
            <w:shd w:val="clear" w:color="auto" w:fill="auto"/>
            <w:noWrap/>
            <w:vAlign w:val="center"/>
            <w:hideMark/>
          </w:tcPr>
          <w:p w14:paraId="0FFCA619"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BET &amp; Dynamic image analysis</w:t>
            </w:r>
          </w:p>
        </w:tc>
        <w:tc>
          <w:tcPr>
            <w:tcW w:w="737" w:type="dxa"/>
            <w:tcBorders>
              <w:top w:val="nil"/>
              <w:left w:val="nil"/>
              <w:bottom w:val="single" w:sz="4" w:space="0" w:color="auto"/>
              <w:right w:val="single" w:sz="4" w:space="0" w:color="auto"/>
            </w:tcBorders>
            <w:shd w:val="clear" w:color="auto" w:fill="auto"/>
            <w:noWrap/>
            <w:vAlign w:val="center"/>
            <w:hideMark/>
          </w:tcPr>
          <w:p w14:paraId="6A7CB3F8"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8-10%</w:t>
            </w:r>
          </w:p>
        </w:tc>
        <w:tc>
          <w:tcPr>
            <w:tcW w:w="737" w:type="dxa"/>
            <w:tcBorders>
              <w:top w:val="nil"/>
              <w:left w:val="nil"/>
              <w:bottom w:val="single" w:sz="4" w:space="0" w:color="auto"/>
              <w:right w:val="single" w:sz="4" w:space="0" w:color="auto"/>
            </w:tcBorders>
            <w:shd w:val="clear" w:color="auto" w:fill="auto"/>
            <w:noWrap/>
            <w:vAlign w:val="center"/>
            <w:hideMark/>
          </w:tcPr>
          <w:p w14:paraId="4D111559" w14:textId="7F7432CC"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236CD286" w14:textId="27CDB978"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20D51455" w14:textId="1A50EB44"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46AE7D60" w14:textId="578644F5"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{"citationItems":[{"id":"ITEM-1","itemData":{"DOI":"10.1016/j.jlp.2017.02.010","ISSN":"0950-4230","abstract":"The rate of pressure rise (KSt) of explosion reactions in dust/air mixtures under atmospheric conditions is an important safety parameter for describing the kinetics of explosions. The value is used during the planning of protective measures like pressure release or suppression systems. The KSt is not a value inherent to the substance, since it varies according to the shape of the test apparatus, ignition energy, time delay, and dispersion system, which all affects the degree of turbulence. Keeping these boundary conditions constant the KSt is determined essentially by the chemical properties of the dust and its reactive surface area. 3–4 fractions differing in particle size distribution between 7 μm and 400 μm and in related specific surface area were produced from four carbonaceous dusts (activated charcoal, polyethylene, lignite and sucrose), and the Kst values of the fractions were determined by experimentation. The experimental results were classified into four stages depending upon the suitable surface concentrations and the different processes involved. The stage in which dp/dt changes in surface concentration are most intense comply best with the Arrhenius equation. As a function of the specific geometric surface area, the Kst value characterizes the chemical reactivity of the substance clearly and permits extrapolation to other particle size distributions.","author":[{"dropping-particle":"","family":"Stahmer","given":"Klaus-Werner","non-dropping-particle":"","parse-names":false,"suffix":""},{"dropping-particle":"","family":"Gerhold","given":"Malte","non-dropping-particle":"","parse-names":false,"suffix":""}],"container-title":"Journal of Loss Prevention in the Process Industries","id":"ITEM-1","issued":{"date-parts":[["2017"]]},"page":"177-184","title":"Study of the explosion reactions of sucrose, activated charcoal, polyethylene and lignite Part 1: Effect of variation in particle surface area upon explosion reaction","type":"article-journal","volume":"46"},"uris":["http://www.mendeley.com/documents/?uuid=3ab41729-6f7b-4213-bd58-ae9bbc56f418"]}],"mendeley":{"formattedCitation":"[152]","plainTextFormattedCitation":"[152]","previouslyFormattedCitation":"[152]"},"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[152]</w:t>
            </w:r>
            <w:r w:rsidRPr="00DB19C7">
              <w:rPr>
                <w:color w:val="auto"/>
                <w:sz w:val="18"/>
                <w:szCs w:val="18"/>
                <w:lang w:eastAsia="en-GB" w:bidi="ar-SA"/>
              </w:rPr>
              <w:fldChar w:fldCharType="end"/>
            </w:r>
          </w:p>
        </w:tc>
      </w:tr>
      <w:tr w:rsidR="00DB19C7" w:rsidRPr="00DB19C7" w14:paraId="6F177915" w14:textId="26921664"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3D59551C"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110</w:t>
            </w:r>
          </w:p>
        </w:tc>
        <w:tc>
          <w:tcPr>
            <w:tcW w:w="1746" w:type="dxa"/>
            <w:tcBorders>
              <w:top w:val="nil"/>
              <w:left w:val="nil"/>
              <w:bottom w:val="single" w:sz="4" w:space="0" w:color="auto"/>
              <w:right w:val="single" w:sz="4" w:space="0" w:color="auto"/>
            </w:tcBorders>
            <w:shd w:val="clear" w:color="auto" w:fill="auto"/>
            <w:noWrap/>
            <w:vAlign w:val="center"/>
            <w:hideMark/>
          </w:tcPr>
          <w:p w14:paraId="2722EC43"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Lignite</w:t>
            </w:r>
          </w:p>
        </w:tc>
        <w:tc>
          <w:tcPr>
            <w:tcW w:w="767" w:type="dxa"/>
            <w:tcBorders>
              <w:top w:val="nil"/>
              <w:left w:val="nil"/>
              <w:bottom w:val="single" w:sz="4" w:space="0" w:color="auto"/>
              <w:right w:val="single" w:sz="4" w:space="0" w:color="auto"/>
            </w:tcBorders>
            <w:shd w:val="clear" w:color="auto" w:fill="auto"/>
            <w:noWrap/>
            <w:vAlign w:val="center"/>
            <w:hideMark/>
          </w:tcPr>
          <w:p w14:paraId="01CE9F0F" w14:textId="2D5E4BCC" w:rsidR="002B4066" w:rsidRPr="00DB19C7" w:rsidRDefault="002B4066" w:rsidP="002B4066">
            <w:pPr>
              <w:adjustRightInd/>
              <w:snapToGrid/>
              <w:spacing w:line="240" w:lineRule="auto"/>
              <w:jc w:val="center"/>
              <w:rPr>
                <w:color w:val="auto"/>
                <w:sz w:val="18"/>
                <w:szCs w:val="18"/>
                <w:lang w:eastAsia="en-GB" w:bidi="ar-SA"/>
              </w:rPr>
            </w:pPr>
          </w:p>
        </w:tc>
        <w:tc>
          <w:tcPr>
            <w:tcW w:w="767" w:type="dxa"/>
            <w:tcBorders>
              <w:top w:val="nil"/>
              <w:left w:val="nil"/>
              <w:bottom w:val="single" w:sz="4" w:space="0" w:color="auto"/>
              <w:right w:val="single" w:sz="4" w:space="0" w:color="auto"/>
            </w:tcBorders>
            <w:shd w:val="clear" w:color="auto" w:fill="auto"/>
            <w:noWrap/>
            <w:vAlign w:val="center"/>
            <w:hideMark/>
          </w:tcPr>
          <w:p w14:paraId="6EB8B85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15</w:t>
            </w:r>
          </w:p>
        </w:tc>
        <w:tc>
          <w:tcPr>
            <w:tcW w:w="1018" w:type="dxa"/>
            <w:tcBorders>
              <w:top w:val="nil"/>
              <w:left w:val="nil"/>
              <w:bottom w:val="single" w:sz="4" w:space="0" w:color="auto"/>
              <w:right w:val="single" w:sz="4" w:space="0" w:color="auto"/>
            </w:tcBorders>
            <w:shd w:val="clear" w:color="auto" w:fill="auto"/>
            <w:noWrap/>
            <w:vAlign w:val="center"/>
            <w:hideMark/>
          </w:tcPr>
          <w:p w14:paraId="3F8412A2" w14:textId="158E9E83" w:rsidR="002B4066" w:rsidRPr="00DB19C7" w:rsidRDefault="002B4066" w:rsidP="002B4066">
            <w:pPr>
              <w:adjustRightInd/>
              <w:snapToGrid/>
              <w:spacing w:line="240" w:lineRule="auto"/>
              <w:jc w:val="center"/>
              <w:rPr>
                <w:color w:val="auto"/>
                <w:sz w:val="18"/>
                <w:szCs w:val="18"/>
                <w:lang w:eastAsia="en-GB" w:bidi="ar-SA"/>
              </w:rPr>
            </w:pPr>
          </w:p>
        </w:tc>
        <w:tc>
          <w:tcPr>
            <w:tcW w:w="1096" w:type="dxa"/>
            <w:tcBorders>
              <w:top w:val="nil"/>
              <w:left w:val="nil"/>
              <w:bottom w:val="single" w:sz="4" w:space="0" w:color="auto"/>
              <w:right w:val="single" w:sz="4" w:space="0" w:color="auto"/>
            </w:tcBorders>
            <w:shd w:val="clear" w:color="auto" w:fill="auto"/>
            <w:noWrap/>
            <w:vAlign w:val="center"/>
            <w:hideMark/>
          </w:tcPr>
          <w:p w14:paraId="48CBB089" w14:textId="4BE9C6C8"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49404FE3" w14:textId="1B63D36B"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43458251" w14:textId="5FB282D1"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5CA548DF" w14:textId="108408BB"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 xml:space="preserve">3.41/0.38 </w:t>
            </w:r>
            <w:r w:rsidRPr="00DB19C7">
              <w:rPr>
                <w:color w:val="auto"/>
                <w:vertAlign w:val="superscript"/>
              </w:rPr>
              <w:t>c</w:t>
            </w:r>
          </w:p>
        </w:tc>
        <w:tc>
          <w:tcPr>
            <w:tcW w:w="1137" w:type="dxa"/>
            <w:tcBorders>
              <w:top w:val="nil"/>
              <w:left w:val="nil"/>
              <w:bottom w:val="single" w:sz="4" w:space="0" w:color="auto"/>
              <w:right w:val="single" w:sz="4" w:space="0" w:color="auto"/>
            </w:tcBorders>
            <w:shd w:val="clear" w:color="auto" w:fill="auto"/>
            <w:noWrap/>
            <w:vAlign w:val="center"/>
            <w:hideMark/>
          </w:tcPr>
          <w:p w14:paraId="4BE97EFC"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567" w:type="dxa"/>
            <w:tcBorders>
              <w:top w:val="nil"/>
              <w:left w:val="nil"/>
              <w:bottom w:val="single" w:sz="4" w:space="0" w:color="auto"/>
              <w:right w:val="single" w:sz="4" w:space="0" w:color="auto"/>
            </w:tcBorders>
            <w:shd w:val="clear" w:color="auto" w:fill="auto"/>
            <w:noWrap/>
            <w:vAlign w:val="center"/>
            <w:hideMark/>
          </w:tcPr>
          <w:p w14:paraId="57B9599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1.6</w:t>
            </w:r>
          </w:p>
        </w:tc>
        <w:tc>
          <w:tcPr>
            <w:tcW w:w="1134" w:type="dxa"/>
            <w:tcBorders>
              <w:top w:val="nil"/>
              <w:left w:val="nil"/>
              <w:bottom w:val="single" w:sz="4" w:space="0" w:color="auto"/>
              <w:right w:val="single" w:sz="4" w:space="0" w:color="auto"/>
            </w:tcBorders>
            <w:shd w:val="clear" w:color="auto" w:fill="auto"/>
            <w:noWrap/>
            <w:vAlign w:val="center"/>
            <w:hideMark/>
          </w:tcPr>
          <w:p w14:paraId="7CAE0F93"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BET &amp; Dynamic image analysis</w:t>
            </w:r>
          </w:p>
        </w:tc>
        <w:tc>
          <w:tcPr>
            <w:tcW w:w="737" w:type="dxa"/>
            <w:tcBorders>
              <w:top w:val="nil"/>
              <w:left w:val="nil"/>
              <w:bottom w:val="single" w:sz="4" w:space="0" w:color="auto"/>
              <w:right w:val="single" w:sz="4" w:space="0" w:color="auto"/>
            </w:tcBorders>
            <w:shd w:val="clear" w:color="auto" w:fill="auto"/>
            <w:noWrap/>
            <w:vAlign w:val="center"/>
            <w:hideMark/>
          </w:tcPr>
          <w:p w14:paraId="3C987CEE"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8-10%</w:t>
            </w:r>
          </w:p>
        </w:tc>
        <w:tc>
          <w:tcPr>
            <w:tcW w:w="737" w:type="dxa"/>
            <w:tcBorders>
              <w:top w:val="nil"/>
              <w:left w:val="nil"/>
              <w:bottom w:val="single" w:sz="4" w:space="0" w:color="auto"/>
              <w:right w:val="single" w:sz="4" w:space="0" w:color="auto"/>
            </w:tcBorders>
            <w:shd w:val="clear" w:color="auto" w:fill="auto"/>
            <w:noWrap/>
            <w:vAlign w:val="center"/>
            <w:hideMark/>
          </w:tcPr>
          <w:p w14:paraId="40FD7A1F" w14:textId="5E5168AF"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5742D1ED" w14:textId="7429FCD4"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397C42B2" w14:textId="09D54981"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54918065" w14:textId="551048AA"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{"citationItems":[{"id":"ITEM-1","itemData":{"DOI":"10.1016/j.jlp.2017.02.010","ISSN":"0950-4230","abstract":"The rate of pressure rise (KSt) of explosion reactions in dust/air mixtures under atmospheric conditions is an important safety parameter for describing the kinetics of explosions. The value is used during the planning of protective measures like pressure release or suppression systems. The KSt is not a value inherent to the substance, since it varies according to the shape of the test apparatus, ignition energy, time delay, and dispersion system, which all affects the degree of turbulence. Keeping these boundary conditions constant the KSt is determined essentially by the chemical properties of the dust and its reactive surface area. 3–4 fractions differing in particle size distribution between 7 μm and 400 μm and in related specific surface area were produced from four carbonaceous dusts (activated charcoal, polyethylene, lignite and sucrose), and the Kst values of the fractions were determined by experimentation. The experimental results were classified into four stages depending upon the suitable surface concentrations and the different processes involved. The stage in which dp/dt changes in surface concentration are most intense comply best with the Arrhenius equation. As a function of the specific geometric surface area, the Kst value characterizes the chemical reactivity of the substance clearly and permits extrapolation to other particle size distributions.","author":[{"dropping-particle":"","family":"Stahmer","given":"Klaus-Werner","non-dropping-particle":"","parse-names":false,"suffix":""},{"dropping-particle":"","family":"Gerhold","given":"Malte","non-dropping-particle":"","parse-names":false,"suffix":""}],"container-title":"Journal of Loss Prevention in the Process Industries","id":"ITEM-1","issued":{"date-parts":[["2017"]]},"page":"177-184","title":"Study of the explosion reactions of sucrose, activated charcoal, polyethylene and lignite Part 1: Effect of variation in particle surface area upon explosion reaction","type":"article-journal","volume":"46"},"uris":["http://www.mendeley.com/documents/?uuid=3ab41729-6f7b-4213-bd58-ae9bbc56f418"]}],"mendeley":{"formattedCitation":"[152]","plainTextFormattedCitation":"[152]","previouslyFormattedCitation":"[152]"},"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[152]</w:t>
            </w:r>
            <w:r w:rsidRPr="00DB19C7">
              <w:rPr>
                <w:color w:val="auto"/>
                <w:sz w:val="18"/>
                <w:szCs w:val="18"/>
                <w:lang w:eastAsia="en-GB" w:bidi="ar-SA"/>
              </w:rPr>
              <w:fldChar w:fldCharType="end"/>
            </w:r>
          </w:p>
        </w:tc>
      </w:tr>
      <w:tr w:rsidR="00DB19C7" w:rsidRPr="00DB19C7" w14:paraId="4DEF7BB8" w14:textId="22B7495D"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728D1356"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111</w:t>
            </w:r>
          </w:p>
        </w:tc>
        <w:tc>
          <w:tcPr>
            <w:tcW w:w="1746" w:type="dxa"/>
            <w:tcBorders>
              <w:top w:val="nil"/>
              <w:left w:val="nil"/>
              <w:bottom w:val="single" w:sz="4" w:space="0" w:color="auto"/>
              <w:right w:val="single" w:sz="4" w:space="0" w:color="auto"/>
            </w:tcBorders>
            <w:shd w:val="clear" w:color="auto" w:fill="auto"/>
            <w:noWrap/>
            <w:vAlign w:val="center"/>
            <w:hideMark/>
          </w:tcPr>
          <w:p w14:paraId="292BBC0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Lignite</w:t>
            </w:r>
          </w:p>
        </w:tc>
        <w:tc>
          <w:tcPr>
            <w:tcW w:w="767" w:type="dxa"/>
            <w:tcBorders>
              <w:top w:val="nil"/>
              <w:left w:val="nil"/>
              <w:bottom w:val="single" w:sz="4" w:space="0" w:color="auto"/>
              <w:right w:val="single" w:sz="4" w:space="0" w:color="auto"/>
            </w:tcBorders>
            <w:shd w:val="clear" w:color="auto" w:fill="auto"/>
            <w:noWrap/>
            <w:vAlign w:val="center"/>
            <w:hideMark/>
          </w:tcPr>
          <w:p w14:paraId="0DDA61FF" w14:textId="56719056" w:rsidR="002B4066" w:rsidRPr="00DB19C7" w:rsidRDefault="002B4066" w:rsidP="002B4066">
            <w:pPr>
              <w:adjustRightInd/>
              <w:snapToGrid/>
              <w:spacing w:line="240" w:lineRule="auto"/>
              <w:jc w:val="center"/>
              <w:rPr>
                <w:color w:val="auto"/>
                <w:sz w:val="18"/>
                <w:szCs w:val="18"/>
                <w:lang w:eastAsia="en-GB" w:bidi="ar-SA"/>
              </w:rPr>
            </w:pPr>
          </w:p>
        </w:tc>
        <w:tc>
          <w:tcPr>
            <w:tcW w:w="767" w:type="dxa"/>
            <w:tcBorders>
              <w:top w:val="nil"/>
              <w:left w:val="nil"/>
              <w:bottom w:val="single" w:sz="4" w:space="0" w:color="auto"/>
              <w:right w:val="single" w:sz="4" w:space="0" w:color="auto"/>
            </w:tcBorders>
            <w:shd w:val="clear" w:color="auto" w:fill="auto"/>
            <w:noWrap/>
            <w:vAlign w:val="center"/>
            <w:hideMark/>
          </w:tcPr>
          <w:p w14:paraId="0DEE1F4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21</w:t>
            </w:r>
          </w:p>
        </w:tc>
        <w:tc>
          <w:tcPr>
            <w:tcW w:w="1018" w:type="dxa"/>
            <w:tcBorders>
              <w:top w:val="nil"/>
              <w:left w:val="nil"/>
              <w:bottom w:val="single" w:sz="4" w:space="0" w:color="auto"/>
              <w:right w:val="single" w:sz="4" w:space="0" w:color="auto"/>
            </w:tcBorders>
            <w:shd w:val="clear" w:color="auto" w:fill="auto"/>
            <w:noWrap/>
            <w:vAlign w:val="center"/>
            <w:hideMark/>
          </w:tcPr>
          <w:p w14:paraId="033182CA" w14:textId="5DBB0F1A" w:rsidR="002B4066" w:rsidRPr="00DB19C7" w:rsidRDefault="002B4066" w:rsidP="002B4066">
            <w:pPr>
              <w:adjustRightInd/>
              <w:snapToGrid/>
              <w:spacing w:line="240" w:lineRule="auto"/>
              <w:jc w:val="center"/>
              <w:rPr>
                <w:color w:val="auto"/>
                <w:sz w:val="18"/>
                <w:szCs w:val="18"/>
                <w:lang w:eastAsia="en-GB" w:bidi="ar-SA"/>
              </w:rPr>
            </w:pPr>
          </w:p>
        </w:tc>
        <w:tc>
          <w:tcPr>
            <w:tcW w:w="1096" w:type="dxa"/>
            <w:tcBorders>
              <w:top w:val="nil"/>
              <w:left w:val="nil"/>
              <w:bottom w:val="single" w:sz="4" w:space="0" w:color="auto"/>
              <w:right w:val="single" w:sz="4" w:space="0" w:color="auto"/>
            </w:tcBorders>
            <w:shd w:val="clear" w:color="auto" w:fill="auto"/>
            <w:noWrap/>
            <w:vAlign w:val="center"/>
            <w:hideMark/>
          </w:tcPr>
          <w:p w14:paraId="1D733D20" w14:textId="4374842A"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767" w:type="dxa"/>
            <w:tcBorders>
              <w:top w:val="nil"/>
              <w:left w:val="nil"/>
              <w:bottom w:val="single" w:sz="4" w:space="0" w:color="auto"/>
              <w:right w:val="single" w:sz="4" w:space="0" w:color="auto"/>
            </w:tcBorders>
            <w:shd w:val="clear" w:color="auto" w:fill="auto"/>
            <w:noWrap/>
            <w:vAlign w:val="center"/>
            <w:hideMark/>
          </w:tcPr>
          <w:p w14:paraId="68FCC1E0" w14:textId="6C3F4CCE"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43A6A9A2" w14:textId="53727E69"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6BC67DF8" w14:textId="6F34DC33"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 xml:space="preserve">3.04/0.30 </w:t>
            </w:r>
            <w:r w:rsidRPr="00DB19C7">
              <w:rPr>
                <w:color w:val="auto"/>
                <w:vertAlign w:val="superscript"/>
              </w:rPr>
              <w:t>c</w:t>
            </w:r>
          </w:p>
        </w:tc>
        <w:tc>
          <w:tcPr>
            <w:tcW w:w="1137" w:type="dxa"/>
            <w:tcBorders>
              <w:top w:val="nil"/>
              <w:left w:val="nil"/>
              <w:bottom w:val="single" w:sz="4" w:space="0" w:color="auto"/>
              <w:right w:val="single" w:sz="4" w:space="0" w:color="auto"/>
            </w:tcBorders>
            <w:shd w:val="clear" w:color="auto" w:fill="auto"/>
            <w:noWrap/>
            <w:vAlign w:val="center"/>
            <w:hideMark/>
          </w:tcPr>
          <w:p w14:paraId="38DB964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No</w:t>
            </w:r>
          </w:p>
        </w:tc>
        <w:tc>
          <w:tcPr>
            <w:tcW w:w="567" w:type="dxa"/>
            <w:tcBorders>
              <w:top w:val="nil"/>
              <w:left w:val="nil"/>
              <w:bottom w:val="single" w:sz="4" w:space="0" w:color="auto"/>
              <w:right w:val="single" w:sz="4" w:space="0" w:color="auto"/>
            </w:tcBorders>
            <w:shd w:val="clear" w:color="auto" w:fill="auto"/>
            <w:noWrap/>
            <w:vAlign w:val="center"/>
            <w:hideMark/>
          </w:tcPr>
          <w:p w14:paraId="5B21972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1.8</w:t>
            </w:r>
          </w:p>
        </w:tc>
        <w:tc>
          <w:tcPr>
            <w:tcW w:w="1134" w:type="dxa"/>
            <w:tcBorders>
              <w:top w:val="nil"/>
              <w:left w:val="nil"/>
              <w:bottom w:val="single" w:sz="4" w:space="0" w:color="auto"/>
              <w:right w:val="single" w:sz="4" w:space="0" w:color="auto"/>
            </w:tcBorders>
            <w:shd w:val="clear" w:color="auto" w:fill="auto"/>
            <w:noWrap/>
            <w:vAlign w:val="center"/>
            <w:hideMark/>
          </w:tcPr>
          <w:p w14:paraId="32B1BB0B"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BET &amp; Dynamic image analysis</w:t>
            </w:r>
          </w:p>
        </w:tc>
        <w:tc>
          <w:tcPr>
            <w:tcW w:w="737" w:type="dxa"/>
            <w:tcBorders>
              <w:top w:val="nil"/>
              <w:left w:val="nil"/>
              <w:bottom w:val="single" w:sz="4" w:space="0" w:color="auto"/>
              <w:right w:val="single" w:sz="4" w:space="0" w:color="auto"/>
            </w:tcBorders>
            <w:shd w:val="clear" w:color="auto" w:fill="auto"/>
            <w:noWrap/>
            <w:vAlign w:val="center"/>
            <w:hideMark/>
          </w:tcPr>
          <w:p w14:paraId="67616E15"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8-10%</w:t>
            </w:r>
          </w:p>
        </w:tc>
        <w:tc>
          <w:tcPr>
            <w:tcW w:w="737" w:type="dxa"/>
            <w:tcBorders>
              <w:top w:val="nil"/>
              <w:left w:val="nil"/>
              <w:bottom w:val="single" w:sz="4" w:space="0" w:color="auto"/>
              <w:right w:val="single" w:sz="4" w:space="0" w:color="auto"/>
            </w:tcBorders>
            <w:shd w:val="clear" w:color="auto" w:fill="auto"/>
            <w:noWrap/>
            <w:vAlign w:val="center"/>
            <w:hideMark/>
          </w:tcPr>
          <w:p w14:paraId="1FC91AB6" w14:textId="6A685A7C"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01126DFF" w14:textId="406426CE" w:rsidR="002B4066" w:rsidRPr="00DB19C7" w:rsidRDefault="002B4066" w:rsidP="002B4066">
            <w:pPr>
              <w:adjustRightInd/>
              <w:snapToGrid/>
              <w:spacing w:line="240" w:lineRule="auto"/>
              <w:jc w:val="center"/>
              <w:rPr>
                <w:color w:val="auto"/>
                <w:sz w:val="18"/>
                <w:szCs w:val="18"/>
                <w:lang w:eastAsia="en-GB" w:bidi="ar-SA"/>
              </w:rPr>
            </w:pPr>
          </w:p>
        </w:tc>
        <w:tc>
          <w:tcPr>
            <w:tcW w:w="737" w:type="dxa"/>
            <w:tcBorders>
              <w:top w:val="nil"/>
              <w:left w:val="nil"/>
              <w:bottom w:val="single" w:sz="4" w:space="0" w:color="auto"/>
              <w:right w:val="single" w:sz="4" w:space="0" w:color="auto"/>
            </w:tcBorders>
            <w:shd w:val="clear" w:color="auto" w:fill="auto"/>
            <w:noWrap/>
            <w:vAlign w:val="center"/>
            <w:hideMark/>
          </w:tcPr>
          <w:p w14:paraId="3B1273C1" w14:textId="5D318BEB"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3C890815" w14:textId="6CC07D8B"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{"citationItems":[{"id":"ITEM-1","itemData":{"DOI":"10.1016/j.jlp.2017.02.010","ISSN":"0950-4230","abstract":"The rate of pressure rise (KSt) of explosion reactions in dust/air mixtures under atmospheric conditions is an important safety parameter for describing the kinetics of explosions. The value is used during the planning of protective measures like pressure release or suppression systems. The KSt is not a value inherent to the substance, since it varies according to the shape of the test apparatus, ignition energy, time delay, and dispersion system, which all affects the degree of turbulence. Keeping these boundary conditions constant the KSt is determined essentially by the chemical properties of the dust and its reactive surface area. 3–4 fractions differing in particle size distribution between 7 μm and 400 μm and in related specific surface area were produced from four carbonaceous dusts (activated charcoal, polyethylene, lignite and sucrose), and the Kst values of the fractions were determined by experimentation. The experimental results were classified into four stages depending upon the suitable surface concentrations and the different processes involved. The stage in which dp/dt changes in surface concentration are most intense comply best with the Arrhenius equation. As a function of the specific geometric surface area, the Kst value characterizes the chemical reactivity of the substance clearly and permits extrapolation to other particle size distributions.","author":[{"dropping-particle":"","family":"Stahmer","given":"Klaus-Werner","non-dropping-particle":"","parse-names":false,"suffix":""},{"dropping-particle":"","family":"Gerhold","given":"Malte","non-dropping-particle":"","parse-names":false,"suffix":""}],"container-title":"Journal of Loss Prevention in the Process Industries","id":"ITEM-1","issued":{"date-parts":[["2017"]]},"page":"177-184","title":"Study of the explosion reactions of sucrose, activated charcoal, polyethylene and lignite Part 1: Effect of variation in particle surface area upon explosion reaction","type":"article-journal","volume":"46"},"uris":["http://www.mendeley.com/documents/?uuid=3ab41729-6f7b-4213-bd58-ae9bbc56f418"]}],"mendeley":{"formattedCitation":"[152]","plainTextFormattedCitation":"[152]","previouslyFormattedCitation":"[152]"},"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[152]</w:t>
            </w:r>
            <w:r w:rsidRPr="00DB19C7">
              <w:rPr>
                <w:color w:val="auto"/>
                <w:sz w:val="18"/>
                <w:szCs w:val="18"/>
                <w:lang w:eastAsia="en-GB" w:bidi="ar-SA"/>
              </w:rPr>
              <w:fldChar w:fldCharType="end"/>
            </w:r>
          </w:p>
        </w:tc>
      </w:tr>
      <w:tr w:rsidR="00DB19C7" w:rsidRPr="00DB19C7" w14:paraId="1526FA60" w14:textId="75D3F531"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776A2785"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112</w:t>
            </w:r>
          </w:p>
        </w:tc>
        <w:tc>
          <w:tcPr>
            <w:tcW w:w="1746" w:type="dxa"/>
            <w:tcBorders>
              <w:top w:val="nil"/>
              <w:left w:val="nil"/>
              <w:bottom w:val="single" w:sz="4" w:space="0" w:color="auto"/>
              <w:right w:val="single" w:sz="4" w:space="0" w:color="auto"/>
            </w:tcBorders>
            <w:shd w:val="clear" w:color="auto" w:fill="auto"/>
            <w:noWrap/>
            <w:vAlign w:val="center"/>
            <w:hideMark/>
          </w:tcPr>
          <w:p w14:paraId="3E7B05D0"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Lignite (Germany)</w:t>
            </w:r>
          </w:p>
        </w:tc>
        <w:tc>
          <w:tcPr>
            <w:tcW w:w="767" w:type="dxa"/>
            <w:tcBorders>
              <w:top w:val="nil"/>
              <w:left w:val="nil"/>
              <w:bottom w:val="single" w:sz="4" w:space="0" w:color="auto"/>
              <w:right w:val="single" w:sz="4" w:space="0" w:color="auto"/>
            </w:tcBorders>
            <w:shd w:val="clear" w:color="auto" w:fill="auto"/>
            <w:noWrap/>
            <w:vAlign w:val="center"/>
            <w:hideMark/>
          </w:tcPr>
          <w:p w14:paraId="109AD701" w14:textId="50D1A377" w:rsidR="002B4066" w:rsidRPr="00DB19C7" w:rsidRDefault="002B4066" w:rsidP="002B4066">
            <w:pPr>
              <w:adjustRightInd/>
              <w:snapToGrid/>
              <w:spacing w:line="240" w:lineRule="auto"/>
              <w:jc w:val="center"/>
              <w:rPr>
                <w:color w:val="auto"/>
                <w:sz w:val="18"/>
                <w:szCs w:val="18"/>
                <w:lang w:eastAsia="en-GB" w:bidi="ar-SA"/>
              </w:rPr>
            </w:pPr>
          </w:p>
        </w:tc>
        <w:tc>
          <w:tcPr>
            <w:tcW w:w="767" w:type="dxa"/>
            <w:tcBorders>
              <w:top w:val="nil"/>
              <w:left w:val="nil"/>
              <w:bottom w:val="single" w:sz="4" w:space="0" w:color="auto"/>
              <w:right w:val="single" w:sz="4" w:space="0" w:color="auto"/>
            </w:tcBorders>
            <w:shd w:val="clear" w:color="auto" w:fill="auto"/>
            <w:noWrap/>
            <w:vAlign w:val="center"/>
            <w:hideMark/>
          </w:tcPr>
          <w:p w14:paraId="1F36FE0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30</w:t>
            </w:r>
          </w:p>
        </w:tc>
        <w:tc>
          <w:tcPr>
            <w:tcW w:w="1018" w:type="dxa"/>
            <w:tcBorders>
              <w:top w:val="nil"/>
              <w:left w:val="nil"/>
              <w:bottom w:val="single" w:sz="4" w:space="0" w:color="auto"/>
              <w:right w:val="single" w:sz="4" w:space="0" w:color="auto"/>
            </w:tcBorders>
            <w:shd w:val="clear" w:color="auto" w:fill="auto"/>
            <w:noWrap/>
            <w:vAlign w:val="center"/>
            <w:hideMark/>
          </w:tcPr>
          <w:p w14:paraId="1BBD3DDF" w14:textId="1578F80E" w:rsidR="002B4066" w:rsidRPr="00DB19C7" w:rsidRDefault="002B4066" w:rsidP="002B4066">
            <w:pPr>
              <w:adjustRightInd/>
              <w:snapToGrid/>
              <w:spacing w:line="240" w:lineRule="auto"/>
              <w:jc w:val="center"/>
              <w:rPr>
                <w:color w:val="auto"/>
                <w:sz w:val="18"/>
                <w:szCs w:val="18"/>
                <w:lang w:eastAsia="en-GB" w:bidi="ar-SA"/>
              </w:rPr>
            </w:pPr>
          </w:p>
        </w:tc>
        <w:tc>
          <w:tcPr>
            <w:tcW w:w="1096" w:type="dxa"/>
            <w:tcBorders>
              <w:top w:val="nil"/>
              <w:left w:val="nil"/>
              <w:bottom w:val="single" w:sz="4" w:space="0" w:color="auto"/>
              <w:right w:val="single" w:sz="4" w:space="0" w:color="auto"/>
            </w:tcBorders>
            <w:shd w:val="clear" w:color="auto" w:fill="auto"/>
            <w:noWrap/>
            <w:hideMark/>
          </w:tcPr>
          <w:p w14:paraId="45FB653C" w14:textId="3AF2F8FA"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w:t>
            </w:r>
          </w:p>
        </w:tc>
        <w:tc>
          <w:tcPr>
            <w:tcW w:w="767" w:type="dxa"/>
            <w:tcBorders>
              <w:top w:val="nil"/>
              <w:left w:val="nil"/>
              <w:bottom w:val="single" w:sz="4" w:space="0" w:color="auto"/>
              <w:right w:val="single" w:sz="4" w:space="0" w:color="auto"/>
            </w:tcBorders>
            <w:shd w:val="clear" w:color="auto" w:fill="auto"/>
            <w:noWrap/>
            <w:vAlign w:val="center"/>
            <w:hideMark/>
          </w:tcPr>
          <w:p w14:paraId="586784BD" w14:textId="5CD0F32C"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165C2D9D" w14:textId="570DC0C4"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694EA98A" w14:textId="45A8FA9E"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09CAF43E"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 - SEM</w:t>
            </w:r>
          </w:p>
        </w:tc>
        <w:tc>
          <w:tcPr>
            <w:tcW w:w="567" w:type="dxa"/>
            <w:tcBorders>
              <w:top w:val="nil"/>
              <w:left w:val="nil"/>
              <w:bottom w:val="single" w:sz="4" w:space="0" w:color="auto"/>
              <w:right w:val="single" w:sz="4" w:space="0" w:color="auto"/>
            </w:tcBorders>
            <w:shd w:val="clear" w:color="auto" w:fill="auto"/>
            <w:noWrap/>
            <w:vAlign w:val="center"/>
            <w:hideMark/>
          </w:tcPr>
          <w:p w14:paraId="4A08B195" w14:textId="7EA349F3"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4A9190C6"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4D6BC82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9.85</w:t>
            </w:r>
          </w:p>
        </w:tc>
        <w:tc>
          <w:tcPr>
            <w:tcW w:w="737" w:type="dxa"/>
            <w:tcBorders>
              <w:top w:val="nil"/>
              <w:left w:val="nil"/>
              <w:bottom w:val="single" w:sz="4" w:space="0" w:color="auto"/>
              <w:right w:val="single" w:sz="4" w:space="0" w:color="auto"/>
            </w:tcBorders>
            <w:shd w:val="clear" w:color="auto" w:fill="auto"/>
            <w:noWrap/>
            <w:vAlign w:val="center"/>
            <w:hideMark/>
          </w:tcPr>
          <w:p w14:paraId="3AE98FC7"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46.1</w:t>
            </w:r>
          </w:p>
        </w:tc>
        <w:tc>
          <w:tcPr>
            <w:tcW w:w="737" w:type="dxa"/>
            <w:tcBorders>
              <w:top w:val="nil"/>
              <w:left w:val="nil"/>
              <w:bottom w:val="single" w:sz="4" w:space="0" w:color="auto"/>
              <w:right w:val="single" w:sz="4" w:space="0" w:color="auto"/>
            </w:tcBorders>
            <w:shd w:val="clear" w:color="auto" w:fill="auto"/>
            <w:noWrap/>
            <w:vAlign w:val="center"/>
            <w:hideMark/>
          </w:tcPr>
          <w:p w14:paraId="2D3D8D73"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3.85</w:t>
            </w:r>
          </w:p>
        </w:tc>
        <w:tc>
          <w:tcPr>
            <w:tcW w:w="737" w:type="dxa"/>
            <w:tcBorders>
              <w:top w:val="nil"/>
              <w:left w:val="nil"/>
              <w:bottom w:val="single" w:sz="4" w:space="0" w:color="auto"/>
              <w:right w:val="single" w:sz="4" w:space="0" w:color="auto"/>
            </w:tcBorders>
            <w:shd w:val="clear" w:color="auto" w:fill="auto"/>
            <w:noWrap/>
            <w:vAlign w:val="center"/>
            <w:hideMark/>
          </w:tcPr>
          <w:p w14:paraId="2D684B8C" w14:textId="5958E537"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357AC262" w14:textId="2F9D2AE5"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{"citationItems":[{"id":"ITEM-1","itemData":{"ISSN":"12350621","abstract":"The overall objective of this research project was to create new data on the safety-technical characteristics of renewable fuels, low-rank coals and mixtures of these. Knowledge of basic handling and safety-technical chracteristics is of crucial significance for the design of handling equipment and safety systems, and for the assessment of explosion and fire hazards. Ten biomass and lignite fuel samples and two fuel mixtures were included in the work programme. Extensive physical and chemical characterisation was performed for all samples. The reactivity of the combustible dusts was characterised by thermal analysis (DTA-TGA). Based on the thermal runaway temperatures of the dusts the samples are listed by order of reactivity. Self-ignition properties of the fuels were studied at normal and elevated pressure (1-25 bar). The results of the self-ignition tests for the fuel samples are mainly in line with the reactivity tests carried out on DTA-TGA. The elevated pressure had a significant effect on the self-ignition temperature of all fuel samples. Partial inerting increased the self-ignition temperature, but to a rather low degree. Dust explosion tests were performed in 1 m3 vessels and 20 litre spheres. Dust explosion parameters were determined both in normal conditions and at elevated temperature and pressure. A linear correlation was found between the maximum explosion pressure Pmax and the initial pressure. The values measured for the rate of pressure rise, the KSt-value, were considerably more scattered. Most differences can probably be associated with diverse turbulence conditions inside the explosion vessel. In most cases, the lower oxygen concentration LOC slightly increased with increasing initial pressure. LOC decreases with increasing initial temperature, around 1-3 vol% per 100 °C temperature rise. Suppression systems are frequently used in industry as a measure of explosion protection. The suppression tests were conducted in a heatable the 1 m3 vessel. Increasing the temperature makes the suppression of the dust explosion more demanding. Use of partly inert atmosphere led to an increased efficiency of the explosion suppression system.","author":[{"dropping-particle":"","family":"Wilén","given":"Carl","non-dropping-particle":"","parse-names":false,"suffix":""},{"dropping-particle":"","family":"Moilanen","given":"Antero","non-dropping-particle":"","parse-names":false,"suffix":""},{"dropping-particle":"","family":"Rautalin","given":"Aimo","non-dropping-particle":"","parse-names":false,"suffix":""},{"dropping-particle":"","family":"Torrent","given":"Javier","non-dropping-particle":"","parse-names":false,"suffix":""},{"dropping-particle":"","family":"Conde","given":"Eduardo","non-dropping-particle":"","parse-names":false,"suffix":""},{"dropping-particle":"","family":"Lödel","given":"Roland","non-dropping-particle":"","parse-names":false,"suffix":""},{"dropping-particle":"","family":"Carson","given":"Douglas","non-dropping-particle":"","parse-names":false,"suffix":""},{"dropping-particle":"","family":"Timmers","given":"Piet","non-dropping-particle":"","parse-names":false,"suffix":""},{"dropping-particle":"","family":"Brehm","given":"Konrad","non-dropping-particle":"","parse-names":false,"suffix":""}],"container-title":"VTT Publications","id":"ITEM-1","issue":"394","issued":{"date-parts":[["1999"]]},"title":"Safe handling of renewable fuels and fuel mixtures","type":"article-journal"},"uris":["http://www.mendeley.com/documents/?uuid=cc30f0b2-ca37-46f2-b198-10337f3ca782"]}],"mendeley":{"formattedCitation":"[17]","plainTextFormattedCitation":"[17]","previouslyFormattedCitation":"[17]"},"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[17]</w:t>
            </w:r>
            <w:r w:rsidRPr="00DB19C7">
              <w:rPr>
                <w:color w:val="auto"/>
                <w:sz w:val="18"/>
                <w:szCs w:val="18"/>
                <w:lang w:eastAsia="en-GB" w:bidi="ar-SA"/>
              </w:rPr>
              <w:fldChar w:fldCharType="end"/>
            </w:r>
          </w:p>
        </w:tc>
      </w:tr>
      <w:tr w:rsidR="00DB19C7" w:rsidRPr="00DB19C7" w14:paraId="3660499B" w14:textId="4162C663" w:rsidTr="00B365E2">
        <w:trPr>
          <w:trHeight w:val="276"/>
        </w:trPr>
        <w:tc>
          <w:tcPr>
            <w:tcW w:w="517" w:type="dxa"/>
            <w:tcBorders>
              <w:top w:val="nil"/>
              <w:left w:val="single" w:sz="4" w:space="0" w:color="auto"/>
              <w:bottom w:val="single" w:sz="4" w:space="0" w:color="auto"/>
              <w:right w:val="single" w:sz="4" w:space="0" w:color="auto"/>
            </w:tcBorders>
            <w:shd w:val="clear" w:color="auto" w:fill="auto"/>
            <w:noWrap/>
            <w:vAlign w:val="center"/>
            <w:hideMark/>
          </w:tcPr>
          <w:p w14:paraId="135FF76A"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113</w:t>
            </w:r>
          </w:p>
        </w:tc>
        <w:tc>
          <w:tcPr>
            <w:tcW w:w="1746" w:type="dxa"/>
            <w:tcBorders>
              <w:top w:val="nil"/>
              <w:left w:val="nil"/>
              <w:bottom w:val="single" w:sz="4" w:space="0" w:color="auto"/>
              <w:right w:val="single" w:sz="4" w:space="0" w:color="auto"/>
            </w:tcBorders>
            <w:shd w:val="clear" w:color="auto" w:fill="auto"/>
            <w:noWrap/>
            <w:vAlign w:val="center"/>
            <w:hideMark/>
          </w:tcPr>
          <w:p w14:paraId="63A35C5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Lignite (Spain)</w:t>
            </w:r>
          </w:p>
        </w:tc>
        <w:tc>
          <w:tcPr>
            <w:tcW w:w="767" w:type="dxa"/>
            <w:tcBorders>
              <w:top w:val="nil"/>
              <w:left w:val="nil"/>
              <w:bottom w:val="single" w:sz="4" w:space="0" w:color="auto"/>
              <w:right w:val="single" w:sz="4" w:space="0" w:color="auto"/>
            </w:tcBorders>
            <w:shd w:val="clear" w:color="auto" w:fill="auto"/>
            <w:noWrap/>
            <w:vAlign w:val="center"/>
            <w:hideMark/>
          </w:tcPr>
          <w:p w14:paraId="0D1B9191" w14:textId="425E4539" w:rsidR="002B4066" w:rsidRPr="00DB19C7" w:rsidRDefault="002B4066" w:rsidP="002B4066">
            <w:pPr>
              <w:adjustRightInd/>
              <w:snapToGrid/>
              <w:spacing w:line="240" w:lineRule="auto"/>
              <w:jc w:val="center"/>
              <w:rPr>
                <w:color w:val="auto"/>
                <w:sz w:val="18"/>
                <w:szCs w:val="18"/>
                <w:lang w:eastAsia="en-GB" w:bidi="ar-SA"/>
              </w:rPr>
            </w:pPr>
          </w:p>
        </w:tc>
        <w:tc>
          <w:tcPr>
            <w:tcW w:w="767" w:type="dxa"/>
            <w:tcBorders>
              <w:top w:val="nil"/>
              <w:left w:val="nil"/>
              <w:bottom w:val="single" w:sz="4" w:space="0" w:color="auto"/>
              <w:right w:val="single" w:sz="4" w:space="0" w:color="auto"/>
            </w:tcBorders>
            <w:shd w:val="clear" w:color="auto" w:fill="auto"/>
            <w:noWrap/>
            <w:vAlign w:val="center"/>
            <w:hideMark/>
          </w:tcPr>
          <w:p w14:paraId="75AC0E1C"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50</w:t>
            </w:r>
          </w:p>
        </w:tc>
        <w:tc>
          <w:tcPr>
            <w:tcW w:w="1018" w:type="dxa"/>
            <w:tcBorders>
              <w:top w:val="nil"/>
              <w:left w:val="nil"/>
              <w:bottom w:val="single" w:sz="4" w:space="0" w:color="auto"/>
              <w:right w:val="single" w:sz="4" w:space="0" w:color="auto"/>
            </w:tcBorders>
            <w:shd w:val="clear" w:color="auto" w:fill="auto"/>
            <w:noWrap/>
            <w:vAlign w:val="center"/>
            <w:hideMark/>
          </w:tcPr>
          <w:p w14:paraId="64A64F57" w14:textId="3592782B" w:rsidR="002B4066" w:rsidRPr="00DB19C7" w:rsidRDefault="002B4066" w:rsidP="002B4066">
            <w:pPr>
              <w:adjustRightInd/>
              <w:snapToGrid/>
              <w:spacing w:line="240" w:lineRule="auto"/>
              <w:jc w:val="center"/>
              <w:rPr>
                <w:color w:val="auto"/>
                <w:sz w:val="18"/>
                <w:szCs w:val="18"/>
                <w:lang w:eastAsia="en-GB" w:bidi="ar-SA"/>
              </w:rPr>
            </w:pPr>
          </w:p>
        </w:tc>
        <w:tc>
          <w:tcPr>
            <w:tcW w:w="1096" w:type="dxa"/>
            <w:tcBorders>
              <w:top w:val="nil"/>
              <w:left w:val="nil"/>
              <w:bottom w:val="single" w:sz="4" w:space="0" w:color="auto"/>
              <w:right w:val="single" w:sz="4" w:space="0" w:color="auto"/>
            </w:tcBorders>
            <w:shd w:val="clear" w:color="auto" w:fill="auto"/>
            <w:noWrap/>
            <w:hideMark/>
          </w:tcPr>
          <w:p w14:paraId="5B3EB085" w14:textId="24A2FEA8"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w:t>
            </w:r>
          </w:p>
        </w:tc>
        <w:tc>
          <w:tcPr>
            <w:tcW w:w="767" w:type="dxa"/>
            <w:tcBorders>
              <w:top w:val="nil"/>
              <w:left w:val="nil"/>
              <w:bottom w:val="single" w:sz="4" w:space="0" w:color="auto"/>
              <w:right w:val="single" w:sz="4" w:space="0" w:color="auto"/>
            </w:tcBorders>
            <w:shd w:val="clear" w:color="auto" w:fill="auto"/>
            <w:noWrap/>
            <w:vAlign w:val="center"/>
            <w:hideMark/>
          </w:tcPr>
          <w:p w14:paraId="0F06B815" w14:textId="4F18E901" w:rsidR="002B4066" w:rsidRPr="00DB19C7" w:rsidRDefault="002B4066" w:rsidP="002B4066">
            <w:pPr>
              <w:adjustRightInd/>
              <w:snapToGrid/>
              <w:spacing w:line="240" w:lineRule="auto"/>
              <w:jc w:val="center"/>
              <w:rPr>
                <w:color w:val="auto"/>
                <w:sz w:val="18"/>
                <w:szCs w:val="18"/>
                <w:lang w:eastAsia="en-GB" w:bidi="ar-SA"/>
              </w:rPr>
            </w:pPr>
          </w:p>
        </w:tc>
        <w:tc>
          <w:tcPr>
            <w:tcW w:w="765" w:type="dxa"/>
            <w:tcBorders>
              <w:top w:val="nil"/>
              <w:left w:val="nil"/>
              <w:bottom w:val="single" w:sz="4" w:space="0" w:color="auto"/>
              <w:right w:val="single" w:sz="4" w:space="0" w:color="auto"/>
            </w:tcBorders>
            <w:shd w:val="clear" w:color="auto" w:fill="auto"/>
            <w:noWrap/>
            <w:vAlign w:val="center"/>
            <w:hideMark/>
          </w:tcPr>
          <w:p w14:paraId="0FD0C856" w14:textId="09AFADF9" w:rsidR="002B4066" w:rsidRPr="00DB19C7" w:rsidRDefault="002B4066" w:rsidP="002B4066">
            <w:pPr>
              <w:adjustRightInd/>
              <w:snapToGrid/>
              <w:spacing w:line="240" w:lineRule="auto"/>
              <w:jc w:val="center"/>
              <w:rPr>
                <w:color w:val="auto"/>
                <w:sz w:val="18"/>
                <w:szCs w:val="18"/>
                <w:lang w:eastAsia="en-GB" w:bidi="ar-SA"/>
              </w:rPr>
            </w:pPr>
          </w:p>
        </w:tc>
        <w:tc>
          <w:tcPr>
            <w:tcW w:w="1199" w:type="dxa"/>
            <w:tcBorders>
              <w:top w:val="nil"/>
              <w:left w:val="nil"/>
              <w:bottom w:val="single" w:sz="4" w:space="0" w:color="auto"/>
              <w:right w:val="single" w:sz="4" w:space="0" w:color="auto"/>
            </w:tcBorders>
            <w:shd w:val="clear" w:color="auto" w:fill="auto"/>
            <w:noWrap/>
            <w:vAlign w:val="center"/>
            <w:hideMark/>
          </w:tcPr>
          <w:p w14:paraId="57A24263" w14:textId="33B1DE6F" w:rsidR="002B4066" w:rsidRPr="00DB19C7" w:rsidRDefault="002B4066" w:rsidP="002B4066">
            <w:pPr>
              <w:adjustRightInd/>
              <w:snapToGrid/>
              <w:spacing w:line="240" w:lineRule="auto"/>
              <w:jc w:val="center"/>
              <w:rPr>
                <w:color w:val="auto"/>
                <w:sz w:val="18"/>
                <w:szCs w:val="18"/>
                <w:lang w:eastAsia="en-GB" w:bidi="ar-SA"/>
              </w:rPr>
            </w:pPr>
          </w:p>
        </w:tc>
        <w:tc>
          <w:tcPr>
            <w:tcW w:w="1137" w:type="dxa"/>
            <w:tcBorders>
              <w:top w:val="nil"/>
              <w:left w:val="nil"/>
              <w:bottom w:val="single" w:sz="4" w:space="0" w:color="auto"/>
              <w:right w:val="single" w:sz="4" w:space="0" w:color="auto"/>
            </w:tcBorders>
            <w:shd w:val="clear" w:color="auto" w:fill="auto"/>
            <w:noWrap/>
            <w:vAlign w:val="center"/>
            <w:hideMark/>
          </w:tcPr>
          <w:p w14:paraId="06D9C42F"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Yes - SEM</w:t>
            </w:r>
          </w:p>
        </w:tc>
        <w:tc>
          <w:tcPr>
            <w:tcW w:w="567" w:type="dxa"/>
            <w:tcBorders>
              <w:top w:val="nil"/>
              <w:left w:val="nil"/>
              <w:bottom w:val="single" w:sz="4" w:space="0" w:color="auto"/>
              <w:right w:val="single" w:sz="4" w:space="0" w:color="auto"/>
            </w:tcBorders>
            <w:shd w:val="clear" w:color="auto" w:fill="auto"/>
            <w:noWrap/>
            <w:vAlign w:val="center"/>
            <w:hideMark/>
          </w:tcPr>
          <w:p w14:paraId="6B47E7FC" w14:textId="49AF0BE9" w:rsidR="002B4066" w:rsidRPr="00DB19C7" w:rsidRDefault="002B4066" w:rsidP="002B4066">
            <w:pPr>
              <w:adjustRightInd/>
              <w:snapToGrid/>
              <w:spacing w:line="240" w:lineRule="auto"/>
              <w:jc w:val="center"/>
              <w:rPr>
                <w:color w:val="auto"/>
                <w:sz w:val="18"/>
                <w:szCs w:val="18"/>
                <w:lang w:eastAsia="en-GB" w:bidi="ar-SA"/>
              </w:rPr>
            </w:pPr>
          </w:p>
        </w:tc>
        <w:tc>
          <w:tcPr>
            <w:tcW w:w="1134" w:type="dxa"/>
            <w:tcBorders>
              <w:top w:val="nil"/>
              <w:left w:val="nil"/>
              <w:bottom w:val="single" w:sz="4" w:space="0" w:color="auto"/>
              <w:right w:val="single" w:sz="4" w:space="0" w:color="auto"/>
            </w:tcBorders>
            <w:shd w:val="clear" w:color="auto" w:fill="auto"/>
            <w:noWrap/>
            <w:vAlign w:val="center"/>
            <w:hideMark/>
          </w:tcPr>
          <w:p w14:paraId="409B8F21"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Laser diffraction</w:t>
            </w:r>
          </w:p>
        </w:tc>
        <w:tc>
          <w:tcPr>
            <w:tcW w:w="737" w:type="dxa"/>
            <w:tcBorders>
              <w:top w:val="nil"/>
              <w:left w:val="nil"/>
              <w:bottom w:val="single" w:sz="4" w:space="0" w:color="auto"/>
              <w:right w:val="single" w:sz="4" w:space="0" w:color="auto"/>
            </w:tcBorders>
            <w:shd w:val="clear" w:color="auto" w:fill="auto"/>
            <w:noWrap/>
            <w:vAlign w:val="center"/>
            <w:hideMark/>
          </w:tcPr>
          <w:p w14:paraId="2ACEC413"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16.65</w:t>
            </w:r>
          </w:p>
        </w:tc>
        <w:tc>
          <w:tcPr>
            <w:tcW w:w="737" w:type="dxa"/>
            <w:tcBorders>
              <w:top w:val="nil"/>
              <w:left w:val="nil"/>
              <w:bottom w:val="single" w:sz="4" w:space="0" w:color="auto"/>
              <w:right w:val="single" w:sz="4" w:space="0" w:color="auto"/>
            </w:tcBorders>
            <w:shd w:val="clear" w:color="auto" w:fill="auto"/>
            <w:noWrap/>
            <w:vAlign w:val="center"/>
            <w:hideMark/>
          </w:tcPr>
          <w:p w14:paraId="5944D3A2"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36.6</w:t>
            </w:r>
          </w:p>
        </w:tc>
        <w:tc>
          <w:tcPr>
            <w:tcW w:w="737" w:type="dxa"/>
            <w:tcBorders>
              <w:top w:val="nil"/>
              <w:left w:val="nil"/>
              <w:bottom w:val="single" w:sz="4" w:space="0" w:color="auto"/>
              <w:right w:val="single" w:sz="4" w:space="0" w:color="auto"/>
            </w:tcBorders>
            <w:shd w:val="clear" w:color="auto" w:fill="auto"/>
            <w:noWrap/>
            <w:vAlign w:val="center"/>
            <w:hideMark/>
          </w:tcPr>
          <w:p w14:paraId="4077D9AC" w14:textId="77777777" w:rsidR="002B4066" w:rsidRPr="00DB19C7" w:rsidRDefault="002B4066" w:rsidP="002B4066">
            <w:pPr>
              <w:adjustRightInd/>
              <w:snapToGrid/>
              <w:spacing w:line="240" w:lineRule="auto"/>
              <w:jc w:val="center"/>
              <w:rPr>
                <w:color w:val="auto"/>
                <w:sz w:val="18"/>
                <w:szCs w:val="18"/>
                <w:lang w:eastAsia="en-GB" w:bidi="ar-SA"/>
              </w:rPr>
            </w:pPr>
            <w:r w:rsidRPr="00DB19C7">
              <w:rPr>
                <w:color w:val="auto"/>
                <w:sz w:val="18"/>
                <w:szCs w:val="18"/>
                <w:lang w:eastAsia="en-GB" w:bidi="ar-SA"/>
              </w:rPr>
              <w:t>17.1</w:t>
            </w:r>
          </w:p>
        </w:tc>
        <w:tc>
          <w:tcPr>
            <w:tcW w:w="737" w:type="dxa"/>
            <w:tcBorders>
              <w:top w:val="nil"/>
              <w:left w:val="nil"/>
              <w:bottom w:val="single" w:sz="4" w:space="0" w:color="auto"/>
              <w:right w:val="single" w:sz="4" w:space="0" w:color="auto"/>
            </w:tcBorders>
            <w:shd w:val="clear" w:color="auto" w:fill="auto"/>
            <w:noWrap/>
            <w:vAlign w:val="center"/>
            <w:hideMark/>
          </w:tcPr>
          <w:p w14:paraId="50E683EF" w14:textId="5B68BD57" w:rsidR="002B4066" w:rsidRPr="00DB19C7" w:rsidRDefault="002B4066" w:rsidP="002B4066">
            <w:pPr>
              <w:adjustRightInd/>
              <w:snapToGrid/>
              <w:spacing w:line="240" w:lineRule="auto"/>
              <w:jc w:val="center"/>
              <w:rPr>
                <w:color w:val="auto"/>
                <w:sz w:val="18"/>
                <w:szCs w:val="18"/>
                <w:lang w:eastAsia="en-GB" w:bidi="ar-SA"/>
              </w:rPr>
            </w:pPr>
          </w:p>
        </w:tc>
        <w:tc>
          <w:tcPr>
            <w:tcW w:w="617" w:type="dxa"/>
            <w:tcBorders>
              <w:top w:val="single" w:sz="4" w:space="0" w:color="auto"/>
              <w:left w:val="nil"/>
              <w:bottom w:val="single" w:sz="4" w:space="0" w:color="auto"/>
              <w:right w:val="single" w:sz="4" w:space="0" w:color="auto"/>
            </w:tcBorders>
            <w:vAlign w:val="center"/>
          </w:tcPr>
          <w:p w14:paraId="5EEEF6D1" w14:textId="3B834E29" w:rsidR="002B4066" w:rsidRPr="00DB19C7" w:rsidRDefault="002B4066" w:rsidP="000305FD">
            <w:pPr>
              <w:adjustRightInd/>
              <w:snapToGrid/>
              <w:spacing w:line="240" w:lineRule="auto"/>
              <w:jc w:val="center"/>
              <w:rPr>
                <w:color w:val="auto"/>
                <w:sz w:val="18"/>
                <w:szCs w:val="18"/>
                <w:lang w:eastAsia="en-GB" w:bidi="ar-SA"/>
              </w:rPr>
            </w:pPr>
            <w:r w:rsidRPr="00DB19C7">
              <w:rPr>
                <w:color w:val="auto"/>
                <w:sz w:val="18"/>
                <w:szCs w:val="18"/>
                <w:lang w:eastAsia="en-GB" w:bidi="ar-SA"/>
              </w:rPr>
              <w:fldChar w:fldCharType="begin" w:fldLock="1"/>
            </w:r>
            <w:r w:rsidRPr="00DB19C7">
              <w:rPr>
                <w:color w:val="auto"/>
                <w:sz w:val="18"/>
                <w:szCs w:val="18"/>
                <w:lang w:eastAsia="en-GB" w:bidi="ar-SA"/>
              </w:rPr>
              <w:instrText>ADDIN CSL_CITATION {"citationItems":[{"id":"ITEM-1","itemData":{"ISSN":"12350621","abstract":"The overall objective of this research project was to create new data on the safety-technical characteristics of renewable fuels, low-rank coals and mixtures of these. Knowledge of basic handling and safety-technical chracteristics is of crucial significance for the design of handling equipment and safety systems, and for the assessment of explosion and fire hazards. Ten biomass and lignite fuel samples and two fuel mixtures were included in the work programme. Extensive physical and chemical characterisation was performed for all samples. The reactivity of the combustible dusts was characterised by thermal analysis (DTA-TGA). Based on the thermal runaway temperatures of the dusts the samples are listed by order of reactivity. Self-ignition properties of the fuels were studied at normal and elevated pressure (1-25 bar). The results of the self-ignition tests for the fuel samples are mainly in line with the reactivity tests carried out on DTA-TGA. The elevated pressure had a significant effect on the self-ignition temperature of all fuel samples. Partial inerting increased the self-ignition temperature, but to a rather low degree. Dust explosion tests were performed in 1 m3 vessels and 20 litre spheres. Dust explosion parameters were determined both in normal conditions and at elevated temperature and pressure. A linear correlation was found between the maximum explosion pressure Pmax and the initial pressure. The values measured for the rate of pressure rise, the KSt-value, were considerably more scattered. Most differences can probably be associated with diverse turbulence conditions inside the explosion vessel. In most cases, the lower oxygen concentration LOC slightly increased with increasing initial pressure. LOC decreases with increasing initial temperature, around 1-3 vol% per 100 °C temperature rise. Suppression systems are frequently used in industry as a measure of explosion protection. The suppression tests were conducted in a heatable the 1 m3 vessel. Increasing the temperature makes the suppression of the dust explosion more demanding. Use of partly inert atmosphere led to an increased efficiency of the explosion suppression system.","author":[{"dropping-particle":"","family":"Wilén","given":"Carl","non-dropping-particle":"","parse-names":false,"suffix":""},{"dropping-particle":"","family":"Moilanen","given":"Antero","non-dropping-particle":"","parse-names":false,"suffix":""},{"dropping-particle":"","family":"Rautalin","given":"Aimo","non-dropping-particle":"","parse-names":false,"suffix":""},{"dropping-particle":"","family":"Torrent","given":"Javier","non-dropping-particle":"","parse-names":false,"suffix":""},{"dropping-particle":"","family":"Conde","given":"Eduardo","non-dropping-particle":"","parse-names":false,"suffix":""},{"dropping-particle":"","family":"Lödel","given":"Roland","non-dropping-particle":"","parse-names":false,"suffix":""},{"dropping-particle":"","family":"Carson","given":"Douglas","non-dropping-particle":"","parse-names":false,"suffix":""},{"dropping-particle":"","family":"Timmers","given":"Piet","non-dropping-particle":"","parse-names":false,"suffix":""},{"dropping-particle":"","family":"Brehm","given":"Konrad","non-dropping-particle":"","parse-names":false,"suffix":""}],"container-title":"VTT Publications","id":"ITEM-1","issue":"394","issued":{"date-parts":[["1999"]]},"title":"Safe handling of renewable fuels and fuel mixtures","type":"article-journal"},"uris":["http://www.mendeley.com/documents/?uuid=cc30f0b2-ca37-46f2-b198-10337f3ca782"]}],"mendeley":{"formattedCitation":"[17]","plainTextFormattedCitation":"[17]","previouslyFormattedCitation":"[17]"},"properties":{"noteIndex":0},"schema":"https://github.com/citation-style-language/schema/raw/master/csl-citation.json"}</w:instrText>
            </w:r>
            <w:r w:rsidRPr="00DB19C7">
              <w:rPr>
                <w:color w:val="auto"/>
                <w:sz w:val="18"/>
                <w:szCs w:val="18"/>
                <w:lang w:eastAsia="en-GB" w:bidi="ar-SA"/>
              </w:rPr>
              <w:fldChar w:fldCharType="separate"/>
            </w:r>
            <w:r w:rsidRPr="00DB19C7">
              <w:rPr>
                <w:noProof/>
                <w:color w:val="auto"/>
                <w:sz w:val="18"/>
                <w:szCs w:val="18"/>
                <w:lang w:eastAsia="en-GB" w:bidi="ar-SA"/>
              </w:rPr>
              <w:t>[17]</w:t>
            </w:r>
            <w:r w:rsidRPr="00DB19C7">
              <w:rPr>
                <w:color w:val="auto"/>
                <w:sz w:val="18"/>
                <w:szCs w:val="18"/>
                <w:lang w:eastAsia="en-GB" w:bidi="ar-SA"/>
              </w:rPr>
              <w:fldChar w:fldCharType="end"/>
            </w:r>
          </w:p>
        </w:tc>
      </w:tr>
    </w:tbl>
    <w:p w14:paraId="542A0691" w14:textId="7D23E87A" w:rsidR="00F60917" w:rsidRPr="00DB19C7" w:rsidRDefault="00F60917" w:rsidP="00744E5A">
      <w:pPr>
        <w:rPr>
          <w:color w:val="auto"/>
        </w:rPr>
      </w:pPr>
    </w:p>
    <w:p w14:paraId="659A99F6" w14:textId="5D22A930" w:rsidR="007954FB" w:rsidRPr="00DB19C7" w:rsidRDefault="00325A41" w:rsidP="00744E5A">
      <w:pPr>
        <w:rPr>
          <w:color w:val="auto"/>
        </w:rPr>
      </w:pPr>
      <w:proofErr w:type="spellStart"/>
      <w:proofErr w:type="gramStart"/>
      <w:r w:rsidRPr="00DB19C7">
        <w:rPr>
          <w:color w:val="auto"/>
          <w:vertAlign w:val="superscript"/>
        </w:rPr>
        <w:t>a</w:t>
      </w:r>
      <w:proofErr w:type="spellEnd"/>
      <w:proofErr w:type="gramEnd"/>
      <w:r w:rsidR="00A16E29" w:rsidRPr="00DB19C7">
        <w:rPr>
          <w:color w:val="auto"/>
        </w:rPr>
        <w:t xml:space="preserve"> </w:t>
      </w:r>
      <w:r w:rsidR="007954FB" w:rsidRPr="00DB19C7">
        <w:rPr>
          <w:color w:val="auto"/>
        </w:rPr>
        <w:t xml:space="preserve">The following units and abbreviations had been used: </w:t>
      </w:r>
      <w:r w:rsidR="007954FB" w:rsidRPr="00DB19C7">
        <w:rPr>
          <w:i/>
          <w:color w:val="auto"/>
        </w:rPr>
        <w:t>d</w:t>
      </w:r>
      <w:r w:rsidR="007954FB" w:rsidRPr="00DB19C7">
        <w:rPr>
          <w:i/>
          <w:color w:val="auto"/>
          <w:vertAlign w:val="subscript"/>
        </w:rPr>
        <w:t>10</w:t>
      </w:r>
      <w:r w:rsidR="007954FB" w:rsidRPr="00DB19C7">
        <w:rPr>
          <w:color w:val="auto"/>
        </w:rPr>
        <w:t xml:space="preserve"> (</w:t>
      </w:r>
      <w:proofErr w:type="spellStart"/>
      <w:r w:rsidR="007954FB" w:rsidRPr="00DB19C7">
        <w:rPr>
          <w:color w:val="auto"/>
        </w:rPr>
        <w:t>μm</w:t>
      </w:r>
      <w:proofErr w:type="spellEnd"/>
      <w:r w:rsidR="007954FB" w:rsidRPr="00DB19C7">
        <w:rPr>
          <w:color w:val="auto"/>
        </w:rPr>
        <w:t xml:space="preserve">), </w:t>
      </w:r>
      <w:r w:rsidR="007954FB" w:rsidRPr="00DB19C7">
        <w:rPr>
          <w:i/>
          <w:color w:val="auto"/>
        </w:rPr>
        <w:t>d</w:t>
      </w:r>
      <w:r w:rsidR="007954FB" w:rsidRPr="00DB19C7">
        <w:rPr>
          <w:i/>
          <w:color w:val="auto"/>
          <w:vertAlign w:val="subscript"/>
        </w:rPr>
        <w:t>50</w:t>
      </w:r>
      <w:r w:rsidR="007954FB" w:rsidRPr="00DB19C7">
        <w:rPr>
          <w:color w:val="auto"/>
        </w:rPr>
        <w:t xml:space="preserve"> (</w:t>
      </w:r>
      <w:proofErr w:type="spellStart"/>
      <w:r w:rsidR="007954FB" w:rsidRPr="00DB19C7">
        <w:rPr>
          <w:color w:val="auto"/>
        </w:rPr>
        <w:t>μm</w:t>
      </w:r>
      <w:proofErr w:type="spellEnd"/>
      <w:r w:rsidR="007954FB" w:rsidRPr="00DB19C7">
        <w:rPr>
          <w:color w:val="auto"/>
        </w:rPr>
        <w:t xml:space="preserve">), </w:t>
      </w:r>
      <w:r w:rsidR="007954FB" w:rsidRPr="00DB19C7">
        <w:rPr>
          <w:i/>
          <w:color w:val="auto"/>
        </w:rPr>
        <w:t>d</w:t>
      </w:r>
      <w:r w:rsidR="007954FB" w:rsidRPr="00DB19C7">
        <w:rPr>
          <w:i/>
          <w:color w:val="auto"/>
          <w:vertAlign w:val="subscript"/>
        </w:rPr>
        <w:t>90</w:t>
      </w:r>
      <w:r w:rsidR="007954FB" w:rsidRPr="00DB19C7">
        <w:rPr>
          <w:color w:val="auto"/>
        </w:rPr>
        <w:t xml:space="preserve"> (</w:t>
      </w:r>
      <w:proofErr w:type="spellStart"/>
      <w:r w:rsidR="007954FB" w:rsidRPr="00DB19C7">
        <w:rPr>
          <w:color w:val="auto"/>
        </w:rPr>
        <w:t>μm</w:t>
      </w:r>
      <w:proofErr w:type="spellEnd"/>
      <w:r w:rsidR="007954FB" w:rsidRPr="00DB19C7">
        <w:rPr>
          <w:color w:val="auto"/>
        </w:rPr>
        <w:t xml:space="preserve">), </w:t>
      </w:r>
      <w:r w:rsidR="00B365E2" w:rsidRPr="00DB19C7">
        <w:rPr>
          <w:i/>
          <w:color w:val="auto"/>
        </w:rPr>
        <w:t>d</w:t>
      </w:r>
      <w:r w:rsidR="00B04CEC" w:rsidRPr="00DB19C7">
        <w:rPr>
          <w:i/>
          <w:color w:val="auto"/>
          <w:vertAlign w:val="subscript"/>
        </w:rPr>
        <w:t>4,3</w:t>
      </w:r>
      <w:r w:rsidR="00B04CEC" w:rsidRPr="00DB19C7">
        <w:rPr>
          <w:color w:val="auto"/>
        </w:rPr>
        <w:t xml:space="preserve"> (</w:t>
      </w:r>
      <w:proofErr w:type="spellStart"/>
      <w:r w:rsidR="00B04CEC" w:rsidRPr="00DB19C7">
        <w:rPr>
          <w:color w:val="auto"/>
        </w:rPr>
        <w:t>μm</w:t>
      </w:r>
      <w:proofErr w:type="spellEnd"/>
      <w:r w:rsidR="00B04CEC" w:rsidRPr="00DB19C7">
        <w:rPr>
          <w:color w:val="auto"/>
        </w:rPr>
        <w:t xml:space="preserve">), </w:t>
      </w:r>
      <w:r w:rsidR="00B04CEC" w:rsidRPr="00DB19C7">
        <w:rPr>
          <w:i/>
          <w:color w:val="auto"/>
        </w:rPr>
        <w:t>d</w:t>
      </w:r>
      <w:r w:rsidR="00B04CEC" w:rsidRPr="00DB19C7">
        <w:rPr>
          <w:i/>
          <w:color w:val="auto"/>
          <w:vertAlign w:val="subscript"/>
        </w:rPr>
        <w:t>3,2</w:t>
      </w:r>
      <w:r w:rsidR="00B04CEC" w:rsidRPr="00DB19C7">
        <w:rPr>
          <w:color w:val="auto"/>
        </w:rPr>
        <w:t xml:space="preserve"> (</w:t>
      </w:r>
      <w:proofErr w:type="spellStart"/>
      <w:r w:rsidR="00B04CEC" w:rsidRPr="00DB19C7">
        <w:rPr>
          <w:color w:val="auto"/>
        </w:rPr>
        <w:t>μm</w:t>
      </w:r>
      <w:proofErr w:type="spellEnd"/>
      <w:r w:rsidR="00B04CEC" w:rsidRPr="00DB19C7">
        <w:rPr>
          <w:color w:val="auto"/>
        </w:rPr>
        <w:t>),</w:t>
      </w:r>
      <w:r w:rsidR="00A16E29" w:rsidRPr="00DB19C7">
        <w:rPr>
          <w:color w:val="auto"/>
        </w:rPr>
        <w:t xml:space="preserve"> PD – polydispersity (-),</w:t>
      </w:r>
      <w:r w:rsidR="00B04CEC" w:rsidRPr="00DB19C7">
        <w:rPr>
          <w:color w:val="auto"/>
        </w:rPr>
        <w:t xml:space="preserve"> </w:t>
      </w:r>
      <w:r w:rsidR="00776D2A" w:rsidRPr="00DB19C7">
        <w:rPr>
          <w:color w:val="auto"/>
        </w:rPr>
        <w:t xml:space="preserve">M – moisture content (%), V – volatile content (%), A – ash content (%), </w:t>
      </w:r>
      <w:r w:rsidR="002D147A" w:rsidRPr="00DB19C7">
        <w:rPr>
          <w:color w:val="auto"/>
        </w:rPr>
        <w:t>FC – fixed carbon (%)</w:t>
      </w:r>
    </w:p>
    <w:p w14:paraId="4964A252" w14:textId="699DAEA0" w:rsidR="00A16E29" w:rsidRPr="00DB19C7" w:rsidRDefault="00325A41" w:rsidP="00744E5A">
      <w:pPr>
        <w:rPr>
          <w:color w:val="auto"/>
        </w:rPr>
      </w:pPr>
      <w:proofErr w:type="gramStart"/>
      <w:r w:rsidRPr="00DB19C7">
        <w:rPr>
          <w:color w:val="auto"/>
          <w:vertAlign w:val="superscript"/>
        </w:rPr>
        <w:t>b</w:t>
      </w:r>
      <w:proofErr w:type="gramEnd"/>
      <w:r w:rsidR="00732400" w:rsidRPr="00DB19C7">
        <w:rPr>
          <w:color w:val="auto"/>
        </w:rPr>
        <w:t xml:space="preserve"> </w:t>
      </w:r>
      <w:r w:rsidR="009159C4" w:rsidRPr="00DB19C7">
        <w:rPr>
          <w:color w:val="auto"/>
        </w:rPr>
        <w:t xml:space="preserve">The paper reports </w:t>
      </w:r>
      <w:r w:rsidR="009159C4" w:rsidRPr="00DB19C7">
        <w:rPr>
          <w:i/>
          <w:color w:val="auto"/>
        </w:rPr>
        <w:t>d</w:t>
      </w:r>
      <w:r w:rsidR="009159C4" w:rsidRPr="00DB19C7">
        <w:rPr>
          <w:i/>
          <w:color w:val="auto"/>
          <w:vertAlign w:val="subscript"/>
        </w:rPr>
        <w:t>5</w:t>
      </w:r>
      <w:r w:rsidR="009159C4" w:rsidRPr="00DB19C7">
        <w:rPr>
          <w:color w:val="auto"/>
        </w:rPr>
        <w:t xml:space="preserve"> (written as </w:t>
      </w:r>
      <w:r w:rsidR="00B365E2" w:rsidRPr="00DB19C7">
        <w:rPr>
          <w:i/>
          <w:color w:val="auto"/>
        </w:rPr>
        <w:t>d</w:t>
      </w:r>
      <w:r w:rsidR="00B365E2" w:rsidRPr="00DB19C7">
        <w:rPr>
          <w:i/>
          <w:color w:val="auto"/>
          <w:vertAlign w:val="subscript"/>
        </w:rPr>
        <w:t>10</w:t>
      </w:r>
      <w:r w:rsidR="009159C4" w:rsidRPr="00DB19C7">
        <w:rPr>
          <w:color w:val="auto"/>
        </w:rPr>
        <w:t xml:space="preserve">) and </w:t>
      </w:r>
      <w:r w:rsidR="009159C4" w:rsidRPr="00DB19C7">
        <w:rPr>
          <w:i/>
          <w:color w:val="auto"/>
        </w:rPr>
        <w:t>d</w:t>
      </w:r>
      <w:r w:rsidR="009159C4" w:rsidRPr="00DB19C7">
        <w:rPr>
          <w:i/>
          <w:color w:val="auto"/>
          <w:vertAlign w:val="subscript"/>
        </w:rPr>
        <w:t>95</w:t>
      </w:r>
      <w:r w:rsidR="009159C4" w:rsidRPr="00DB19C7">
        <w:rPr>
          <w:color w:val="auto"/>
        </w:rPr>
        <w:t xml:space="preserve"> (written as </w:t>
      </w:r>
      <w:r w:rsidR="00B365E2" w:rsidRPr="00DB19C7">
        <w:rPr>
          <w:i/>
          <w:color w:val="auto"/>
        </w:rPr>
        <w:t>d</w:t>
      </w:r>
      <w:r w:rsidR="00B365E2" w:rsidRPr="00DB19C7">
        <w:rPr>
          <w:i/>
          <w:color w:val="auto"/>
          <w:vertAlign w:val="subscript"/>
        </w:rPr>
        <w:t>90</w:t>
      </w:r>
      <w:r w:rsidR="00BD2595" w:rsidRPr="00DB19C7">
        <w:rPr>
          <w:color w:val="auto"/>
        </w:rPr>
        <w:t>)</w:t>
      </w:r>
    </w:p>
    <w:p w14:paraId="18CFFDF8" w14:textId="4C6DCDF5" w:rsidR="00BD2595" w:rsidRPr="00DB19C7" w:rsidRDefault="00325A41" w:rsidP="00744E5A">
      <w:pPr>
        <w:rPr>
          <w:color w:val="auto"/>
        </w:rPr>
      </w:pPr>
      <w:r w:rsidRPr="00DB19C7">
        <w:rPr>
          <w:color w:val="auto"/>
          <w:vertAlign w:val="superscript"/>
        </w:rPr>
        <w:t>c</w:t>
      </w:r>
      <w:r w:rsidR="00BD2595" w:rsidRPr="00DB19C7">
        <w:rPr>
          <w:color w:val="auto"/>
        </w:rPr>
        <w:t xml:space="preserve"> SSA determined using the BET method (highest value, includes ro</w:t>
      </w:r>
      <w:bookmarkStart w:id="0" w:name="_GoBack"/>
      <w:bookmarkEnd w:id="0"/>
      <w:r w:rsidR="00BD2595" w:rsidRPr="00DB19C7">
        <w:rPr>
          <w:color w:val="auto"/>
        </w:rPr>
        <w:t>ughness and porous surfaces) and the image analysis method (lowest value, projection of particle outer surface)</w:t>
      </w:r>
    </w:p>
    <w:p w14:paraId="43A59D40" w14:textId="299E6543" w:rsidR="00325A41" w:rsidRPr="00DB19C7" w:rsidRDefault="00325A41" w:rsidP="00744E5A">
      <w:pPr>
        <w:rPr>
          <w:color w:val="auto"/>
        </w:rPr>
      </w:pPr>
      <w:r w:rsidRPr="00DB19C7">
        <w:rPr>
          <w:color w:val="auto"/>
          <w:vertAlign w:val="superscript"/>
        </w:rPr>
        <w:t>d</w:t>
      </w:r>
      <w:r w:rsidRPr="00DB19C7">
        <w:rPr>
          <w:color w:val="auto"/>
        </w:rPr>
        <w:t xml:space="preserve"> Values reported as dry </w:t>
      </w:r>
      <w:proofErr w:type="spellStart"/>
      <w:r w:rsidRPr="00DB19C7">
        <w:rPr>
          <w:color w:val="auto"/>
        </w:rPr>
        <w:t>ash</w:t>
      </w:r>
      <w:proofErr w:type="spellEnd"/>
      <w:r w:rsidRPr="00DB19C7">
        <w:rPr>
          <w:color w:val="auto"/>
        </w:rPr>
        <w:t xml:space="preserve"> free (</w:t>
      </w:r>
      <w:proofErr w:type="spellStart"/>
      <w:r w:rsidRPr="00DB19C7">
        <w:rPr>
          <w:color w:val="auto"/>
        </w:rPr>
        <w:t>daf</w:t>
      </w:r>
      <w:proofErr w:type="spellEnd"/>
      <w:r w:rsidRPr="00DB19C7">
        <w:rPr>
          <w:color w:val="auto"/>
        </w:rPr>
        <w:t>)</w:t>
      </w:r>
    </w:p>
    <w:p w14:paraId="60BEA3A6" w14:textId="0C98F6D7" w:rsidR="00963F8E" w:rsidRPr="00DB19C7" w:rsidRDefault="00963F8E" w:rsidP="00744E5A">
      <w:pPr>
        <w:rPr>
          <w:color w:val="auto"/>
        </w:rPr>
      </w:pPr>
    </w:p>
    <w:p w14:paraId="63426048" w14:textId="0474A39E" w:rsidR="00963F8E" w:rsidRPr="00DB19C7" w:rsidRDefault="00963F8E" w:rsidP="00744E5A">
      <w:pPr>
        <w:rPr>
          <w:color w:val="auto"/>
        </w:rPr>
      </w:pPr>
    </w:p>
    <w:p w14:paraId="17E3C59A" w14:textId="77777777" w:rsidR="004D41D4" w:rsidRPr="00DB19C7" w:rsidRDefault="004D41D4" w:rsidP="004D41D4">
      <w:pPr>
        <w:widowControl w:val="0"/>
        <w:autoSpaceDE w:val="0"/>
        <w:autoSpaceDN w:val="0"/>
        <w:ind w:left="640" w:hanging="640"/>
        <w:rPr>
          <w:rFonts w:ascii="Times New Roman" w:hAnsi="Times New Roman" w:cs="Times New Roman"/>
          <w:noProof/>
          <w:color w:val="auto"/>
        </w:rPr>
      </w:pPr>
      <w:r w:rsidRPr="00DB19C7">
        <w:rPr>
          <w:rFonts w:ascii="Times New Roman" w:hAnsi="Times New Roman" w:cs="Times New Roman"/>
          <w:noProof/>
          <w:color w:val="auto"/>
        </w:rPr>
        <w:t>[142]</w:t>
      </w:r>
      <w:r w:rsidRPr="00DB19C7">
        <w:rPr>
          <w:rFonts w:ascii="Times New Roman" w:hAnsi="Times New Roman" w:cs="Times New Roman"/>
          <w:noProof/>
          <w:color w:val="auto"/>
        </w:rPr>
        <w:tab/>
        <w:t>J. García Torrent, Á. Ramírez-Gómez, N. Fernandez-Anez, L. Medic Pejic, A. Tascón, Influence of the composition of solid biomass in the flammability and susceptibility to spontaneous combustion, Fuel. 184 (2016) 503–511. https://doi.org/10.1016/j.fuel.2016.07.045.</w:t>
      </w:r>
    </w:p>
    <w:p w14:paraId="1820677C" w14:textId="77777777" w:rsidR="004D41D4" w:rsidRPr="00DB19C7" w:rsidRDefault="004D41D4" w:rsidP="004D41D4">
      <w:pPr>
        <w:widowControl w:val="0"/>
        <w:autoSpaceDE w:val="0"/>
        <w:autoSpaceDN w:val="0"/>
        <w:ind w:left="640" w:hanging="640"/>
        <w:rPr>
          <w:rFonts w:ascii="Times New Roman" w:hAnsi="Times New Roman" w:cs="Times New Roman"/>
          <w:noProof/>
          <w:color w:val="auto"/>
        </w:rPr>
      </w:pPr>
      <w:r w:rsidRPr="00DB19C7">
        <w:rPr>
          <w:rFonts w:ascii="Times New Roman" w:hAnsi="Times New Roman" w:cs="Times New Roman"/>
          <w:noProof/>
          <w:color w:val="auto"/>
        </w:rPr>
        <w:t>[143]</w:t>
      </w:r>
      <w:r w:rsidRPr="00DB19C7">
        <w:rPr>
          <w:rFonts w:ascii="Times New Roman" w:hAnsi="Times New Roman" w:cs="Times New Roman"/>
          <w:noProof/>
          <w:color w:val="auto"/>
        </w:rPr>
        <w:tab/>
        <w:t>S. Hosseinzadeh, J. Berghmans, J. Degreve, F. Verplaetsen, A model for the minimum ignition energy of dust clouds, Process Saf. Environ. Prot. 121 (2019) 43–49. https://doi.org/10.1016/j.psep.2018.10.004.</w:t>
      </w:r>
    </w:p>
    <w:p w14:paraId="2E2EBEEA" w14:textId="77777777" w:rsidR="004D41D4" w:rsidRPr="00DB19C7" w:rsidRDefault="004D41D4" w:rsidP="004D41D4">
      <w:pPr>
        <w:widowControl w:val="0"/>
        <w:autoSpaceDE w:val="0"/>
        <w:autoSpaceDN w:val="0"/>
        <w:ind w:left="640" w:hanging="640"/>
        <w:rPr>
          <w:rFonts w:ascii="Times New Roman" w:hAnsi="Times New Roman" w:cs="Times New Roman"/>
          <w:noProof/>
          <w:color w:val="auto"/>
        </w:rPr>
      </w:pPr>
      <w:r w:rsidRPr="00DB19C7">
        <w:rPr>
          <w:rFonts w:ascii="Times New Roman" w:hAnsi="Times New Roman" w:cs="Times New Roman"/>
          <w:noProof/>
          <w:color w:val="auto"/>
        </w:rPr>
        <w:t>[144]</w:t>
      </w:r>
      <w:r w:rsidRPr="00DB19C7">
        <w:rPr>
          <w:rFonts w:ascii="Times New Roman" w:hAnsi="Times New Roman" w:cs="Times New Roman"/>
          <w:noProof/>
          <w:color w:val="auto"/>
        </w:rPr>
        <w:tab/>
        <w:t>R. Pilão, E. Ramalho, C. Pinho, Overall characterization of cork dust explosion, J. Hazard. Mater. 133 (2006) 183–195.</w:t>
      </w:r>
    </w:p>
    <w:p w14:paraId="525ED9B1" w14:textId="77777777" w:rsidR="004D41D4" w:rsidRPr="00DB19C7" w:rsidRDefault="004D41D4" w:rsidP="004D41D4">
      <w:pPr>
        <w:widowControl w:val="0"/>
        <w:autoSpaceDE w:val="0"/>
        <w:autoSpaceDN w:val="0"/>
        <w:ind w:left="640" w:hanging="640"/>
        <w:rPr>
          <w:rFonts w:ascii="Times New Roman" w:hAnsi="Times New Roman" w:cs="Times New Roman"/>
          <w:noProof/>
          <w:color w:val="auto"/>
        </w:rPr>
      </w:pPr>
      <w:r w:rsidRPr="00DB19C7">
        <w:rPr>
          <w:rFonts w:ascii="Times New Roman" w:hAnsi="Times New Roman" w:cs="Times New Roman"/>
          <w:noProof/>
          <w:color w:val="auto"/>
        </w:rPr>
        <w:t>[145]</w:t>
      </w:r>
      <w:r w:rsidRPr="00DB19C7">
        <w:rPr>
          <w:rFonts w:ascii="Times New Roman" w:hAnsi="Times New Roman" w:cs="Times New Roman"/>
          <w:noProof/>
          <w:color w:val="auto"/>
        </w:rPr>
        <w:tab/>
        <w:t>A. Liu, J. Chen, X. Huang, J. Lin, X. Zhang, W. Xu, Explosion parameters and combustion kinetics of biomass dust, Bioresour. Technol. 294 (2019) 122168. https://doi.org/10.1016/j.biortech.2019.122168.</w:t>
      </w:r>
    </w:p>
    <w:p w14:paraId="1BD24E78" w14:textId="77777777" w:rsidR="004D41D4" w:rsidRPr="00DB19C7" w:rsidRDefault="004D41D4" w:rsidP="004D41D4">
      <w:pPr>
        <w:widowControl w:val="0"/>
        <w:autoSpaceDE w:val="0"/>
        <w:autoSpaceDN w:val="0"/>
        <w:ind w:left="640" w:hanging="640"/>
        <w:rPr>
          <w:rFonts w:ascii="Times New Roman" w:hAnsi="Times New Roman" w:cs="Times New Roman"/>
          <w:noProof/>
          <w:color w:val="auto"/>
        </w:rPr>
      </w:pPr>
      <w:r w:rsidRPr="00DB19C7">
        <w:rPr>
          <w:rFonts w:ascii="Times New Roman" w:hAnsi="Times New Roman" w:cs="Times New Roman"/>
          <w:noProof/>
          <w:color w:val="auto"/>
        </w:rPr>
        <w:t>[146]</w:t>
      </w:r>
      <w:r w:rsidRPr="00DB19C7">
        <w:rPr>
          <w:rFonts w:ascii="Times New Roman" w:hAnsi="Times New Roman" w:cs="Times New Roman"/>
          <w:noProof/>
          <w:color w:val="auto"/>
        </w:rPr>
        <w:tab/>
        <w:t>J. García-Torrent, E. Conde-Lázaro, C. Wilén, A. Rautalin, Biomass dust explosibility at elevated initial pressures, Fuel. 77 (1998) 1093–1097. https://doi.org/10.1016/S0016-2361(97)00285-8.</w:t>
      </w:r>
    </w:p>
    <w:p w14:paraId="6E190C09" w14:textId="77777777" w:rsidR="004D41D4" w:rsidRPr="00DB19C7" w:rsidRDefault="004D41D4" w:rsidP="004D41D4">
      <w:pPr>
        <w:widowControl w:val="0"/>
        <w:autoSpaceDE w:val="0"/>
        <w:autoSpaceDN w:val="0"/>
        <w:ind w:left="640" w:hanging="640"/>
        <w:rPr>
          <w:rFonts w:ascii="Times New Roman" w:hAnsi="Times New Roman" w:cs="Times New Roman"/>
          <w:noProof/>
          <w:color w:val="auto"/>
        </w:rPr>
      </w:pPr>
      <w:r w:rsidRPr="00DB19C7">
        <w:rPr>
          <w:rFonts w:ascii="Times New Roman" w:hAnsi="Times New Roman" w:cs="Times New Roman"/>
          <w:noProof/>
          <w:color w:val="auto"/>
        </w:rPr>
        <w:t>[147]</w:t>
      </w:r>
      <w:r w:rsidRPr="00DB19C7">
        <w:rPr>
          <w:rFonts w:ascii="Times New Roman" w:hAnsi="Times New Roman" w:cs="Times New Roman"/>
          <w:noProof/>
          <w:color w:val="auto"/>
        </w:rPr>
        <w:tab/>
        <w:t>S. Melin, Testing of Explosibility and Flammability of Airborne Dust from Wood Pellets, Wood Pellet Assoc. Canada. (2008) 1–19.</w:t>
      </w:r>
    </w:p>
    <w:p w14:paraId="51EFA92F" w14:textId="77777777" w:rsidR="004D41D4" w:rsidRPr="00DB19C7" w:rsidRDefault="004D41D4" w:rsidP="004D41D4">
      <w:pPr>
        <w:widowControl w:val="0"/>
        <w:autoSpaceDE w:val="0"/>
        <w:autoSpaceDN w:val="0"/>
        <w:ind w:left="640" w:hanging="640"/>
        <w:rPr>
          <w:rFonts w:ascii="Times New Roman" w:hAnsi="Times New Roman" w:cs="Times New Roman"/>
          <w:noProof/>
          <w:color w:val="auto"/>
        </w:rPr>
      </w:pPr>
      <w:r w:rsidRPr="00DB19C7">
        <w:rPr>
          <w:rFonts w:ascii="Times New Roman" w:hAnsi="Times New Roman" w:cs="Times New Roman"/>
          <w:noProof/>
          <w:color w:val="auto"/>
        </w:rPr>
        <w:t>[148]</w:t>
      </w:r>
      <w:r w:rsidRPr="00DB19C7">
        <w:rPr>
          <w:rFonts w:ascii="Times New Roman" w:hAnsi="Times New Roman" w:cs="Times New Roman"/>
          <w:noProof/>
          <w:color w:val="auto"/>
        </w:rPr>
        <w:tab/>
        <w:t>C. Huéscar Medina, H. Sattar, H.N. Phylaktou, G.E. Andrews, B.M. Gibbs, Explosion reactivity characterisation of pulverised torrefied spruce wood, J. Loss Prev. Process Ind. 36 (2015) 287–295. https://doi.org/10.1016/j.jlp.2014.12.009.</w:t>
      </w:r>
    </w:p>
    <w:p w14:paraId="723A49E9" w14:textId="77777777" w:rsidR="004D41D4" w:rsidRPr="00DB19C7" w:rsidRDefault="004D41D4" w:rsidP="004D41D4">
      <w:pPr>
        <w:widowControl w:val="0"/>
        <w:autoSpaceDE w:val="0"/>
        <w:autoSpaceDN w:val="0"/>
        <w:ind w:left="640" w:hanging="640"/>
        <w:rPr>
          <w:rFonts w:ascii="Times New Roman" w:hAnsi="Times New Roman" w:cs="Times New Roman"/>
          <w:noProof/>
          <w:color w:val="auto"/>
        </w:rPr>
      </w:pPr>
      <w:r w:rsidRPr="00DB19C7">
        <w:rPr>
          <w:rFonts w:ascii="Times New Roman" w:hAnsi="Times New Roman" w:cs="Times New Roman"/>
          <w:noProof/>
          <w:color w:val="auto"/>
        </w:rPr>
        <w:t>[149]</w:t>
      </w:r>
      <w:r w:rsidRPr="00DB19C7">
        <w:rPr>
          <w:rFonts w:ascii="Times New Roman" w:hAnsi="Times New Roman" w:cs="Times New Roman"/>
          <w:noProof/>
          <w:color w:val="auto"/>
        </w:rPr>
        <w:tab/>
        <w:t xml:space="preserve">M.C. Lee, Y.S. Kim, D.H. Rie, Analysis of explosion characteristics of combustible wood dust in confined system using the thermal decomposition rate </w:t>
      </w:r>
      <w:r w:rsidRPr="00DB19C7">
        <w:rPr>
          <w:rFonts w:ascii="Times New Roman" w:hAnsi="Times New Roman" w:cs="Times New Roman"/>
          <w:noProof/>
          <w:color w:val="auto"/>
        </w:rPr>
        <w:lastRenderedPageBreak/>
        <w:t>and mass loss rate, Appl. Therm. Eng. 109 (2016) 432–439. https://doi.org/10.1016/j.applthermaleng.2016.08.010.</w:t>
      </w:r>
    </w:p>
    <w:p w14:paraId="413267AE" w14:textId="77777777" w:rsidR="004D41D4" w:rsidRPr="00DB19C7" w:rsidRDefault="004D41D4" w:rsidP="004D41D4">
      <w:pPr>
        <w:widowControl w:val="0"/>
        <w:autoSpaceDE w:val="0"/>
        <w:autoSpaceDN w:val="0"/>
        <w:ind w:left="640" w:hanging="640"/>
        <w:rPr>
          <w:rFonts w:ascii="Times New Roman" w:hAnsi="Times New Roman" w:cs="Times New Roman"/>
          <w:noProof/>
          <w:color w:val="auto"/>
        </w:rPr>
      </w:pPr>
      <w:r w:rsidRPr="00DB19C7">
        <w:rPr>
          <w:rFonts w:ascii="Times New Roman" w:hAnsi="Times New Roman" w:cs="Times New Roman"/>
          <w:noProof/>
          <w:color w:val="auto"/>
        </w:rPr>
        <w:t>[150]</w:t>
      </w:r>
      <w:r w:rsidRPr="00DB19C7">
        <w:rPr>
          <w:rFonts w:ascii="Times New Roman" w:hAnsi="Times New Roman" w:cs="Times New Roman"/>
          <w:noProof/>
          <w:color w:val="auto"/>
        </w:rPr>
        <w:tab/>
        <w:t>P.R. Amyotte, C.T. Cloney, F.I. Khan, R.C. Ripley, Dust explosion risk moderation for flocculent dusts, J. Loss Prev. Process Ind. 25 (2012) 862–869. https://doi.org/10.1016/j.jlp.2012.05.007.</w:t>
      </w:r>
    </w:p>
    <w:p w14:paraId="45C057C0" w14:textId="77777777" w:rsidR="004D41D4" w:rsidRPr="00DB19C7" w:rsidRDefault="004D41D4" w:rsidP="004D41D4">
      <w:pPr>
        <w:widowControl w:val="0"/>
        <w:autoSpaceDE w:val="0"/>
        <w:autoSpaceDN w:val="0"/>
        <w:ind w:left="640" w:hanging="640"/>
        <w:rPr>
          <w:rFonts w:ascii="Times New Roman" w:hAnsi="Times New Roman" w:cs="Times New Roman"/>
          <w:noProof/>
          <w:color w:val="auto"/>
        </w:rPr>
      </w:pPr>
      <w:r w:rsidRPr="00DB19C7">
        <w:rPr>
          <w:rFonts w:ascii="Times New Roman" w:hAnsi="Times New Roman" w:cs="Times New Roman"/>
          <w:noProof/>
          <w:color w:val="auto"/>
        </w:rPr>
        <w:t>[151]</w:t>
      </w:r>
      <w:r w:rsidRPr="00DB19C7">
        <w:rPr>
          <w:rFonts w:ascii="Times New Roman" w:hAnsi="Times New Roman" w:cs="Times New Roman"/>
          <w:noProof/>
          <w:color w:val="auto"/>
        </w:rPr>
        <w:tab/>
        <w:t>S. Callé, L. Klaba, D. Thomas, L. Perrin, O. Dufaud, Influence of the size distribution and concentration on wood dust explosion: Experiments and reaction modelling, Powder Technol. 157 (2005) 144–148. https://doi.org/10.1016/j.powtec.2005.05.021.</w:t>
      </w:r>
    </w:p>
    <w:p w14:paraId="7EF33CE9" w14:textId="77777777" w:rsidR="004D41D4" w:rsidRPr="00DB19C7" w:rsidRDefault="004D41D4" w:rsidP="004D41D4">
      <w:pPr>
        <w:widowControl w:val="0"/>
        <w:autoSpaceDE w:val="0"/>
        <w:autoSpaceDN w:val="0"/>
        <w:ind w:left="640" w:hanging="640"/>
        <w:rPr>
          <w:rFonts w:ascii="Times New Roman" w:hAnsi="Times New Roman" w:cs="Times New Roman"/>
          <w:noProof/>
          <w:color w:val="auto"/>
        </w:rPr>
      </w:pPr>
      <w:r w:rsidRPr="00DB19C7">
        <w:rPr>
          <w:rFonts w:ascii="Times New Roman" w:hAnsi="Times New Roman" w:cs="Times New Roman"/>
          <w:noProof/>
          <w:color w:val="auto"/>
        </w:rPr>
        <w:t>[152]</w:t>
      </w:r>
      <w:r w:rsidRPr="00DB19C7">
        <w:rPr>
          <w:rFonts w:ascii="Times New Roman" w:hAnsi="Times New Roman" w:cs="Times New Roman"/>
          <w:noProof/>
          <w:color w:val="auto"/>
        </w:rPr>
        <w:tab/>
        <w:t>K.-W. Stahmer, M. Gerhold, Study of the explosion reactions of sucrose, activated charcoal, polyethylene and lignite Part 1: Effect of variation in particle surface area upon explosion reaction, J. Loss Prev. Process Ind. 46 (2017) 177–184. https://doi.org/10.1016/j.jlp.2017.02.010.</w:t>
      </w:r>
    </w:p>
    <w:p w14:paraId="5474A084" w14:textId="77777777" w:rsidR="004D41D4" w:rsidRPr="00DB19C7" w:rsidRDefault="004D41D4" w:rsidP="004D41D4">
      <w:pPr>
        <w:rPr>
          <w:rFonts w:ascii="Times New Roman" w:hAnsi="Times New Roman" w:cs="Times New Roman"/>
          <w:color w:val="auto"/>
        </w:rPr>
      </w:pPr>
    </w:p>
    <w:p w14:paraId="09B5A8BD" w14:textId="77777777" w:rsidR="00963F8E" w:rsidRPr="00DB19C7" w:rsidRDefault="00963F8E" w:rsidP="00744E5A">
      <w:pPr>
        <w:rPr>
          <w:color w:val="auto"/>
        </w:rPr>
      </w:pPr>
    </w:p>
    <w:sectPr w:rsidR="00963F8E" w:rsidRPr="00DB19C7" w:rsidSect="00DB19C7">
      <w:pgSz w:w="16838" w:h="11906" w:orient="landscape"/>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1"/>
    <w:family w:val="roman"/>
    <w:notTrueType/>
    <w:pitch w:val="variabl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0A245F"/>
    <w:multiLevelType w:val="hybridMultilevel"/>
    <w:tmpl w:val="29E20A30"/>
    <w:lvl w:ilvl="0" w:tplc="1AF444CE">
      <w:start w:val="1"/>
      <w:numFmt w:val="decimal"/>
      <w:pStyle w:val="MDPI71References"/>
      <w:lvlText w:val="%1."/>
      <w:lvlJc w:val="left"/>
      <w:pPr>
        <w:ind w:left="780" w:hanging="4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2805051C"/>
    <w:multiLevelType w:val="hybridMultilevel"/>
    <w:tmpl w:val="D6480D34"/>
    <w:lvl w:ilvl="0" w:tplc="CDCEE7DA">
      <w:start w:val="1"/>
      <w:numFmt w:val="decimal"/>
      <w:pStyle w:val="MDPI37itemize"/>
      <w:lvlText w:val="%1."/>
      <w:lvlJc w:val="left"/>
      <w:pPr>
        <w:ind w:left="1429" w:hanging="360"/>
      </w:pPr>
    </w:lvl>
    <w:lvl w:ilvl="1" w:tplc="08070019">
      <w:start w:val="1"/>
      <w:numFmt w:val="lowerLetter"/>
      <w:lvlText w:val="%2."/>
      <w:lvlJc w:val="left"/>
      <w:pPr>
        <w:ind w:left="2149" w:hanging="360"/>
      </w:pPr>
    </w:lvl>
    <w:lvl w:ilvl="2" w:tplc="0807001B">
      <w:start w:val="1"/>
      <w:numFmt w:val="lowerRoman"/>
      <w:lvlText w:val="%3."/>
      <w:lvlJc w:val="right"/>
      <w:pPr>
        <w:ind w:left="2869" w:hanging="180"/>
      </w:pPr>
    </w:lvl>
    <w:lvl w:ilvl="3" w:tplc="0807000F">
      <w:start w:val="1"/>
      <w:numFmt w:val="decimal"/>
      <w:lvlText w:val="%4."/>
      <w:lvlJc w:val="left"/>
      <w:pPr>
        <w:ind w:left="3589" w:hanging="360"/>
      </w:pPr>
    </w:lvl>
    <w:lvl w:ilvl="4" w:tplc="08070019">
      <w:start w:val="1"/>
      <w:numFmt w:val="lowerLetter"/>
      <w:lvlText w:val="%5."/>
      <w:lvlJc w:val="left"/>
      <w:pPr>
        <w:ind w:left="4309" w:hanging="360"/>
      </w:pPr>
    </w:lvl>
    <w:lvl w:ilvl="5" w:tplc="0807001B">
      <w:start w:val="1"/>
      <w:numFmt w:val="lowerRoman"/>
      <w:lvlText w:val="%6."/>
      <w:lvlJc w:val="right"/>
      <w:pPr>
        <w:ind w:left="5029" w:hanging="180"/>
      </w:pPr>
    </w:lvl>
    <w:lvl w:ilvl="6" w:tplc="0807000F">
      <w:start w:val="1"/>
      <w:numFmt w:val="decimal"/>
      <w:lvlText w:val="%7."/>
      <w:lvlJc w:val="left"/>
      <w:pPr>
        <w:ind w:left="5749" w:hanging="360"/>
      </w:pPr>
    </w:lvl>
    <w:lvl w:ilvl="7" w:tplc="08070019">
      <w:start w:val="1"/>
      <w:numFmt w:val="lowerLetter"/>
      <w:lvlText w:val="%8."/>
      <w:lvlJc w:val="left"/>
      <w:pPr>
        <w:ind w:left="6469" w:hanging="360"/>
      </w:pPr>
    </w:lvl>
    <w:lvl w:ilvl="8" w:tplc="0807001B">
      <w:start w:val="1"/>
      <w:numFmt w:val="lowerRoman"/>
      <w:lvlText w:val="%9."/>
      <w:lvlJc w:val="right"/>
      <w:pPr>
        <w:ind w:left="7189" w:hanging="180"/>
      </w:pPr>
    </w:lvl>
  </w:abstractNum>
  <w:abstractNum w:abstractNumId="2" w15:restartNumberingAfterBreak="0">
    <w:nsid w:val="369A6535"/>
    <w:multiLevelType w:val="hybridMultilevel"/>
    <w:tmpl w:val="3CB68362"/>
    <w:lvl w:ilvl="0" w:tplc="B2367048">
      <w:start w:val="1"/>
      <w:numFmt w:val="bullet"/>
      <w:pStyle w:val="MDPI38bullet"/>
      <w:lvlText w:val=""/>
      <w:lvlJc w:val="left"/>
      <w:pPr>
        <w:ind w:left="1429" w:hanging="360"/>
      </w:pPr>
      <w:rPr>
        <w:rFonts w:ascii="Symbol" w:hAnsi="Symbol" w:hint="default"/>
      </w:rPr>
    </w:lvl>
    <w:lvl w:ilvl="1" w:tplc="08070003">
      <w:start w:val="1"/>
      <w:numFmt w:val="bullet"/>
      <w:lvlText w:val="o"/>
      <w:lvlJc w:val="left"/>
      <w:pPr>
        <w:ind w:left="2149" w:hanging="360"/>
      </w:pPr>
      <w:rPr>
        <w:rFonts w:ascii="Courier New" w:hAnsi="Courier New" w:cs="Courier New" w:hint="default"/>
      </w:rPr>
    </w:lvl>
    <w:lvl w:ilvl="2" w:tplc="08070005">
      <w:start w:val="1"/>
      <w:numFmt w:val="bullet"/>
      <w:lvlText w:val=""/>
      <w:lvlJc w:val="left"/>
      <w:pPr>
        <w:ind w:left="2869" w:hanging="360"/>
      </w:pPr>
      <w:rPr>
        <w:rFonts w:ascii="Wingdings" w:hAnsi="Wingdings" w:hint="default"/>
      </w:rPr>
    </w:lvl>
    <w:lvl w:ilvl="3" w:tplc="08070001">
      <w:start w:val="1"/>
      <w:numFmt w:val="bullet"/>
      <w:lvlText w:val=""/>
      <w:lvlJc w:val="left"/>
      <w:pPr>
        <w:ind w:left="3589" w:hanging="360"/>
      </w:pPr>
      <w:rPr>
        <w:rFonts w:ascii="Symbol" w:hAnsi="Symbol" w:hint="default"/>
      </w:rPr>
    </w:lvl>
    <w:lvl w:ilvl="4" w:tplc="08070003">
      <w:start w:val="1"/>
      <w:numFmt w:val="bullet"/>
      <w:lvlText w:val="o"/>
      <w:lvlJc w:val="left"/>
      <w:pPr>
        <w:ind w:left="4309" w:hanging="360"/>
      </w:pPr>
      <w:rPr>
        <w:rFonts w:ascii="Courier New" w:hAnsi="Courier New" w:cs="Courier New" w:hint="default"/>
      </w:rPr>
    </w:lvl>
    <w:lvl w:ilvl="5" w:tplc="08070005">
      <w:start w:val="1"/>
      <w:numFmt w:val="bullet"/>
      <w:lvlText w:val=""/>
      <w:lvlJc w:val="left"/>
      <w:pPr>
        <w:ind w:left="5029" w:hanging="360"/>
      </w:pPr>
      <w:rPr>
        <w:rFonts w:ascii="Wingdings" w:hAnsi="Wingdings" w:hint="default"/>
      </w:rPr>
    </w:lvl>
    <w:lvl w:ilvl="6" w:tplc="08070001">
      <w:start w:val="1"/>
      <w:numFmt w:val="bullet"/>
      <w:lvlText w:val=""/>
      <w:lvlJc w:val="left"/>
      <w:pPr>
        <w:ind w:left="5749" w:hanging="360"/>
      </w:pPr>
      <w:rPr>
        <w:rFonts w:ascii="Symbol" w:hAnsi="Symbol" w:hint="default"/>
      </w:rPr>
    </w:lvl>
    <w:lvl w:ilvl="7" w:tplc="08070003">
      <w:start w:val="1"/>
      <w:numFmt w:val="bullet"/>
      <w:lvlText w:val="o"/>
      <w:lvlJc w:val="left"/>
      <w:pPr>
        <w:ind w:left="6469" w:hanging="360"/>
      </w:pPr>
      <w:rPr>
        <w:rFonts w:ascii="Courier New" w:hAnsi="Courier New" w:cs="Courier New" w:hint="default"/>
      </w:rPr>
    </w:lvl>
    <w:lvl w:ilvl="8" w:tplc="08070005">
      <w:start w:val="1"/>
      <w:numFmt w:val="bullet"/>
      <w:lvlText w:val=""/>
      <w:lvlJc w:val="left"/>
      <w:pPr>
        <w:ind w:left="7189" w:hanging="360"/>
      </w:pPr>
      <w:rPr>
        <w:rFonts w:ascii="Wingdings" w:hAnsi="Wingding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4E5A"/>
    <w:rsid w:val="000305FD"/>
    <w:rsid w:val="00055130"/>
    <w:rsid w:val="00134B8E"/>
    <w:rsid w:val="001D6A8D"/>
    <w:rsid w:val="002B4066"/>
    <w:rsid w:val="002D147A"/>
    <w:rsid w:val="00325A41"/>
    <w:rsid w:val="00440ED4"/>
    <w:rsid w:val="004A74DF"/>
    <w:rsid w:val="004D41D4"/>
    <w:rsid w:val="0054619F"/>
    <w:rsid w:val="005849BD"/>
    <w:rsid w:val="005C7856"/>
    <w:rsid w:val="00644C86"/>
    <w:rsid w:val="00671ABB"/>
    <w:rsid w:val="0069072B"/>
    <w:rsid w:val="006A08F4"/>
    <w:rsid w:val="00732400"/>
    <w:rsid w:val="00744E5A"/>
    <w:rsid w:val="00776D2A"/>
    <w:rsid w:val="007954FB"/>
    <w:rsid w:val="008B3CFB"/>
    <w:rsid w:val="008B3E54"/>
    <w:rsid w:val="009159C4"/>
    <w:rsid w:val="00946BA6"/>
    <w:rsid w:val="00963F8E"/>
    <w:rsid w:val="00997DA9"/>
    <w:rsid w:val="00A16E29"/>
    <w:rsid w:val="00A91BC2"/>
    <w:rsid w:val="00A96B6C"/>
    <w:rsid w:val="00AD08FE"/>
    <w:rsid w:val="00B04CEC"/>
    <w:rsid w:val="00B365E2"/>
    <w:rsid w:val="00BD2595"/>
    <w:rsid w:val="00BD61FD"/>
    <w:rsid w:val="00DB19C7"/>
    <w:rsid w:val="00F60917"/>
    <w:rsid w:val="00FF662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CB454"/>
  <w15:chartTrackingRefBased/>
  <w15:docId w15:val="{E7640CB9-4477-4000-898D-D02CE8410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E5A"/>
    <w:pPr>
      <w:adjustRightInd w:val="0"/>
      <w:snapToGrid w:val="0"/>
      <w:spacing w:after="0" w:line="360" w:lineRule="auto"/>
      <w:jc w:val="both"/>
    </w:pPr>
    <w:rPr>
      <w:rFonts w:ascii="Arial" w:eastAsia="Times New Roman" w:hAnsi="Arial" w:cs="Arial"/>
      <w:color w:val="000000"/>
      <w:lang w:val="en-GB" w:eastAsia="de-DE"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744E5A"/>
    <w:rPr>
      <w:color w:val="0563C1"/>
      <w:u w:val="single"/>
    </w:rPr>
  </w:style>
  <w:style w:type="character" w:styleId="FollowedHyperlink">
    <w:name w:val="FollowedHyperlink"/>
    <w:basedOn w:val="DefaultParagraphFont"/>
    <w:uiPriority w:val="99"/>
    <w:semiHidden/>
    <w:unhideWhenUsed/>
    <w:rsid w:val="00744E5A"/>
    <w:rPr>
      <w:color w:val="954F72" w:themeColor="followedHyperlink"/>
      <w:u w:val="single"/>
    </w:rPr>
  </w:style>
  <w:style w:type="paragraph" w:customStyle="1" w:styleId="msonormal0">
    <w:name w:val="msonormal"/>
    <w:basedOn w:val="Normal"/>
    <w:rsid w:val="00744E5A"/>
    <w:pPr>
      <w:adjustRightInd/>
      <w:snapToGrid/>
      <w:spacing w:before="100" w:beforeAutospacing="1" w:after="100" w:afterAutospacing="1" w:line="240" w:lineRule="auto"/>
      <w:jc w:val="left"/>
    </w:pPr>
    <w:rPr>
      <w:rFonts w:ascii="Times New Roman" w:hAnsi="Times New Roman" w:cs="Times New Roman"/>
      <w:color w:val="auto"/>
      <w:sz w:val="24"/>
      <w:szCs w:val="24"/>
      <w:lang w:eastAsia="en-GB" w:bidi="ar-SA"/>
    </w:rPr>
  </w:style>
  <w:style w:type="paragraph" w:styleId="CommentText">
    <w:name w:val="annotation text"/>
    <w:basedOn w:val="Normal"/>
    <w:link w:val="CommentTextChar"/>
    <w:uiPriority w:val="99"/>
    <w:semiHidden/>
    <w:unhideWhenUsed/>
    <w:rsid w:val="00744E5A"/>
    <w:pPr>
      <w:spacing w:line="240" w:lineRule="auto"/>
    </w:pPr>
    <w:rPr>
      <w:sz w:val="20"/>
    </w:rPr>
  </w:style>
  <w:style w:type="character" w:customStyle="1" w:styleId="CommentTextChar">
    <w:name w:val="Comment Text Char"/>
    <w:basedOn w:val="DefaultParagraphFont"/>
    <w:link w:val="CommentText"/>
    <w:uiPriority w:val="99"/>
    <w:semiHidden/>
    <w:rsid w:val="00744E5A"/>
    <w:rPr>
      <w:rFonts w:ascii="Arial" w:eastAsia="Times New Roman" w:hAnsi="Arial" w:cs="Arial"/>
      <w:color w:val="000000"/>
      <w:sz w:val="20"/>
      <w:lang w:val="en-GB" w:eastAsia="de-DE" w:bidi="en-US"/>
    </w:rPr>
  </w:style>
  <w:style w:type="paragraph" w:styleId="Header">
    <w:name w:val="header"/>
    <w:basedOn w:val="Normal"/>
    <w:link w:val="HeaderChar"/>
    <w:uiPriority w:val="99"/>
    <w:semiHidden/>
    <w:unhideWhenUsed/>
    <w:rsid w:val="00744E5A"/>
    <w:pPr>
      <w:pBdr>
        <w:bottom w:val="single" w:sz="6" w:space="1" w:color="auto"/>
      </w:pBdr>
      <w:tabs>
        <w:tab w:val="center" w:pos="4153"/>
        <w:tab w:val="right" w:pos="8306"/>
      </w:tabs>
      <w:spacing w:line="240" w:lineRule="atLeast"/>
      <w:jc w:val="center"/>
    </w:pPr>
    <w:rPr>
      <w:sz w:val="18"/>
      <w:szCs w:val="18"/>
    </w:rPr>
  </w:style>
  <w:style w:type="character" w:customStyle="1" w:styleId="HeaderChar">
    <w:name w:val="Header Char"/>
    <w:basedOn w:val="DefaultParagraphFont"/>
    <w:link w:val="Header"/>
    <w:uiPriority w:val="99"/>
    <w:semiHidden/>
    <w:rsid w:val="00744E5A"/>
    <w:rPr>
      <w:rFonts w:ascii="Arial" w:eastAsia="Times New Roman" w:hAnsi="Arial" w:cs="Arial"/>
      <w:color w:val="000000"/>
      <w:sz w:val="18"/>
      <w:szCs w:val="18"/>
      <w:lang w:val="en-GB" w:eastAsia="de-DE" w:bidi="en-US"/>
    </w:rPr>
  </w:style>
  <w:style w:type="paragraph" w:styleId="Footer">
    <w:name w:val="footer"/>
    <w:basedOn w:val="Normal"/>
    <w:link w:val="FooterChar"/>
    <w:uiPriority w:val="99"/>
    <w:semiHidden/>
    <w:unhideWhenUsed/>
    <w:rsid w:val="00744E5A"/>
    <w:pPr>
      <w:tabs>
        <w:tab w:val="center" w:pos="4153"/>
        <w:tab w:val="right" w:pos="8306"/>
      </w:tabs>
    </w:pPr>
  </w:style>
  <w:style w:type="character" w:customStyle="1" w:styleId="FooterChar">
    <w:name w:val="Footer Char"/>
    <w:basedOn w:val="DefaultParagraphFont"/>
    <w:link w:val="Footer"/>
    <w:uiPriority w:val="99"/>
    <w:semiHidden/>
    <w:rsid w:val="00744E5A"/>
    <w:rPr>
      <w:rFonts w:ascii="Arial" w:eastAsia="Times New Roman" w:hAnsi="Arial" w:cs="Arial"/>
      <w:color w:val="000000"/>
      <w:lang w:val="en-GB" w:eastAsia="de-DE" w:bidi="en-US"/>
    </w:rPr>
  </w:style>
  <w:style w:type="paragraph" w:styleId="Caption">
    <w:name w:val="caption"/>
    <w:basedOn w:val="Normal"/>
    <w:next w:val="Normal"/>
    <w:semiHidden/>
    <w:unhideWhenUsed/>
    <w:qFormat/>
    <w:rsid w:val="00744E5A"/>
    <w:pPr>
      <w:spacing w:before="60" w:after="180" w:line="240" w:lineRule="auto"/>
      <w:jc w:val="left"/>
    </w:pPr>
    <w:rPr>
      <w:b/>
      <w:bCs/>
      <w:i/>
      <w:szCs w:val="18"/>
      <w:lang w:eastAsia="en-US"/>
    </w:rPr>
  </w:style>
  <w:style w:type="paragraph" w:styleId="CommentSubject">
    <w:name w:val="annotation subject"/>
    <w:basedOn w:val="CommentText"/>
    <w:next w:val="CommentText"/>
    <w:link w:val="CommentSubjectChar"/>
    <w:uiPriority w:val="99"/>
    <w:semiHidden/>
    <w:unhideWhenUsed/>
    <w:rsid w:val="00744E5A"/>
    <w:rPr>
      <w:b/>
      <w:bCs/>
    </w:rPr>
  </w:style>
  <w:style w:type="character" w:customStyle="1" w:styleId="CommentSubjectChar">
    <w:name w:val="Comment Subject Char"/>
    <w:basedOn w:val="CommentTextChar"/>
    <w:link w:val="CommentSubject"/>
    <w:uiPriority w:val="99"/>
    <w:semiHidden/>
    <w:rsid w:val="00744E5A"/>
    <w:rPr>
      <w:rFonts w:ascii="Arial" w:eastAsia="Times New Roman" w:hAnsi="Arial" w:cs="Arial"/>
      <w:b/>
      <w:bCs/>
      <w:color w:val="000000"/>
      <w:sz w:val="20"/>
      <w:lang w:val="en-GB" w:eastAsia="de-DE" w:bidi="en-US"/>
    </w:rPr>
  </w:style>
  <w:style w:type="paragraph" w:styleId="BalloonText">
    <w:name w:val="Balloon Text"/>
    <w:basedOn w:val="Normal"/>
    <w:link w:val="BalloonTextChar"/>
    <w:uiPriority w:val="99"/>
    <w:semiHidden/>
    <w:unhideWhenUsed/>
    <w:rsid w:val="00744E5A"/>
    <w:pPr>
      <w:spacing w:line="240" w:lineRule="auto"/>
    </w:pPr>
    <w:rPr>
      <w:sz w:val="18"/>
      <w:szCs w:val="18"/>
    </w:rPr>
  </w:style>
  <w:style w:type="character" w:customStyle="1" w:styleId="BalloonTextChar">
    <w:name w:val="Balloon Text Char"/>
    <w:basedOn w:val="DefaultParagraphFont"/>
    <w:link w:val="BalloonText"/>
    <w:uiPriority w:val="99"/>
    <w:semiHidden/>
    <w:rsid w:val="00744E5A"/>
    <w:rPr>
      <w:rFonts w:ascii="Arial" w:eastAsia="Times New Roman" w:hAnsi="Arial" w:cs="Arial"/>
      <w:color w:val="000000"/>
      <w:sz w:val="18"/>
      <w:szCs w:val="18"/>
      <w:lang w:val="en-GB" w:eastAsia="de-DE" w:bidi="en-US"/>
    </w:rPr>
  </w:style>
  <w:style w:type="paragraph" w:styleId="Revision">
    <w:name w:val="Revision"/>
    <w:uiPriority w:val="99"/>
    <w:semiHidden/>
    <w:rsid w:val="00744E5A"/>
    <w:pPr>
      <w:spacing w:after="0" w:line="240" w:lineRule="auto"/>
    </w:pPr>
    <w:rPr>
      <w:rFonts w:ascii="Times New Roman" w:eastAsia="Times New Roman" w:hAnsi="Times New Roman" w:cs="Times New Roman"/>
      <w:color w:val="000000"/>
      <w:sz w:val="24"/>
      <w:szCs w:val="20"/>
      <w:lang w:val="en-US" w:eastAsia="de-DE"/>
    </w:rPr>
  </w:style>
  <w:style w:type="paragraph" w:styleId="ListParagraph">
    <w:name w:val="List Paragraph"/>
    <w:basedOn w:val="Normal"/>
    <w:uiPriority w:val="99"/>
    <w:qFormat/>
    <w:rsid w:val="00744E5A"/>
    <w:pPr>
      <w:spacing w:after="200" w:line="276" w:lineRule="auto"/>
      <w:ind w:left="720"/>
      <w:contextualSpacing/>
      <w:jc w:val="left"/>
    </w:pPr>
    <w:rPr>
      <w:color w:val="auto"/>
      <w:lang w:eastAsia="en-US"/>
    </w:rPr>
  </w:style>
  <w:style w:type="paragraph" w:customStyle="1" w:styleId="MDPI13authornames">
    <w:name w:val="MDPI_1.3_authornames"/>
    <w:basedOn w:val="MDPI31text"/>
    <w:next w:val="MDPI14history"/>
    <w:rsid w:val="00744E5A"/>
    <w:pPr>
      <w:spacing w:after="120"/>
      <w:ind w:firstLine="0"/>
      <w:jc w:val="left"/>
    </w:pPr>
    <w:rPr>
      <w:b/>
    </w:rPr>
  </w:style>
  <w:style w:type="paragraph" w:customStyle="1" w:styleId="MDPI12title">
    <w:name w:val="MDPI_1.2_title"/>
    <w:next w:val="MDPI13authornames"/>
    <w:rsid w:val="00744E5A"/>
    <w:pPr>
      <w:adjustRightInd w:val="0"/>
      <w:snapToGrid w:val="0"/>
      <w:spacing w:after="240" w:line="400" w:lineRule="exact"/>
    </w:pPr>
    <w:rPr>
      <w:rFonts w:ascii="Palatino Linotype" w:eastAsia="Times New Roman" w:hAnsi="Palatino Linotype" w:cs="Times New Roman"/>
      <w:b/>
      <w:color w:val="000000"/>
      <w:sz w:val="36"/>
      <w:szCs w:val="20"/>
      <w:lang w:val="en-US" w:eastAsia="de-DE" w:bidi="en-US"/>
    </w:rPr>
  </w:style>
  <w:style w:type="paragraph" w:customStyle="1" w:styleId="MDPIheaderjournallogo">
    <w:name w:val="MDPI_header_journal_logo"/>
    <w:rsid w:val="00744E5A"/>
    <w:pPr>
      <w:adjustRightInd w:val="0"/>
      <w:snapToGrid w:val="0"/>
      <w:spacing w:after="0" w:line="240" w:lineRule="auto"/>
    </w:pPr>
    <w:rPr>
      <w:rFonts w:ascii="Palatino Linotype" w:eastAsia="Times New Roman" w:hAnsi="Palatino Linotype" w:cs="Times New Roman"/>
      <w:i/>
      <w:color w:val="000000"/>
      <w:sz w:val="24"/>
      <w:lang w:val="en-US" w:eastAsia="de-CH"/>
    </w:rPr>
  </w:style>
  <w:style w:type="paragraph" w:customStyle="1" w:styleId="MDPI62Acknowledgments">
    <w:name w:val="MDPI_6.2_Acknowledgments"/>
    <w:rsid w:val="00744E5A"/>
    <w:pPr>
      <w:adjustRightInd w:val="0"/>
      <w:snapToGrid w:val="0"/>
      <w:spacing w:before="120" w:after="0" w:line="200" w:lineRule="atLeast"/>
      <w:jc w:val="both"/>
    </w:pPr>
    <w:rPr>
      <w:rFonts w:ascii="Palatino Linotype" w:eastAsia="Times New Roman" w:hAnsi="Palatino Linotype" w:cs="Times New Roman"/>
      <w:color w:val="000000"/>
      <w:sz w:val="18"/>
      <w:szCs w:val="20"/>
      <w:lang w:val="en-US" w:eastAsia="de-DE" w:bidi="en-US"/>
    </w:rPr>
  </w:style>
  <w:style w:type="paragraph" w:customStyle="1" w:styleId="MDPI41tablecaption">
    <w:name w:val="MDPI_4.1_table_caption"/>
    <w:basedOn w:val="MDPI62Acknowledgments"/>
    <w:rsid w:val="00744E5A"/>
    <w:pPr>
      <w:spacing w:before="240" w:after="120" w:line="260" w:lineRule="atLeast"/>
      <w:ind w:left="425" w:right="425"/>
    </w:pPr>
    <w:rPr>
      <w:szCs w:val="22"/>
    </w:rPr>
  </w:style>
  <w:style w:type="paragraph" w:customStyle="1" w:styleId="MDPI42tablebody">
    <w:name w:val="MDPI_4.2_table_body"/>
    <w:rsid w:val="00744E5A"/>
    <w:pPr>
      <w:adjustRightInd w:val="0"/>
      <w:snapToGrid w:val="0"/>
      <w:spacing w:after="0" w:line="260" w:lineRule="atLeast"/>
      <w:jc w:val="center"/>
    </w:pPr>
    <w:rPr>
      <w:rFonts w:ascii="Palatino Linotype" w:eastAsia="Times New Roman" w:hAnsi="Palatino Linotype" w:cs="Times New Roman"/>
      <w:color w:val="000000"/>
      <w:sz w:val="20"/>
      <w:szCs w:val="20"/>
      <w:lang w:val="en-US" w:eastAsia="de-DE" w:bidi="en-US"/>
    </w:rPr>
  </w:style>
  <w:style w:type="paragraph" w:customStyle="1" w:styleId="MDPI31text">
    <w:name w:val="MDPI_3.1_text"/>
    <w:rsid w:val="00744E5A"/>
    <w:pPr>
      <w:adjustRightInd w:val="0"/>
      <w:snapToGrid w:val="0"/>
      <w:spacing w:after="0" w:line="260" w:lineRule="atLeast"/>
      <w:ind w:firstLine="425"/>
      <w:jc w:val="both"/>
    </w:pPr>
    <w:rPr>
      <w:rFonts w:ascii="Palatino Linotype" w:eastAsia="Times New Roman" w:hAnsi="Palatino Linotype" w:cs="Times New Roman"/>
      <w:color w:val="000000"/>
      <w:sz w:val="20"/>
      <w:lang w:val="en-US" w:eastAsia="de-DE" w:bidi="en-US"/>
    </w:rPr>
  </w:style>
  <w:style w:type="paragraph" w:customStyle="1" w:styleId="MDPI43tablefooter">
    <w:name w:val="MDPI_4.3_table_footer"/>
    <w:basedOn w:val="MDPI41tablecaption"/>
    <w:next w:val="MDPI31text"/>
    <w:rsid w:val="00744E5A"/>
    <w:pPr>
      <w:spacing w:before="0"/>
      <w:ind w:left="0" w:right="0"/>
    </w:pPr>
  </w:style>
  <w:style w:type="paragraph" w:customStyle="1" w:styleId="MDPI51figurecaption">
    <w:name w:val="MDPI_5.1_figure_caption"/>
    <w:basedOn w:val="MDPI62Acknowledgments"/>
    <w:rsid w:val="00744E5A"/>
    <w:pPr>
      <w:spacing w:after="240" w:line="260" w:lineRule="atLeast"/>
      <w:ind w:left="425" w:right="425"/>
    </w:pPr>
  </w:style>
  <w:style w:type="paragraph" w:customStyle="1" w:styleId="MDPI52figure">
    <w:name w:val="MDPI_5.2_figure"/>
    <w:rsid w:val="00744E5A"/>
    <w:pPr>
      <w:snapToGrid w:val="0"/>
      <w:spacing w:after="0" w:line="240" w:lineRule="auto"/>
      <w:jc w:val="center"/>
    </w:pPr>
    <w:rPr>
      <w:rFonts w:ascii="Palatino Linotype" w:eastAsia="Times New Roman" w:hAnsi="Palatino Linotype" w:cs="Times New Roman"/>
      <w:color w:val="000000"/>
      <w:sz w:val="24"/>
      <w:szCs w:val="20"/>
      <w:lang w:val="en-US" w:eastAsia="de-DE" w:bidi="en-US"/>
    </w:rPr>
  </w:style>
  <w:style w:type="paragraph" w:customStyle="1" w:styleId="MDPI61Supplementary">
    <w:name w:val="MDPI_6.1_Supplementary"/>
    <w:basedOn w:val="MDPI62Acknowledgments"/>
    <w:rsid w:val="00744E5A"/>
    <w:pPr>
      <w:spacing w:before="240"/>
    </w:pPr>
    <w:rPr>
      <w:lang w:eastAsia="en-US"/>
    </w:rPr>
  </w:style>
  <w:style w:type="paragraph" w:customStyle="1" w:styleId="MDPI63AuthorContributions">
    <w:name w:val="MDPI_6.3_AuthorContributions"/>
    <w:basedOn w:val="MDPI62Acknowledgments"/>
    <w:rsid w:val="00744E5A"/>
    <w:rPr>
      <w:rFonts w:eastAsia="SimSun"/>
      <w:color w:val="auto"/>
      <w:lang w:eastAsia="en-US"/>
    </w:rPr>
  </w:style>
  <w:style w:type="paragraph" w:customStyle="1" w:styleId="MDPI64CoI">
    <w:name w:val="MDPI_6.4_CoI"/>
    <w:basedOn w:val="MDPI62Acknowledgments"/>
    <w:rsid w:val="00744E5A"/>
  </w:style>
  <w:style w:type="paragraph" w:customStyle="1" w:styleId="MDPI23heading3">
    <w:name w:val="MDPI_2.3_heading3"/>
    <w:basedOn w:val="MDPI31text"/>
    <w:rsid w:val="00744E5A"/>
    <w:pPr>
      <w:spacing w:before="240" w:after="120"/>
      <w:ind w:firstLine="0"/>
      <w:jc w:val="left"/>
      <w:outlineLvl w:val="2"/>
    </w:pPr>
  </w:style>
  <w:style w:type="paragraph" w:customStyle="1" w:styleId="MDPI21heading1">
    <w:name w:val="MDPI_2.1_heading1"/>
    <w:basedOn w:val="MDPI23heading3"/>
    <w:rsid w:val="00744E5A"/>
    <w:pPr>
      <w:outlineLvl w:val="0"/>
    </w:pPr>
    <w:rPr>
      <w:b/>
    </w:rPr>
  </w:style>
  <w:style w:type="paragraph" w:customStyle="1" w:styleId="MDPI22heading2">
    <w:name w:val="MDPI_2.2_heading2"/>
    <w:basedOn w:val="Normal"/>
    <w:rsid w:val="00744E5A"/>
    <w:pPr>
      <w:kinsoku w:val="0"/>
      <w:overflowPunct w:val="0"/>
      <w:autoSpaceDE w:val="0"/>
      <w:autoSpaceDN w:val="0"/>
      <w:spacing w:before="240" w:after="120" w:line="260" w:lineRule="atLeast"/>
      <w:jc w:val="left"/>
      <w:outlineLvl w:val="1"/>
    </w:pPr>
    <w:rPr>
      <w:rFonts w:ascii="Palatino Linotype" w:hAnsi="Palatino Linotype"/>
      <w:i/>
      <w:noProof/>
      <w:sz w:val="20"/>
    </w:rPr>
  </w:style>
  <w:style w:type="paragraph" w:customStyle="1" w:styleId="MDPI71References">
    <w:name w:val="MDPI_7.1_References"/>
    <w:basedOn w:val="MDPI62Acknowledgments"/>
    <w:rsid w:val="00744E5A"/>
    <w:pPr>
      <w:numPr>
        <w:numId w:val="1"/>
      </w:numPr>
      <w:spacing w:before="0" w:line="260" w:lineRule="atLeast"/>
      <w:ind w:left="425" w:hanging="425"/>
    </w:pPr>
  </w:style>
  <w:style w:type="paragraph" w:customStyle="1" w:styleId="MDPI74PublishersNote">
    <w:name w:val="MDPI_7.4_Publisher'sNote"/>
    <w:rsid w:val="00744E5A"/>
    <w:pPr>
      <w:adjustRightInd w:val="0"/>
      <w:snapToGrid w:val="0"/>
      <w:spacing w:before="240" w:after="240" w:line="200" w:lineRule="atLeast"/>
    </w:pPr>
    <w:rPr>
      <w:rFonts w:ascii="Palatino Linotype" w:eastAsia="SimSun" w:hAnsi="Palatino Linotype" w:cs="Times New Roman"/>
      <w:sz w:val="18"/>
      <w:lang w:val="en-US" w:eastAsia="zh-CN"/>
    </w:rPr>
  </w:style>
  <w:style w:type="paragraph" w:customStyle="1" w:styleId="Default">
    <w:name w:val="Default"/>
    <w:rsid w:val="00744E5A"/>
    <w:pPr>
      <w:autoSpaceDE w:val="0"/>
      <w:autoSpaceDN w:val="0"/>
      <w:adjustRightInd w:val="0"/>
      <w:spacing w:after="0" w:line="240" w:lineRule="auto"/>
    </w:pPr>
    <w:rPr>
      <w:rFonts w:ascii="Calibri" w:eastAsia="SimSun" w:hAnsi="Calibri" w:cs="Calibri"/>
      <w:color w:val="000000"/>
      <w:sz w:val="24"/>
      <w:szCs w:val="24"/>
      <w:lang w:eastAsia="es-ES"/>
    </w:rPr>
  </w:style>
  <w:style w:type="paragraph" w:customStyle="1" w:styleId="font5">
    <w:name w:val="font5"/>
    <w:basedOn w:val="Normal"/>
    <w:rsid w:val="00744E5A"/>
    <w:pPr>
      <w:adjustRightInd/>
      <w:snapToGrid/>
      <w:spacing w:before="100" w:beforeAutospacing="1" w:after="100" w:afterAutospacing="1" w:line="240" w:lineRule="auto"/>
      <w:jc w:val="left"/>
    </w:pPr>
    <w:rPr>
      <w:rFonts w:ascii="Tahoma" w:hAnsi="Tahoma" w:cs="Tahoma"/>
      <w:sz w:val="18"/>
      <w:szCs w:val="18"/>
      <w:lang w:eastAsia="en-GB" w:bidi="ar-SA"/>
    </w:rPr>
  </w:style>
  <w:style w:type="paragraph" w:customStyle="1" w:styleId="font6">
    <w:name w:val="font6"/>
    <w:basedOn w:val="Normal"/>
    <w:rsid w:val="00744E5A"/>
    <w:pPr>
      <w:adjustRightInd/>
      <w:snapToGrid/>
      <w:spacing w:before="100" w:beforeAutospacing="1" w:after="100" w:afterAutospacing="1" w:line="240" w:lineRule="auto"/>
      <w:jc w:val="left"/>
    </w:pPr>
    <w:rPr>
      <w:rFonts w:ascii="Tahoma" w:hAnsi="Tahoma" w:cs="Tahoma"/>
      <w:b/>
      <w:bCs/>
      <w:sz w:val="18"/>
      <w:szCs w:val="18"/>
      <w:lang w:eastAsia="en-GB" w:bidi="ar-SA"/>
    </w:rPr>
  </w:style>
  <w:style w:type="paragraph" w:customStyle="1" w:styleId="xl67">
    <w:name w:val="xl67"/>
    <w:basedOn w:val="Normal"/>
    <w:rsid w:val="00744E5A"/>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left"/>
    </w:pPr>
    <w:rPr>
      <w:color w:val="auto"/>
      <w:sz w:val="24"/>
      <w:szCs w:val="24"/>
      <w:lang w:eastAsia="en-GB" w:bidi="ar-SA"/>
    </w:rPr>
  </w:style>
  <w:style w:type="paragraph" w:customStyle="1" w:styleId="xl68">
    <w:name w:val="xl68"/>
    <w:basedOn w:val="Normal"/>
    <w:rsid w:val="00744E5A"/>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left"/>
    </w:pPr>
    <w:rPr>
      <w:b/>
      <w:bCs/>
      <w:color w:val="auto"/>
      <w:sz w:val="24"/>
      <w:szCs w:val="24"/>
      <w:lang w:eastAsia="en-GB" w:bidi="ar-SA"/>
    </w:rPr>
  </w:style>
  <w:style w:type="paragraph" w:customStyle="1" w:styleId="xl69">
    <w:name w:val="xl69"/>
    <w:basedOn w:val="Normal"/>
    <w:rsid w:val="00744E5A"/>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left"/>
    </w:pPr>
    <w:rPr>
      <w:color w:val="auto"/>
      <w:sz w:val="24"/>
      <w:szCs w:val="24"/>
      <w:lang w:eastAsia="en-GB" w:bidi="ar-SA"/>
    </w:rPr>
  </w:style>
  <w:style w:type="paragraph" w:customStyle="1" w:styleId="xl70">
    <w:name w:val="xl70"/>
    <w:basedOn w:val="Normal"/>
    <w:rsid w:val="00744E5A"/>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right"/>
    </w:pPr>
    <w:rPr>
      <w:color w:val="auto"/>
      <w:sz w:val="24"/>
      <w:szCs w:val="24"/>
      <w:lang w:eastAsia="en-GB" w:bidi="ar-SA"/>
    </w:rPr>
  </w:style>
  <w:style w:type="paragraph" w:customStyle="1" w:styleId="xl71">
    <w:name w:val="xl71"/>
    <w:basedOn w:val="Normal"/>
    <w:rsid w:val="00744E5A"/>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left"/>
    </w:pPr>
    <w:rPr>
      <w:color w:val="auto"/>
      <w:sz w:val="24"/>
      <w:szCs w:val="24"/>
      <w:lang w:eastAsia="en-GB" w:bidi="ar-SA"/>
    </w:rPr>
  </w:style>
  <w:style w:type="paragraph" w:customStyle="1" w:styleId="xl72">
    <w:name w:val="xl72"/>
    <w:basedOn w:val="Normal"/>
    <w:rsid w:val="00744E5A"/>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left"/>
    </w:pPr>
    <w:rPr>
      <w:color w:val="auto"/>
      <w:sz w:val="24"/>
      <w:szCs w:val="24"/>
      <w:lang w:eastAsia="en-GB" w:bidi="ar-SA"/>
    </w:rPr>
  </w:style>
  <w:style w:type="paragraph" w:customStyle="1" w:styleId="xl73">
    <w:name w:val="xl73"/>
    <w:basedOn w:val="Normal"/>
    <w:rsid w:val="00744E5A"/>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center"/>
    </w:pPr>
    <w:rPr>
      <w:color w:val="auto"/>
      <w:sz w:val="24"/>
      <w:szCs w:val="24"/>
      <w:lang w:eastAsia="en-GB" w:bidi="ar-SA"/>
    </w:rPr>
  </w:style>
  <w:style w:type="paragraph" w:customStyle="1" w:styleId="xl74">
    <w:name w:val="xl74"/>
    <w:basedOn w:val="Normal"/>
    <w:rsid w:val="00744E5A"/>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left"/>
    </w:pPr>
    <w:rPr>
      <w:color w:val="auto"/>
      <w:sz w:val="24"/>
      <w:szCs w:val="24"/>
      <w:lang w:eastAsia="en-GB" w:bidi="ar-SA"/>
    </w:rPr>
  </w:style>
  <w:style w:type="paragraph" w:customStyle="1" w:styleId="xl75">
    <w:name w:val="xl75"/>
    <w:basedOn w:val="Normal"/>
    <w:rsid w:val="00744E5A"/>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center"/>
    </w:pPr>
    <w:rPr>
      <w:color w:val="auto"/>
      <w:sz w:val="24"/>
      <w:szCs w:val="24"/>
      <w:lang w:eastAsia="en-GB" w:bidi="ar-SA"/>
    </w:rPr>
  </w:style>
  <w:style w:type="paragraph" w:customStyle="1" w:styleId="xl76">
    <w:name w:val="xl76"/>
    <w:basedOn w:val="Normal"/>
    <w:rsid w:val="00744E5A"/>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center"/>
    </w:pPr>
    <w:rPr>
      <w:color w:val="auto"/>
      <w:sz w:val="24"/>
      <w:szCs w:val="24"/>
      <w:lang w:eastAsia="en-GB" w:bidi="ar-SA"/>
    </w:rPr>
  </w:style>
  <w:style w:type="paragraph" w:customStyle="1" w:styleId="xl77">
    <w:name w:val="xl77"/>
    <w:basedOn w:val="Normal"/>
    <w:rsid w:val="00744E5A"/>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240" w:lineRule="auto"/>
      <w:jc w:val="left"/>
    </w:pPr>
    <w:rPr>
      <w:color w:val="FF0000"/>
      <w:sz w:val="24"/>
      <w:szCs w:val="24"/>
      <w:lang w:eastAsia="en-GB" w:bidi="ar-SA"/>
    </w:rPr>
  </w:style>
  <w:style w:type="character" w:styleId="CommentReference">
    <w:name w:val="annotation reference"/>
    <w:basedOn w:val="DefaultParagraphFont"/>
    <w:uiPriority w:val="99"/>
    <w:semiHidden/>
    <w:unhideWhenUsed/>
    <w:rsid w:val="00744E5A"/>
    <w:rPr>
      <w:sz w:val="16"/>
      <w:szCs w:val="16"/>
    </w:rPr>
  </w:style>
  <w:style w:type="character" w:styleId="PlaceholderText">
    <w:name w:val="Placeholder Text"/>
    <w:basedOn w:val="DefaultParagraphFont"/>
    <w:uiPriority w:val="99"/>
    <w:semiHidden/>
    <w:rsid w:val="00744E5A"/>
    <w:rPr>
      <w:color w:val="808080"/>
    </w:rPr>
  </w:style>
  <w:style w:type="character" w:customStyle="1" w:styleId="anchor-text">
    <w:name w:val="anchor-text"/>
    <w:basedOn w:val="DefaultParagraphFont"/>
    <w:rsid w:val="00744E5A"/>
  </w:style>
  <w:style w:type="table" w:styleId="TableGrid">
    <w:name w:val="Table Grid"/>
    <w:basedOn w:val="TableNormal"/>
    <w:uiPriority w:val="59"/>
    <w:rsid w:val="00744E5A"/>
    <w:pPr>
      <w:spacing w:after="0" w:line="240" w:lineRule="auto"/>
    </w:pPr>
    <w:rPr>
      <w:rFonts w:ascii="Calibri" w:eastAsia="SimSun" w:hAnsi="Calibri" w:cs="Times New Roman"/>
      <w:sz w:val="20"/>
      <w:szCs w:val="20"/>
      <w:lang w:eastAsia="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744E5A"/>
    <w:pPr>
      <w:spacing w:after="0" w:line="240" w:lineRule="auto"/>
    </w:pPr>
    <w:rPr>
      <w:rFonts w:ascii="Calibri" w:eastAsia="SimSun" w:hAnsi="Calibri" w:cs="Times New Roman"/>
      <w:sz w:val="20"/>
      <w:szCs w:val="20"/>
      <w:lang w:eastAsia="es-ES"/>
    </w:rPr>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MDPI41threelinetable">
    <w:name w:val="MDPI_4.1_three_line_table"/>
    <w:basedOn w:val="TableNormal"/>
    <w:uiPriority w:val="99"/>
    <w:rsid w:val="00744E5A"/>
    <w:pPr>
      <w:adjustRightInd w:val="0"/>
      <w:snapToGrid w:val="0"/>
      <w:spacing w:after="0" w:line="240" w:lineRule="auto"/>
      <w:jc w:val="center"/>
    </w:pPr>
    <w:rPr>
      <w:rFonts w:ascii="Palatino Linotype" w:eastAsia="SimSun" w:hAnsi="Palatino Linotype" w:cs="Times New Roman"/>
      <w:color w:val="000000"/>
      <w:sz w:val="20"/>
      <w:szCs w:val="20"/>
      <w:lang w:eastAsia="es-ES"/>
    </w:rPr>
    <w:tblPr>
      <w:tblInd w:w="0" w:type="nil"/>
      <w:tblBorders>
        <w:top w:val="single" w:sz="8" w:space="0" w:color="auto"/>
        <w:bottom w:val="single" w:sz="8" w:space="0" w:color="auto"/>
      </w:tblBorders>
    </w:tblPr>
    <w:tcPr>
      <w:vAlign w:val="center"/>
    </w:tcPr>
    <w:tblStylePr w:type="firstRow">
      <w:rPr>
        <w:rFonts w:ascii="Calibri Light" w:hAnsi="Calibri Light" w:cs="Calibri Light" w:hint="default"/>
        <w:b/>
        <w:i w:val="0"/>
        <w:sz w:val="20"/>
        <w:szCs w:val="20"/>
      </w:rPr>
      <w:tblPr/>
      <w:tcPr>
        <w:tcBorders>
          <w:bottom w:val="single" w:sz="4" w:space="0" w:color="auto"/>
        </w:tcBorders>
      </w:tcPr>
    </w:tblStylePr>
  </w:style>
  <w:style w:type="paragraph" w:customStyle="1" w:styleId="MDPI11articletype">
    <w:name w:val="MDPI_1.1_article_type"/>
    <w:basedOn w:val="MDPI31text"/>
    <w:next w:val="MDPI12title"/>
    <w:rsid w:val="00744E5A"/>
    <w:pPr>
      <w:spacing w:before="240" w:line="240" w:lineRule="auto"/>
      <w:ind w:firstLine="0"/>
      <w:jc w:val="left"/>
    </w:pPr>
    <w:rPr>
      <w:i/>
    </w:rPr>
  </w:style>
  <w:style w:type="paragraph" w:customStyle="1" w:styleId="MDPI14history">
    <w:name w:val="MDPI_1.4_history"/>
    <w:basedOn w:val="MDPI62Acknowledgments"/>
    <w:next w:val="Normal"/>
    <w:rsid w:val="00744E5A"/>
    <w:pPr>
      <w:ind w:left="113"/>
      <w:jc w:val="left"/>
    </w:pPr>
  </w:style>
  <w:style w:type="paragraph" w:customStyle="1" w:styleId="MDPI16affiliation">
    <w:name w:val="MDPI_1.6_affiliation"/>
    <w:basedOn w:val="MDPI62Acknowledgments"/>
    <w:rsid w:val="00744E5A"/>
    <w:pPr>
      <w:spacing w:before="0"/>
      <w:ind w:left="311" w:hanging="198"/>
      <w:jc w:val="left"/>
    </w:pPr>
    <w:rPr>
      <w:szCs w:val="18"/>
    </w:rPr>
  </w:style>
  <w:style w:type="paragraph" w:customStyle="1" w:styleId="MDPI18keywords">
    <w:name w:val="MDPI_1.8_keywords"/>
    <w:basedOn w:val="MDPI31text"/>
    <w:next w:val="Normal"/>
    <w:rsid w:val="00744E5A"/>
    <w:pPr>
      <w:spacing w:before="240"/>
      <w:ind w:left="113" w:firstLine="0"/>
    </w:pPr>
  </w:style>
  <w:style w:type="paragraph" w:customStyle="1" w:styleId="MDPI17abstract">
    <w:name w:val="MDPI_1.7_abstract"/>
    <w:basedOn w:val="MDPI31text"/>
    <w:next w:val="MDPI18keywords"/>
    <w:rsid w:val="00744E5A"/>
    <w:pPr>
      <w:spacing w:before="240"/>
      <w:ind w:left="113" w:firstLine="0"/>
    </w:pPr>
  </w:style>
  <w:style w:type="paragraph" w:customStyle="1" w:styleId="MDPI19line">
    <w:name w:val="MDPI_1.9_line"/>
    <w:basedOn w:val="MDPI31text"/>
    <w:rsid w:val="00744E5A"/>
    <w:pPr>
      <w:pBdr>
        <w:bottom w:val="single" w:sz="6" w:space="1" w:color="auto"/>
      </w:pBdr>
      <w:ind w:firstLine="0"/>
    </w:pPr>
    <w:rPr>
      <w:szCs w:val="24"/>
    </w:rPr>
  </w:style>
  <w:style w:type="paragraph" w:customStyle="1" w:styleId="MDPI32textnoindent">
    <w:name w:val="MDPI_3.2_text_no_indent"/>
    <w:basedOn w:val="MDPI31text"/>
    <w:rsid w:val="00744E5A"/>
    <w:pPr>
      <w:ind w:firstLine="0"/>
    </w:pPr>
  </w:style>
  <w:style w:type="paragraph" w:customStyle="1" w:styleId="MDPI33textspaceafter">
    <w:name w:val="MDPI_3.3_text_space_after"/>
    <w:basedOn w:val="MDPI31text"/>
    <w:rsid w:val="00744E5A"/>
    <w:pPr>
      <w:spacing w:after="240"/>
    </w:pPr>
  </w:style>
  <w:style w:type="paragraph" w:customStyle="1" w:styleId="MDPI35textbeforelist">
    <w:name w:val="MDPI_3.5_text_before_list"/>
    <w:basedOn w:val="MDPI31text"/>
    <w:rsid w:val="00744E5A"/>
    <w:pPr>
      <w:spacing w:after="120"/>
    </w:pPr>
  </w:style>
  <w:style w:type="paragraph" w:customStyle="1" w:styleId="MDPI36textafterlist">
    <w:name w:val="MDPI_3.6_text_after_list"/>
    <w:basedOn w:val="MDPI31text"/>
    <w:rsid w:val="00744E5A"/>
    <w:pPr>
      <w:spacing w:before="120"/>
    </w:pPr>
  </w:style>
  <w:style w:type="paragraph" w:customStyle="1" w:styleId="MDPI37itemize">
    <w:name w:val="MDPI_3.7_itemize"/>
    <w:basedOn w:val="MDPI31text"/>
    <w:rsid w:val="00744E5A"/>
    <w:pPr>
      <w:numPr>
        <w:numId w:val="3"/>
      </w:numPr>
      <w:ind w:left="425" w:hanging="425"/>
    </w:pPr>
  </w:style>
  <w:style w:type="paragraph" w:customStyle="1" w:styleId="MDPI38bullet">
    <w:name w:val="MDPI_3.8_bullet"/>
    <w:basedOn w:val="MDPI31text"/>
    <w:rsid w:val="00744E5A"/>
    <w:pPr>
      <w:numPr>
        <w:numId w:val="5"/>
      </w:numPr>
      <w:ind w:left="425" w:hanging="425"/>
    </w:pPr>
  </w:style>
  <w:style w:type="paragraph" w:customStyle="1" w:styleId="MDPI39equation">
    <w:name w:val="MDPI_3.9_equation"/>
    <w:basedOn w:val="MDPI31text"/>
    <w:rsid w:val="00744E5A"/>
    <w:pPr>
      <w:spacing w:before="120" w:after="120"/>
      <w:ind w:left="709" w:firstLine="0"/>
      <w:jc w:val="center"/>
    </w:pPr>
  </w:style>
  <w:style w:type="paragraph" w:customStyle="1" w:styleId="MDPI3aequationnumber">
    <w:name w:val="MDPI_3.a_equation_number"/>
    <w:basedOn w:val="MDPI31text"/>
    <w:rsid w:val="00744E5A"/>
    <w:pPr>
      <w:spacing w:before="120" w:after="120" w:line="240" w:lineRule="auto"/>
      <w:ind w:firstLine="0"/>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3694935">
      <w:bodyDiv w:val="1"/>
      <w:marLeft w:val="0"/>
      <w:marRight w:val="0"/>
      <w:marTop w:val="0"/>
      <w:marBottom w:val="0"/>
      <w:divBdr>
        <w:top w:val="none" w:sz="0" w:space="0" w:color="auto"/>
        <w:left w:val="none" w:sz="0" w:space="0" w:color="auto"/>
        <w:bottom w:val="none" w:sz="0" w:space="0" w:color="auto"/>
        <w:right w:val="none" w:sz="0" w:space="0" w:color="auto"/>
      </w:divBdr>
    </w:div>
    <w:div w:id="1003629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03F7BC561DE6604EA82480FDF2044697" ma:contentTypeVersion="8" ma:contentTypeDescription="Crear nuevo documento." ma:contentTypeScope="" ma:versionID="62150e84b48732907e4ce3ae526f0d67">
  <xsd:schema xmlns:xsd="http://www.w3.org/2001/XMLSchema" xmlns:xs="http://www.w3.org/2001/XMLSchema" xmlns:p="http://schemas.microsoft.com/office/2006/metadata/properties" xmlns:ns2="f8db0a90-58eb-4bdd-9f33-44a7662891fb" targetNamespace="http://schemas.microsoft.com/office/2006/metadata/properties" ma:root="true" ma:fieldsID="07c1197a97fc893e7237aae4ba1bdfb6" ns2:_="">
    <xsd:import namespace="f8db0a90-58eb-4bdd-9f33-44a7662891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db0a90-58eb-4bdd-9f33-44a7662891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EC8E74-F456-44BF-8694-F5E3902818E1}">
  <ds:schemaRefs>
    <ds:schemaRef ds:uri="http://schemas.microsoft.com/sharepoint/v3/contenttype/forms"/>
  </ds:schemaRefs>
</ds:datastoreItem>
</file>

<file path=customXml/itemProps2.xml><?xml version="1.0" encoding="utf-8"?>
<ds:datastoreItem xmlns:ds="http://schemas.openxmlformats.org/officeDocument/2006/customXml" ds:itemID="{38DA3737-02ED-4D2D-93C7-AA59FD339C1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1EEB45-ACC8-40AD-99D1-890EE026EF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db0a90-58eb-4bdd-9f33-44a7662891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939</TotalTime>
  <Pages>9</Pages>
  <Words>46801</Words>
  <Characters>266770</Characters>
  <Application>Microsoft Office Word</Application>
  <DocSecurity>0</DocSecurity>
  <Lines>2223</Lines>
  <Paragraphs>625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312946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Blanca Castells Somoza</dc:creator>
  <cp:keywords/>
  <dc:description/>
  <cp:lastModifiedBy>Vignesh Selvaraj</cp:lastModifiedBy>
  <cp:revision>25</cp:revision>
  <dcterms:created xsi:type="dcterms:W3CDTF">2022-07-13T16:22:00Z</dcterms:created>
  <dcterms:modified xsi:type="dcterms:W3CDTF">2023-07-26T11:46:00Z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0x01010003F7BC561DE6604EA82480FDF2044697</vt:lpwstr>
  </property>
</Properties>
</file>