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231EEF" w14:textId="2F7DB4BD" w:rsidR="005C7856" w:rsidRPr="005A7A0A" w:rsidRDefault="005C7856">
      <w:pPr>
        <w:rPr>
          <w:color w:val="auto"/>
        </w:rPr>
      </w:pPr>
      <w:r w:rsidRPr="005A7A0A">
        <w:rPr>
          <w:color w:val="auto"/>
        </w:rPr>
        <w:t>Table S</w:t>
      </w:r>
      <w:r w:rsidR="00090ED2" w:rsidRPr="005A7A0A">
        <w:rPr>
          <w:color w:val="auto"/>
        </w:rPr>
        <w:t>2</w:t>
      </w:r>
      <w:r w:rsidRPr="005A7A0A">
        <w:rPr>
          <w:color w:val="auto"/>
        </w:rPr>
        <w:t xml:space="preserve">: </w:t>
      </w:r>
      <w:r w:rsidR="00B71435" w:rsidRPr="005A7A0A">
        <w:rPr>
          <w:color w:val="auto"/>
        </w:rPr>
        <w:t>Flammability and explosion severity parameters</w:t>
      </w:r>
      <w:r w:rsidR="002D147A" w:rsidRPr="005A7A0A">
        <w:rPr>
          <w:color w:val="auto"/>
        </w:rPr>
        <w:t xml:space="preserve"> </w:t>
      </w:r>
      <w:r w:rsidR="0054619F" w:rsidRPr="005A7A0A">
        <w:rPr>
          <w:color w:val="auto"/>
          <w:vertAlign w:val="superscript"/>
        </w:rPr>
        <w:t>a</w:t>
      </w:r>
      <w:bookmarkStart w:id="0" w:name="_GoBack"/>
      <w:bookmarkEnd w:id="0"/>
    </w:p>
    <w:tbl>
      <w:tblPr>
        <w:tblW w:w="13887" w:type="dxa"/>
        <w:tblLook w:val="04A0" w:firstRow="1" w:lastRow="0" w:firstColumn="1" w:lastColumn="0" w:noHBand="0" w:noVBand="1"/>
      </w:tblPr>
      <w:tblGrid>
        <w:gridCol w:w="678"/>
        <w:gridCol w:w="4204"/>
        <w:gridCol w:w="1055"/>
        <w:gridCol w:w="1006"/>
        <w:gridCol w:w="1335"/>
        <w:gridCol w:w="931"/>
        <w:gridCol w:w="992"/>
        <w:gridCol w:w="1134"/>
        <w:gridCol w:w="851"/>
        <w:gridCol w:w="709"/>
        <w:gridCol w:w="992"/>
      </w:tblGrid>
      <w:tr w:rsidR="005A7A0A" w:rsidRPr="005A7A0A" w14:paraId="0C2E86FA" w14:textId="4BE5C527" w:rsidTr="00845E0C">
        <w:trPr>
          <w:trHeight w:val="276"/>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D4B84" w14:textId="77777777" w:rsidR="00AF5FF8" w:rsidRPr="005A7A0A" w:rsidRDefault="00AF5FF8" w:rsidP="00845E0C">
            <w:pPr>
              <w:adjustRightInd/>
              <w:snapToGrid/>
              <w:spacing w:line="240" w:lineRule="auto"/>
              <w:jc w:val="center"/>
              <w:rPr>
                <w:b/>
                <w:bCs/>
                <w:color w:val="auto"/>
                <w:sz w:val="18"/>
                <w:szCs w:val="18"/>
                <w:lang w:eastAsia="en-GB" w:bidi="ar-SA"/>
              </w:rPr>
            </w:pPr>
            <w:r w:rsidRPr="005A7A0A">
              <w:rPr>
                <w:b/>
                <w:bCs/>
                <w:color w:val="auto"/>
                <w:sz w:val="18"/>
                <w:szCs w:val="18"/>
                <w:lang w:eastAsia="en-GB" w:bidi="ar-SA"/>
              </w:rPr>
              <w:t>Nº</w:t>
            </w:r>
          </w:p>
        </w:tc>
        <w:tc>
          <w:tcPr>
            <w:tcW w:w="4204" w:type="dxa"/>
            <w:tcBorders>
              <w:top w:val="single" w:sz="4" w:space="0" w:color="auto"/>
              <w:left w:val="nil"/>
              <w:bottom w:val="single" w:sz="4" w:space="0" w:color="auto"/>
              <w:right w:val="single" w:sz="4" w:space="0" w:color="auto"/>
            </w:tcBorders>
            <w:shd w:val="clear" w:color="auto" w:fill="auto"/>
            <w:noWrap/>
            <w:vAlign w:val="center"/>
            <w:hideMark/>
          </w:tcPr>
          <w:p w14:paraId="5AA6C0A6" w14:textId="77777777" w:rsidR="00AF5FF8" w:rsidRPr="005A7A0A" w:rsidRDefault="00AF5FF8" w:rsidP="00845E0C">
            <w:pPr>
              <w:adjustRightInd/>
              <w:snapToGrid/>
              <w:spacing w:line="240" w:lineRule="auto"/>
              <w:jc w:val="center"/>
              <w:rPr>
                <w:b/>
                <w:bCs/>
                <w:color w:val="auto"/>
                <w:sz w:val="18"/>
                <w:szCs w:val="18"/>
                <w:lang w:eastAsia="en-GB" w:bidi="ar-SA"/>
              </w:rPr>
            </w:pPr>
            <w:r w:rsidRPr="005A7A0A">
              <w:rPr>
                <w:b/>
                <w:bCs/>
                <w:color w:val="auto"/>
                <w:sz w:val="18"/>
                <w:szCs w:val="18"/>
                <w:lang w:eastAsia="en-GB" w:bidi="ar-SA"/>
              </w:rPr>
              <w:t>Sample</w:t>
            </w:r>
          </w:p>
        </w:tc>
        <w:tc>
          <w:tcPr>
            <w:tcW w:w="1055" w:type="dxa"/>
            <w:tcBorders>
              <w:top w:val="single" w:sz="4" w:space="0" w:color="auto"/>
              <w:left w:val="nil"/>
              <w:bottom w:val="single" w:sz="4" w:space="0" w:color="auto"/>
              <w:right w:val="single" w:sz="4" w:space="0" w:color="auto"/>
            </w:tcBorders>
            <w:shd w:val="clear" w:color="auto" w:fill="auto"/>
            <w:noWrap/>
            <w:vAlign w:val="center"/>
          </w:tcPr>
          <w:p w14:paraId="4A3974E6" w14:textId="51596096" w:rsidR="00AF5FF8" w:rsidRPr="005A7A0A" w:rsidRDefault="00AF5FF8" w:rsidP="00845E0C">
            <w:pPr>
              <w:adjustRightInd/>
              <w:snapToGrid/>
              <w:spacing w:line="240" w:lineRule="auto"/>
              <w:jc w:val="center"/>
              <w:rPr>
                <w:b/>
                <w:bCs/>
                <w:i/>
                <w:color w:val="auto"/>
                <w:sz w:val="18"/>
                <w:szCs w:val="18"/>
                <w:lang w:eastAsia="en-GB" w:bidi="ar-SA"/>
              </w:rPr>
            </w:pPr>
            <w:r w:rsidRPr="005A7A0A">
              <w:rPr>
                <w:b/>
                <w:bCs/>
                <w:i/>
                <w:color w:val="auto"/>
                <w:sz w:val="18"/>
                <w:szCs w:val="18"/>
                <w:lang w:eastAsia="en-GB" w:bidi="ar-SA"/>
              </w:rPr>
              <w:t>P</w:t>
            </w:r>
            <w:r w:rsidRPr="005A7A0A">
              <w:rPr>
                <w:b/>
                <w:bCs/>
                <w:i/>
                <w:color w:val="auto"/>
                <w:sz w:val="18"/>
                <w:szCs w:val="18"/>
                <w:vertAlign w:val="subscript"/>
                <w:lang w:eastAsia="en-GB" w:bidi="ar-SA"/>
              </w:rPr>
              <w:t>max</w:t>
            </w:r>
          </w:p>
        </w:tc>
        <w:tc>
          <w:tcPr>
            <w:tcW w:w="1006" w:type="dxa"/>
            <w:tcBorders>
              <w:top w:val="single" w:sz="4" w:space="0" w:color="auto"/>
              <w:left w:val="nil"/>
              <w:bottom w:val="single" w:sz="4" w:space="0" w:color="auto"/>
              <w:right w:val="single" w:sz="4" w:space="0" w:color="auto"/>
            </w:tcBorders>
            <w:shd w:val="clear" w:color="auto" w:fill="auto"/>
            <w:noWrap/>
            <w:vAlign w:val="center"/>
          </w:tcPr>
          <w:p w14:paraId="1946782B" w14:textId="15D37DC6" w:rsidR="00AF5FF8" w:rsidRPr="005A7A0A" w:rsidRDefault="00AF5FF8" w:rsidP="00845E0C">
            <w:pPr>
              <w:adjustRightInd/>
              <w:snapToGrid/>
              <w:spacing w:line="240" w:lineRule="auto"/>
              <w:jc w:val="center"/>
              <w:rPr>
                <w:b/>
                <w:bCs/>
                <w:i/>
                <w:color w:val="auto"/>
                <w:sz w:val="18"/>
                <w:szCs w:val="18"/>
                <w:lang w:eastAsia="en-GB" w:bidi="ar-SA"/>
              </w:rPr>
            </w:pPr>
            <w:r w:rsidRPr="005A7A0A">
              <w:rPr>
                <w:b/>
                <w:bCs/>
                <w:i/>
                <w:color w:val="auto"/>
                <w:sz w:val="18"/>
                <w:szCs w:val="18"/>
                <w:lang w:eastAsia="en-GB" w:bidi="ar-SA"/>
              </w:rPr>
              <w:t>K</w:t>
            </w:r>
            <w:r w:rsidRPr="005A7A0A">
              <w:rPr>
                <w:b/>
                <w:bCs/>
                <w:i/>
                <w:color w:val="auto"/>
                <w:sz w:val="18"/>
                <w:szCs w:val="18"/>
                <w:vertAlign w:val="subscript"/>
                <w:lang w:eastAsia="en-GB" w:bidi="ar-SA"/>
              </w:rPr>
              <w:t>St</w:t>
            </w:r>
          </w:p>
        </w:tc>
        <w:tc>
          <w:tcPr>
            <w:tcW w:w="1335" w:type="dxa"/>
            <w:tcBorders>
              <w:top w:val="single" w:sz="4" w:space="0" w:color="auto"/>
              <w:left w:val="nil"/>
              <w:bottom w:val="single" w:sz="4" w:space="0" w:color="auto"/>
              <w:right w:val="single" w:sz="4" w:space="0" w:color="auto"/>
            </w:tcBorders>
            <w:shd w:val="clear" w:color="auto" w:fill="auto"/>
            <w:noWrap/>
            <w:vAlign w:val="center"/>
          </w:tcPr>
          <w:p w14:paraId="3F7CD094" w14:textId="6CE1842E" w:rsidR="00AF5FF8" w:rsidRPr="005A7A0A" w:rsidRDefault="00AF5FF8" w:rsidP="00845E0C">
            <w:pPr>
              <w:adjustRightInd/>
              <w:snapToGrid/>
              <w:spacing w:line="240" w:lineRule="auto"/>
              <w:jc w:val="center"/>
              <w:rPr>
                <w:b/>
                <w:bCs/>
                <w:i/>
                <w:color w:val="auto"/>
                <w:sz w:val="18"/>
                <w:szCs w:val="18"/>
                <w:vertAlign w:val="subscript"/>
                <w:lang w:eastAsia="en-GB" w:bidi="ar-SA"/>
              </w:rPr>
            </w:pPr>
            <w:r w:rsidRPr="005A7A0A">
              <w:rPr>
                <w:b/>
                <w:bCs/>
                <w:i/>
                <w:color w:val="auto"/>
                <w:sz w:val="18"/>
                <w:szCs w:val="18"/>
                <w:lang w:eastAsia="en-GB" w:bidi="ar-SA"/>
              </w:rPr>
              <w:t>dP/dt</w:t>
            </w:r>
            <w:r w:rsidRPr="005A7A0A">
              <w:rPr>
                <w:b/>
                <w:bCs/>
                <w:i/>
                <w:color w:val="auto"/>
                <w:sz w:val="18"/>
                <w:szCs w:val="18"/>
                <w:vertAlign w:val="subscript"/>
                <w:lang w:eastAsia="en-GB" w:bidi="ar-SA"/>
              </w:rPr>
              <w:t>max</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325A9821" w14:textId="028239D9" w:rsidR="00AF5FF8" w:rsidRPr="005A7A0A" w:rsidRDefault="00AF5FF8" w:rsidP="00845E0C">
            <w:pPr>
              <w:adjustRightInd/>
              <w:snapToGrid/>
              <w:spacing w:line="240" w:lineRule="auto"/>
              <w:jc w:val="center"/>
              <w:rPr>
                <w:b/>
                <w:bCs/>
                <w:color w:val="auto"/>
                <w:sz w:val="18"/>
                <w:szCs w:val="18"/>
                <w:lang w:eastAsia="en-GB" w:bidi="ar-SA"/>
              </w:rPr>
            </w:pPr>
            <w:r w:rsidRPr="005A7A0A">
              <w:rPr>
                <w:b/>
                <w:bCs/>
                <w:color w:val="auto"/>
                <w:sz w:val="18"/>
                <w:szCs w:val="18"/>
                <w:lang w:eastAsia="en-GB" w:bidi="ar-SA"/>
              </w:rPr>
              <w:t>MIE</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88B0613" w14:textId="543990A9" w:rsidR="00AF5FF8" w:rsidRPr="005A7A0A" w:rsidRDefault="00AF5FF8" w:rsidP="00845E0C">
            <w:pPr>
              <w:adjustRightInd/>
              <w:snapToGrid/>
              <w:spacing w:line="240" w:lineRule="auto"/>
              <w:jc w:val="center"/>
              <w:rPr>
                <w:b/>
                <w:bCs/>
                <w:color w:val="auto"/>
                <w:sz w:val="18"/>
                <w:szCs w:val="18"/>
                <w:lang w:eastAsia="en-GB" w:bidi="ar-SA"/>
              </w:rPr>
            </w:pPr>
            <w:r w:rsidRPr="005A7A0A">
              <w:rPr>
                <w:b/>
                <w:bCs/>
                <w:color w:val="auto"/>
                <w:sz w:val="18"/>
                <w:szCs w:val="18"/>
                <w:lang w:eastAsia="en-GB" w:bidi="ar-SA"/>
              </w:rPr>
              <w:t>MIT</w:t>
            </w:r>
            <w:r w:rsidRPr="005A7A0A">
              <w:rPr>
                <w:b/>
                <w:bCs/>
                <w:color w:val="auto"/>
                <w:sz w:val="18"/>
                <w:szCs w:val="18"/>
                <w:vertAlign w:val="subscript"/>
                <w:lang w:eastAsia="en-GB" w:bidi="ar-SA"/>
              </w:rPr>
              <w:t>l</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874E9CE" w14:textId="35FE579F" w:rsidR="00AF5FF8" w:rsidRPr="005A7A0A" w:rsidRDefault="00AF5FF8" w:rsidP="00845E0C">
            <w:pPr>
              <w:adjustRightInd/>
              <w:snapToGrid/>
              <w:spacing w:line="240" w:lineRule="auto"/>
              <w:jc w:val="center"/>
              <w:rPr>
                <w:b/>
                <w:bCs/>
                <w:color w:val="auto"/>
                <w:sz w:val="18"/>
                <w:szCs w:val="18"/>
                <w:lang w:eastAsia="en-GB" w:bidi="ar-SA"/>
              </w:rPr>
            </w:pPr>
            <w:r w:rsidRPr="005A7A0A">
              <w:rPr>
                <w:b/>
                <w:bCs/>
                <w:color w:val="auto"/>
                <w:sz w:val="18"/>
                <w:szCs w:val="18"/>
                <w:lang w:eastAsia="en-GB" w:bidi="ar-SA"/>
              </w:rPr>
              <w:t>MIT</w:t>
            </w:r>
            <w:r w:rsidRPr="005A7A0A">
              <w:rPr>
                <w:b/>
                <w:bCs/>
                <w:color w:val="auto"/>
                <w:sz w:val="18"/>
                <w:szCs w:val="18"/>
                <w:vertAlign w:val="subscript"/>
                <w:lang w:eastAsia="en-GB" w:bidi="ar-SA"/>
              </w:rPr>
              <w:t>c</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683A7B0B" w14:textId="79743D35" w:rsidR="00AF5FF8" w:rsidRPr="005A7A0A" w:rsidRDefault="00AF5FF8" w:rsidP="00845E0C">
            <w:pPr>
              <w:adjustRightInd/>
              <w:snapToGrid/>
              <w:spacing w:line="240" w:lineRule="auto"/>
              <w:jc w:val="center"/>
              <w:rPr>
                <w:b/>
                <w:bCs/>
                <w:color w:val="auto"/>
                <w:sz w:val="18"/>
                <w:szCs w:val="18"/>
                <w:lang w:eastAsia="en-GB" w:bidi="ar-SA"/>
              </w:rPr>
            </w:pPr>
            <w:r w:rsidRPr="005A7A0A">
              <w:rPr>
                <w:b/>
                <w:bCs/>
                <w:color w:val="auto"/>
                <w:sz w:val="18"/>
                <w:szCs w:val="18"/>
                <w:lang w:eastAsia="en-GB" w:bidi="ar-SA"/>
              </w:rPr>
              <w:t>MEC</w:t>
            </w:r>
          </w:p>
        </w:tc>
        <w:tc>
          <w:tcPr>
            <w:tcW w:w="709" w:type="dxa"/>
            <w:tcBorders>
              <w:top w:val="single" w:sz="4" w:space="0" w:color="auto"/>
              <w:left w:val="nil"/>
              <w:bottom w:val="single" w:sz="4" w:space="0" w:color="auto"/>
              <w:right w:val="single" w:sz="4" w:space="0" w:color="auto"/>
            </w:tcBorders>
            <w:vAlign w:val="center"/>
          </w:tcPr>
          <w:p w14:paraId="19CD9948" w14:textId="684A19DC" w:rsidR="00AF5FF8" w:rsidRPr="005A7A0A" w:rsidRDefault="00AF5FF8" w:rsidP="00845E0C">
            <w:pPr>
              <w:adjustRightInd/>
              <w:snapToGrid/>
              <w:spacing w:line="240" w:lineRule="auto"/>
              <w:jc w:val="center"/>
              <w:rPr>
                <w:b/>
                <w:bCs/>
                <w:color w:val="auto"/>
                <w:sz w:val="18"/>
                <w:szCs w:val="18"/>
                <w:lang w:eastAsia="en-GB" w:bidi="ar-SA"/>
              </w:rPr>
            </w:pPr>
            <w:r w:rsidRPr="005A7A0A">
              <w:rPr>
                <w:b/>
                <w:bCs/>
                <w:color w:val="auto"/>
                <w:sz w:val="18"/>
                <w:szCs w:val="18"/>
                <w:lang w:eastAsia="en-GB" w:bidi="ar-SA"/>
              </w:rPr>
              <w:t>LOC</w:t>
            </w:r>
          </w:p>
        </w:tc>
        <w:tc>
          <w:tcPr>
            <w:tcW w:w="992" w:type="dxa"/>
            <w:tcBorders>
              <w:top w:val="single" w:sz="4" w:space="0" w:color="auto"/>
              <w:left w:val="single" w:sz="4" w:space="0" w:color="auto"/>
              <w:bottom w:val="single" w:sz="4" w:space="0" w:color="auto"/>
              <w:right w:val="single" w:sz="4" w:space="0" w:color="auto"/>
            </w:tcBorders>
            <w:vAlign w:val="center"/>
          </w:tcPr>
          <w:p w14:paraId="3D0C51A7" w14:textId="51753DB8" w:rsidR="00AF5FF8" w:rsidRPr="005A7A0A" w:rsidRDefault="00AF5FF8" w:rsidP="00845E0C">
            <w:pPr>
              <w:adjustRightInd/>
              <w:snapToGrid/>
              <w:spacing w:line="240" w:lineRule="auto"/>
              <w:jc w:val="center"/>
              <w:rPr>
                <w:b/>
                <w:bCs/>
                <w:color w:val="auto"/>
                <w:sz w:val="18"/>
                <w:szCs w:val="18"/>
                <w:lang w:eastAsia="en-GB" w:bidi="ar-SA"/>
              </w:rPr>
            </w:pPr>
            <w:r w:rsidRPr="005A7A0A">
              <w:rPr>
                <w:b/>
                <w:bCs/>
                <w:color w:val="auto"/>
                <w:sz w:val="18"/>
                <w:szCs w:val="18"/>
                <w:lang w:eastAsia="en-GB" w:bidi="ar-SA"/>
              </w:rPr>
              <w:t>Ref.</w:t>
            </w:r>
          </w:p>
        </w:tc>
      </w:tr>
      <w:tr w:rsidR="005A7A0A" w:rsidRPr="005A7A0A" w14:paraId="417AA581" w14:textId="6B339FDF"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FFCE48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w:t>
            </w:r>
          </w:p>
        </w:tc>
        <w:tc>
          <w:tcPr>
            <w:tcW w:w="4204" w:type="dxa"/>
            <w:tcBorders>
              <w:top w:val="nil"/>
              <w:left w:val="nil"/>
              <w:bottom w:val="single" w:sz="4" w:space="0" w:color="auto"/>
              <w:right w:val="single" w:sz="4" w:space="0" w:color="auto"/>
            </w:tcBorders>
            <w:shd w:val="clear" w:color="auto" w:fill="auto"/>
            <w:noWrap/>
            <w:vAlign w:val="center"/>
            <w:hideMark/>
          </w:tcPr>
          <w:p w14:paraId="53D7383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Almond shell</w:t>
            </w:r>
          </w:p>
        </w:tc>
        <w:tc>
          <w:tcPr>
            <w:tcW w:w="1055" w:type="dxa"/>
            <w:tcBorders>
              <w:top w:val="nil"/>
              <w:left w:val="nil"/>
              <w:bottom w:val="single" w:sz="4" w:space="0" w:color="auto"/>
              <w:right w:val="single" w:sz="4" w:space="0" w:color="auto"/>
            </w:tcBorders>
            <w:shd w:val="clear" w:color="auto" w:fill="auto"/>
            <w:noWrap/>
            <w:vAlign w:val="bottom"/>
          </w:tcPr>
          <w:p w14:paraId="0293E8CE" w14:textId="3ED2608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7F56C601" w14:textId="4EC95DF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3EF703C9" w14:textId="6F6926B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25590452" w14:textId="185FAF4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3079082" w14:textId="6342497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290</w:t>
            </w:r>
          </w:p>
        </w:tc>
        <w:tc>
          <w:tcPr>
            <w:tcW w:w="1134" w:type="dxa"/>
            <w:tcBorders>
              <w:top w:val="nil"/>
              <w:left w:val="nil"/>
              <w:bottom w:val="single" w:sz="4" w:space="0" w:color="auto"/>
              <w:right w:val="single" w:sz="4" w:space="0" w:color="auto"/>
            </w:tcBorders>
            <w:shd w:val="clear" w:color="auto" w:fill="auto"/>
            <w:noWrap/>
            <w:vAlign w:val="bottom"/>
          </w:tcPr>
          <w:p w14:paraId="343FB972" w14:textId="6A3F02F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BBA2BAD" w14:textId="0E62844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5862108"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390B390" w14:textId="7F7E260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09DAD764" w14:textId="45F5BA37"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92C246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w:t>
            </w:r>
          </w:p>
        </w:tc>
        <w:tc>
          <w:tcPr>
            <w:tcW w:w="4204" w:type="dxa"/>
            <w:tcBorders>
              <w:top w:val="nil"/>
              <w:left w:val="nil"/>
              <w:bottom w:val="single" w:sz="4" w:space="0" w:color="auto"/>
              <w:right w:val="single" w:sz="4" w:space="0" w:color="auto"/>
            </w:tcBorders>
            <w:shd w:val="clear" w:color="auto" w:fill="auto"/>
            <w:noWrap/>
            <w:vAlign w:val="center"/>
            <w:hideMark/>
          </w:tcPr>
          <w:p w14:paraId="4D7E25E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Almond shell</w:t>
            </w:r>
          </w:p>
        </w:tc>
        <w:tc>
          <w:tcPr>
            <w:tcW w:w="1055" w:type="dxa"/>
            <w:tcBorders>
              <w:top w:val="nil"/>
              <w:left w:val="nil"/>
              <w:bottom w:val="single" w:sz="4" w:space="0" w:color="auto"/>
              <w:right w:val="single" w:sz="4" w:space="0" w:color="auto"/>
            </w:tcBorders>
            <w:shd w:val="clear" w:color="auto" w:fill="auto"/>
            <w:noWrap/>
            <w:vAlign w:val="bottom"/>
          </w:tcPr>
          <w:p w14:paraId="7B81644F" w14:textId="65E5D15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7.1</w:t>
            </w:r>
          </w:p>
        </w:tc>
        <w:tc>
          <w:tcPr>
            <w:tcW w:w="1006" w:type="dxa"/>
            <w:tcBorders>
              <w:top w:val="nil"/>
              <w:left w:val="nil"/>
              <w:bottom w:val="single" w:sz="4" w:space="0" w:color="auto"/>
              <w:right w:val="single" w:sz="4" w:space="0" w:color="auto"/>
            </w:tcBorders>
            <w:shd w:val="clear" w:color="auto" w:fill="auto"/>
            <w:noWrap/>
            <w:vAlign w:val="bottom"/>
          </w:tcPr>
          <w:p w14:paraId="2DF236E4" w14:textId="509D387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157.0</w:t>
            </w:r>
          </w:p>
        </w:tc>
        <w:tc>
          <w:tcPr>
            <w:tcW w:w="1335" w:type="dxa"/>
            <w:tcBorders>
              <w:top w:val="nil"/>
              <w:left w:val="nil"/>
              <w:bottom w:val="single" w:sz="4" w:space="0" w:color="auto"/>
              <w:right w:val="single" w:sz="4" w:space="0" w:color="auto"/>
            </w:tcBorders>
            <w:shd w:val="clear" w:color="auto" w:fill="auto"/>
            <w:noWrap/>
            <w:vAlign w:val="bottom"/>
          </w:tcPr>
          <w:p w14:paraId="40309CF9" w14:textId="0AD4EA5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580.0</w:t>
            </w:r>
          </w:p>
        </w:tc>
        <w:tc>
          <w:tcPr>
            <w:tcW w:w="931" w:type="dxa"/>
            <w:tcBorders>
              <w:top w:val="nil"/>
              <w:left w:val="nil"/>
              <w:bottom w:val="single" w:sz="4" w:space="0" w:color="auto"/>
              <w:right w:val="single" w:sz="4" w:space="0" w:color="auto"/>
            </w:tcBorders>
            <w:shd w:val="clear" w:color="auto" w:fill="auto"/>
            <w:noWrap/>
            <w:vAlign w:val="bottom"/>
          </w:tcPr>
          <w:p w14:paraId="2402D5A0" w14:textId="782C8EB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610</w:t>
            </w:r>
          </w:p>
        </w:tc>
        <w:tc>
          <w:tcPr>
            <w:tcW w:w="992" w:type="dxa"/>
            <w:tcBorders>
              <w:top w:val="nil"/>
              <w:left w:val="nil"/>
              <w:bottom w:val="single" w:sz="4" w:space="0" w:color="auto"/>
              <w:right w:val="single" w:sz="4" w:space="0" w:color="auto"/>
            </w:tcBorders>
            <w:shd w:val="clear" w:color="auto" w:fill="auto"/>
            <w:noWrap/>
            <w:vAlign w:val="bottom"/>
          </w:tcPr>
          <w:p w14:paraId="1BCA1473" w14:textId="36463FD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290</w:t>
            </w:r>
          </w:p>
        </w:tc>
        <w:tc>
          <w:tcPr>
            <w:tcW w:w="1134" w:type="dxa"/>
            <w:tcBorders>
              <w:top w:val="nil"/>
              <w:left w:val="nil"/>
              <w:bottom w:val="single" w:sz="4" w:space="0" w:color="auto"/>
              <w:right w:val="single" w:sz="4" w:space="0" w:color="auto"/>
            </w:tcBorders>
            <w:shd w:val="clear" w:color="auto" w:fill="auto"/>
            <w:noWrap/>
            <w:vAlign w:val="bottom"/>
          </w:tcPr>
          <w:p w14:paraId="327F3188" w14:textId="3E88BC2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440</w:t>
            </w:r>
          </w:p>
        </w:tc>
        <w:tc>
          <w:tcPr>
            <w:tcW w:w="851" w:type="dxa"/>
            <w:tcBorders>
              <w:top w:val="nil"/>
              <w:left w:val="nil"/>
              <w:bottom w:val="single" w:sz="4" w:space="0" w:color="auto"/>
              <w:right w:val="single" w:sz="4" w:space="0" w:color="auto"/>
            </w:tcBorders>
            <w:shd w:val="clear" w:color="auto" w:fill="auto"/>
            <w:noWrap/>
            <w:vAlign w:val="bottom"/>
          </w:tcPr>
          <w:p w14:paraId="549BF942" w14:textId="1EA76D9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709" w:type="dxa"/>
            <w:tcBorders>
              <w:top w:val="single" w:sz="4" w:space="0" w:color="auto"/>
              <w:left w:val="nil"/>
              <w:bottom w:val="single" w:sz="4" w:space="0" w:color="auto"/>
              <w:right w:val="single" w:sz="4" w:space="0" w:color="auto"/>
            </w:tcBorders>
            <w:vAlign w:val="bottom"/>
          </w:tcPr>
          <w:p w14:paraId="1BF02D27"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916C987" w14:textId="25ADE9D4"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[142]</w:t>
            </w:r>
            <w:r w:rsidRPr="005A7A0A">
              <w:rPr>
                <w:color w:val="auto"/>
                <w:sz w:val="18"/>
                <w:szCs w:val="18"/>
                <w:lang w:eastAsia="en-GB" w:bidi="ar-SA"/>
              </w:rPr>
              <w:fldChar w:fldCharType="end"/>
            </w:r>
          </w:p>
        </w:tc>
      </w:tr>
      <w:tr w:rsidR="005A7A0A" w:rsidRPr="005A7A0A" w14:paraId="47CBFFD7" w14:textId="31E54A70"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B85C48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w:t>
            </w:r>
          </w:p>
        </w:tc>
        <w:tc>
          <w:tcPr>
            <w:tcW w:w="4204" w:type="dxa"/>
            <w:tcBorders>
              <w:top w:val="nil"/>
              <w:left w:val="nil"/>
              <w:bottom w:val="single" w:sz="4" w:space="0" w:color="auto"/>
              <w:right w:val="single" w:sz="4" w:space="0" w:color="auto"/>
            </w:tcBorders>
            <w:shd w:val="clear" w:color="auto" w:fill="auto"/>
            <w:noWrap/>
            <w:vAlign w:val="center"/>
            <w:hideMark/>
          </w:tcPr>
          <w:p w14:paraId="45D09D5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Bark (of pine)</w:t>
            </w:r>
          </w:p>
        </w:tc>
        <w:tc>
          <w:tcPr>
            <w:tcW w:w="1055" w:type="dxa"/>
            <w:tcBorders>
              <w:top w:val="nil"/>
              <w:left w:val="nil"/>
              <w:bottom w:val="single" w:sz="4" w:space="0" w:color="auto"/>
              <w:right w:val="single" w:sz="4" w:space="0" w:color="auto"/>
            </w:tcBorders>
            <w:shd w:val="clear" w:color="auto" w:fill="auto"/>
            <w:noWrap/>
            <w:vAlign w:val="bottom"/>
          </w:tcPr>
          <w:p w14:paraId="6F321FCC" w14:textId="04BCCE9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8.7</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70FAD097" w14:textId="55A128C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98.0</w:t>
            </w:r>
          </w:p>
        </w:tc>
        <w:tc>
          <w:tcPr>
            <w:tcW w:w="1335" w:type="dxa"/>
            <w:tcBorders>
              <w:top w:val="nil"/>
              <w:left w:val="nil"/>
              <w:bottom w:val="single" w:sz="4" w:space="0" w:color="auto"/>
              <w:right w:val="single" w:sz="4" w:space="0" w:color="auto"/>
            </w:tcBorders>
            <w:shd w:val="clear" w:color="auto" w:fill="auto"/>
            <w:noWrap/>
            <w:vAlign w:val="bottom"/>
          </w:tcPr>
          <w:p w14:paraId="612117E1" w14:textId="4B3F1C6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361.0</w:t>
            </w:r>
          </w:p>
        </w:tc>
        <w:tc>
          <w:tcPr>
            <w:tcW w:w="931" w:type="dxa"/>
            <w:tcBorders>
              <w:top w:val="nil"/>
              <w:left w:val="nil"/>
              <w:bottom w:val="single" w:sz="4" w:space="0" w:color="auto"/>
              <w:right w:val="single" w:sz="4" w:space="0" w:color="auto"/>
            </w:tcBorders>
            <w:shd w:val="clear" w:color="auto" w:fill="auto"/>
            <w:noWrap/>
            <w:vAlign w:val="bottom"/>
          </w:tcPr>
          <w:p w14:paraId="4D9E09A6" w14:textId="5C68CCA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50</w:t>
            </w:r>
          </w:p>
        </w:tc>
        <w:tc>
          <w:tcPr>
            <w:tcW w:w="992" w:type="dxa"/>
            <w:tcBorders>
              <w:top w:val="nil"/>
              <w:left w:val="nil"/>
              <w:bottom w:val="single" w:sz="4" w:space="0" w:color="auto"/>
              <w:right w:val="single" w:sz="4" w:space="0" w:color="auto"/>
            </w:tcBorders>
            <w:shd w:val="clear" w:color="auto" w:fill="auto"/>
            <w:noWrap/>
            <w:vAlign w:val="bottom"/>
          </w:tcPr>
          <w:p w14:paraId="42E50942" w14:textId="331611C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310</w:t>
            </w:r>
          </w:p>
        </w:tc>
        <w:tc>
          <w:tcPr>
            <w:tcW w:w="1134" w:type="dxa"/>
            <w:tcBorders>
              <w:top w:val="nil"/>
              <w:left w:val="nil"/>
              <w:bottom w:val="single" w:sz="4" w:space="0" w:color="auto"/>
              <w:right w:val="single" w:sz="4" w:space="0" w:color="auto"/>
            </w:tcBorders>
            <w:shd w:val="clear" w:color="auto" w:fill="auto"/>
            <w:noWrap/>
            <w:vAlign w:val="bottom"/>
          </w:tcPr>
          <w:p w14:paraId="67A10EA7" w14:textId="08EEE0E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460</w:t>
            </w:r>
          </w:p>
        </w:tc>
        <w:tc>
          <w:tcPr>
            <w:tcW w:w="851" w:type="dxa"/>
            <w:tcBorders>
              <w:top w:val="nil"/>
              <w:left w:val="nil"/>
              <w:bottom w:val="single" w:sz="4" w:space="0" w:color="auto"/>
              <w:right w:val="single" w:sz="4" w:space="0" w:color="auto"/>
            </w:tcBorders>
            <w:shd w:val="clear" w:color="auto" w:fill="auto"/>
            <w:noWrap/>
            <w:vAlign w:val="bottom"/>
          </w:tcPr>
          <w:p w14:paraId="28BC092A" w14:textId="4F37987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w:t>
            </w:r>
          </w:p>
        </w:tc>
        <w:tc>
          <w:tcPr>
            <w:tcW w:w="709" w:type="dxa"/>
            <w:tcBorders>
              <w:top w:val="single" w:sz="4" w:space="0" w:color="auto"/>
              <w:left w:val="nil"/>
              <w:bottom w:val="single" w:sz="4" w:space="0" w:color="auto"/>
              <w:right w:val="single" w:sz="4" w:space="0" w:color="auto"/>
            </w:tcBorders>
            <w:vAlign w:val="bottom"/>
          </w:tcPr>
          <w:p w14:paraId="09A02DF5" w14:textId="701C60DB" w:rsidR="00AF5FF8" w:rsidRPr="005A7A0A" w:rsidRDefault="00845E0C"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10.0</w:t>
            </w:r>
          </w:p>
        </w:tc>
        <w:tc>
          <w:tcPr>
            <w:tcW w:w="992" w:type="dxa"/>
            <w:tcBorders>
              <w:top w:val="single" w:sz="4" w:space="0" w:color="auto"/>
              <w:left w:val="single" w:sz="4" w:space="0" w:color="auto"/>
              <w:bottom w:val="single" w:sz="4" w:space="0" w:color="auto"/>
              <w:right w:val="single" w:sz="4" w:space="0" w:color="auto"/>
            </w:tcBorders>
            <w:vAlign w:val="bottom"/>
          </w:tcPr>
          <w:p w14:paraId="66924903" w14:textId="6801016A"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5A7A0A" w:rsidRPr="005A7A0A" w14:paraId="50C666FD" w14:textId="012D73AC"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822C48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w:t>
            </w:r>
          </w:p>
        </w:tc>
        <w:tc>
          <w:tcPr>
            <w:tcW w:w="4204" w:type="dxa"/>
            <w:tcBorders>
              <w:top w:val="nil"/>
              <w:left w:val="nil"/>
              <w:bottom w:val="single" w:sz="4" w:space="0" w:color="auto"/>
              <w:right w:val="single" w:sz="4" w:space="0" w:color="auto"/>
            </w:tcBorders>
            <w:shd w:val="clear" w:color="auto" w:fill="auto"/>
            <w:noWrap/>
            <w:vAlign w:val="center"/>
            <w:hideMark/>
          </w:tcPr>
          <w:p w14:paraId="68DA5EA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Barley straw</w:t>
            </w:r>
          </w:p>
        </w:tc>
        <w:tc>
          <w:tcPr>
            <w:tcW w:w="1055" w:type="dxa"/>
            <w:tcBorders>
              <w:top w:val="nil"/>
              <w:left w:val="nil"/>
              <w:bottom w:val="single" w:sz="4" w:space="0" w:color="auto"/>
              <w:right w:val="single" w:sz="4" w:space="0" w:color="auto"/>
            </w:tcBorders>
            <w:shd w:val="clear" w:color="auto" w:fill="auto"/>
            <w:noWrap/>
            <w:vAlign w:val="bottom"/>
          </w:tcPr>
          <w:p w14:paraId="1C6F524B" w14:textId="6A9F71B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8.3</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75B4BE3E" w14:textId="7E1D4B2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58.0</w:t>
            </w:r>
          </w:p>
        </w:tc>
        <w:tc>
          <w:tcPr>
            <w:tcW w:w="1335" w:type="dxa"/>
            <w:tcBorders>
              <w:top w:val="nil"/>
              <w:left w:val="nil"/>
              <w:bottom w:val="single" w:sz="4" w:space="0" w:color="auto"/>
              <w:right w:val="single" w:sz="4" w:space="0" w:color="auto"/>
            </w:tcBorders>
            <w:shd w:val="clear" w:color="auto" w:fill="auto"/>
            <w:noWrap/>
            <w:vAlign w:val="bottom"/>
          </w:tcPr>
          <w:p w14:paraId="31F336CD" w14:textId="3BC0479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213.7</w:t>
            </w:r>
          </w:p>
        </w:tc>
        <w:tc>
          <w:tcPr>
            <w:tcW w:w="931" w:type="dxa"/>
            <w:tcBorders>
              <w:top w:val="nil"/>
              <w:left w:val="nil"/>
              <w:bottom w:val="single" w:sz="4" w:space="0" w:color="auto"/>
              <w:right w:val="single" w:sz="4" w:space="0" w:color="auto"/>
            </w:tcBorders>
            <w:shd w:val="clear" w:color="auto" w:fill="auto"/>
            <w:noWrap/>
            <w:vAlign w:val="bottom"/>
          </w:tcPr>
          <w:p w14:paraId="5A8A2E10" w14:textId="27E7B93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620</w:t>
            </w:r>
          </w:p>
        </w:tc>
        <w:tc>
          <w:tcPr>
            <w:tcW w:w="992" w:type="dxa"/>
            <w:tcBorders>
              <w:top w:val="nil"/>
              <w:left w:val="nil"/>
              <w:bottom w:val="single" w:sz="4" w:space="0" w:color="auto"/>
              <w:right w:val="single" w:sz="4" w:space="0" w:color="auto"/>
            </w:tcBorders>
            <w:shd w:val="clear" w:color="auto" w:fill="auto"/>
            <w:noWrap/>
            <w:vAlign w:val="bottom"/>
          </w:tcPr>
          <w:p w14:paraId="0216029E" w14:textId="1742D9F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310</w:t>
            </w:r>
          </w:p>
        </w:tc>
        <w:tc>
          <w:tcPr>
            <w:tcW w:w="1134" w:type="dxa"/>
            <w:tcBorders>
              <w:top w:val="nil"/>
              <w:left w:val="nil"/>
              <w:bottom w:val="single" w:sz="4" w:space="0" w:color="auto"/>
              <w:right w:val="single" w:sz="4" w:space="0" w:color="auto"/>
            </w:tcBorders>
            <w:shd w:val="clear" w:color="auto" w:fill="auto"/>
            <w:noWrap/>
            <w:vAlign w:val="bottom"/>
          </w:tcPr>
          <w:p w14:paraId="216F22F8" w14:textId="44F06D9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440</w:t>
            </w:r>
          </w:p>
        </w:tc>
        <w:tc>
          <w:tcPr>
            <w:tcW w:w="851" w:type="dxa"/>
            <w:tcBorders>
              <w:top w:val="nil"/>
              <w:left w:val="nil"/>
              <w:bottom w:val="single" w:sz="4" w:space="0" w:color="auto"/>
              <w:right w:val="single" w:sz="4" w:space="0" w:color="auto"/>
            </w:tcBorders>
            <w:shd w:val="clear" w:color="auto" w:fill="auto"/>
            <w:noWrap/>
            <w:vAlign w:val="bottom"/>
          </w:tcPr>
          <w:p w14:paraId="3F9D4715" w14:textId="56AA469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90</w:t>
            </w:r>
          </w:p>
        </w:tc>
        <w:tc>
          <w:tcPr>
            <w:tcW w:w="709" w:type="dxa"/>
            <w:tcBorders>
              <w:top w:val="single" w:sz="4" w:space="0" w:color="auto"/>
              <w:left w:val="nil"/>
              <w:bottom w:val="single" w:sz="4" w:space="0" w:color="auto"/>
              <w:right w:val="single" w:sz="4" w:space="0" w:color="auto"/>
            </w:tcBorders>
            <w:vAlign w:val="bottom"/>
          </w:tcPr>
          <w:p w14:paraId="3349E8B0" w14:textId="78C1326F" w:rsidR="00AF5FF8" w:rsidRPr="005A7A0A" w:rsidRDefault="00845E0C"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13.0</w:t>
            </w:r>
          </w:p>
        </w:tc>
        <w:tc>
          <w:tcPr>
            <w:tcW w:w="992" w:type="dxa"/>
            <w:tcBorders>
              <w:top w:val="single" w:sz="4" w:space="0" w:color="auto"/>
              <w:left w:val="single" w:sz="4" w:space="0" w:color="auto"/>
              <w:bottom w:val="single" w:sz="4" w:space="0" w:color="auto"/>
              <w:right w:val="single" w:sz="4" w:space="0" w:color="auto"/>
            </w:tcBorders>
            <w:vAlign w:val="bottom"/>
          </w:tcPr>
          <w:p w14:paraId="3E4E9F69" w14:textId="610FB970"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5A7A0A" w:rsidRPr="005A7A0A" w14:paraId="271598D2" w14:textId="7783DA5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669E8D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w:t>
            </w:r>
          </w:p>
        </w:tc>
        <w:tc>
          <w:tcPr>
            <w:tcW w:w="4204" w:type="dxa"/>
            <w:tcBorders>
              <w:top w:val="nil"/>
              <w:left w:val="nil"/>
              <w:bottom w:val="single" w:sz="4" w:space="0" w:color="auto"/>
              <w:right w:val="single" w:sz="4" w:space="0" w:color="auto"/>
            </w:tcBorders>
            <w:shd w:val="clear" w:color="auto" w:fill="auto"/>
            <w:noWrap/>
            <w:vAlign w:val="center"/>
            <w:hideMark/>
          </w:tcPr>
          <w:p w14:paraId="0815DC9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Cacao</w:t>
            </w:r>
          </w:p>
        </w:tc>
        <w:tc>
          <w:tcPr>
            <w:tcW w:w="1055" w:type="dxa"/>
            <w:tcBorders>
              <w:top w:val="nil"/>
              <w:left w:val="nil"/>
              <w:bottom w:val="single" w:sz="4" w:space="0" w:color="auto"/>
              <w:right w:val="single" w:sz="4" w:space="0" w:color="auto"/>
            </w:tcBorders>
            <w:shd w:val="clear" w:color="auto" w:fill="auto"/>
            <w:noWrap/>
            <w:vAlign w:val="bottom"/>
          </w:tcPr>
          <w:p w14:paraId="49BC62F3" w14:textId="468BADC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5B2CD2CD" w14:textId="73FFE86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619FEA19" w14:textId="61D5ED3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4EE4A2F0" w14:textId="3DCFD55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350</w:t>
            </w:r>
          </w:p>
        </w:tc>
        <w:tc>
          <w:tcPr>
            <w:tcW w:w="992" w:type="dxa"/>
            <w:tcBorders>
              <w:top w:val="nil"/>
              <w:left w:val="nil"/>
              <w:bottom w:val="single" w:sz="4" w:space="0" w:color="auto"/>
              <w:right w:val="single" w:sz="4" w:space="0" w:color="auto"/>
            </w:tcBorders>
            <w:shd w:val="clear" w:color="auto" w:fill="auto"/>
            <w:noWrap/>
            <w:vAlign w:val="bottom"/>
          </w:tcPr>
          <w:p w14:paraId="344BB392" w14:textId="59F5884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734AE78" w14:textId="1E8415A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760-840</w:t>
            </w:r>
            <w:r w:rsidRPr="005A7A0A">
              <w:rPr>
                <w:color w:val="auto"/>
                <w:vertAlign w:val="superscript"/>
              </w:rPr>
              <w:t xml:space="preserve"> </w:t>
            </w:r>
            <w:r w:rsidR="00DC6265" w:rsidRPr="005A7A0A">
              <w:rPr>
                <w:color w:val="auto"/>
                <w:vertAlign w:val="superscript"/>
              </w:rPr>
              <w:t>c</w:t>
            </w:r>
          </w:p>
        </w:tc>
        <w:tc>
          <w:tcPr>
            <w:tcW w:w="851" w:type="dxa"/>
            <w:tcBorders>
              <w:top w:val="nil"/>
              <w:left w:val="nil"/>
              <w:bottom w:val="single" w:sz="4" w:space="0" w:color="auto"/>
              <w:right w:val="single" w:sz="4" w:space="0" w:color="auto"/>
            </w:tcBorders>
            <w:shd w:val="clear" w:color="auto" w:fill="auto"/>
            <w:noWrap/>
            <w:vAlign w:val="bottom"/>
          </w:tcPr>
          <w:p w14:paraId="1B1627E8" w14:textId="7F5AE3F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34A329D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4F8139A" w14:textId="35706A1A"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{"citationItems":[{"id":"ITEM-1","itemData":{"DOI":"10.1016/j.psep.2018.10.004","ISSN":"0957-5820","abstract":"This study refers to the minimum ignition energy (MIE) of dusts as determined by means of the Hartmann tube. To do so, six different dust with different particle size and properties are employed. A theoretical model is developed to predict the MIE based upon the physical and chemical properties of the dust. The model clearly shows the relationship between the minimum ignition energy and the minimum ignition temperature of a dust cloud. The model results in a method to calculate the MIE of dusts. Also, the time necessary for ignition can be calculated with the model. The results show that despite some limitations, the model predicts the MIE for dusts rather well. It is proposed that 40–60% energy loss would be considered when applying the model.","author":[{"dropping-particle":"","family":"Hosseinzadeh","given":"Sepideh","non-dropping-particle":"","parse-names":false,"suffix":""},{"dropping-particle":"","family":"Berghmans","given":"Jan","non-dropping-particle":"","parse-names":false,"suffix":""},{"dropping-particle":"","family":"Degreve","given":"Jan","non-dropping-particle":"","parse-names":false,"suffix":""},{"dropping-particle":"","family":"Verplaetsen","given":"Filip","non-dropping-particle":"","parse-names":false,"suffix":""}],"container-title":"Process Safety and Environmental Protection","id":"ITEM-1","issued":{"date-parts":[["2019"]]},"page":"43-49","title":"A model for the minimum ignition energy of dust clouds","type":"article-journal","volume":"121"},"uris":["http://www.mendeley.com/documents/?uuid=4faafa79-2294-4a2b-9d8b-56da644ac719"]}],"mendeley":{"formattedCitation":"[143]","plainTextFormattedCitation":"[143]","previouslyFormattedCitation":"[143]"},"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[143]</w:t>
            </w:r>
            <w:r w:rsidRPr="005A7A0A">
              <w:rPr>
                <w:color w:val="auto"/>
                <w:sz w:val="18"/>
                <w:szCs w:val="18"/>
                <w:lang w:eastAsia="en-GB" w:bidi="ar-SA"/>
              </w:rPr>
              <w:fldChar w:fldCharType="end"/>
            </w:r>
          </w:p>
        </w:tc>
      </w:tr>
      <w:tr w:rsidR="005A7A0A" w:rsidRPr="005A7A0A" w14:paraId="3422A9CA" w14:textId="2BC19D3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294812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w:t>
            </w:r>
          </w:p>
        </w:tc>
        <w:tc>
          <w:tcPr>
            <w:tcW w:w="4204" w:type="dxa"/>
            <w:tcBorders>
              <w:top w:val="nil"/>
              <w:left w:val="nil"/>
              <w:bottom w:val="single" w:sz="4" w:space="0" w:color="auto"/>
              <w:right w:val="single" w:sz="4" w:space="0" w:color="auto"/>
            </w:tcBorders>
            <w:shd w:val="clear" w:color="auto" w:fill="auto"/>
            <w:noWrap/>
            <w:vAlign w:val="center"/>
            <w:hideMark/>
          </w:tcPr>
          <w:p w14:paraId="162AF52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Cinnamonum campora, fraction 0-63 μm</w:t>
            </w:r>
          </w:p>
        </w:tc>
        <w:tc>
          <w:tcPr>
            <w:tcW w:w="1055" w:type="dxa"/>
            <w:tcBorders>
              <w:top w:val="nil"/>
              <w:left w:val="nil"/>
              <w:bottom w:val="single" w:sz="4" w:space="0" w:color="auto"/>
              <w:right w:val="single" w:sz="4" w:space="0" w:color="auto"/>
            </w:tcBorders>
            <w:shd w:val="clear" w:color="auto" w:fill="auto"/>
            <w:noWrap/>
            <w:vAlign w:val="bottom"/>
          </w:tcPr>
          <w:p w14:paraId="090CBAE9" w14:textId="74CB6B3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8.3</w:t>
            </w:r>
          </w:p>
        </w:tc>
        <w:tc>
          <w:tcPr>
            <w:tcW w:w="1006" w:type="dxa"/>
            <w:tcBorders>
              <w:top w:val="nil"/>
              <w:left w:val="nil"/>
              <w:bottom w:val="single" w:sz="4" w:space="0" w:color="auto"/>
              <w:right w:val="single" w:sz="4" w:space="0" w:color="auto"/>
            </w:tcBorders>
            <w:shd w:val="clear" w:color="auto" w:fill="auto"/>
            <w:noWrap/>
            <w:vAlign w:val="bottom"/>
          </w:tcPr>
          <w:p w14:paraId="486B34EA" w14:textId="2BB8A46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182.0</w:t>
            </w:r>
          </w:p>
        </w:tc>
        <w:tc>
          <w:tcPr>
            <w:tcW w:w="1335" w:type="dxa"/>
            <w:tcBorders>
              <w:top w:val="nil"/>
              <w:left w:val="nil"/>
              <w:bottom w:val="single" w:sz="4" w:space="0" w:color="auto"/>
              <w:right w:val="single" w:sz="4" w:space="0" w:color="auto"/>
            </w:tcBorders>
            <w:shd w:val="clear" w:color="auto" w:fill="auto"/>
            <w:noWrap/>
            <w:vAlign w:val="bottom"/>
          </w:tcPr>
          <w:p w14:paraId="53D9DEA8" w14:textId="0F2D3F7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670.5</w:t>
            </w:r>
          </w:p>
        </w:tc>
        <w:tc>
          <w:tcPr>
            <w:tcW w:w="931" w:type="dxa"/>
            <w:tcBorders>
              <w:top w:val="nil"/>
              <w:left w:val="nil"/>
              <w:bottom w:val="single" w:sz="4" w:space="0" w:color="auto"/>
              <w:right w:val="single" w:sz="4" w:space="0" w:color="auto"/>
            </w:tcBorders>
            <w:shd w:val="clear" w:color="auto" w:fill="auto"/>
            <w:noWrap/>
            <w:vAlign w:val="bottom"/>
          </w:tcPr>
          <w:p w14:paraId="683FB137" w14:textId="276E891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E7E712E" w14:textId="437EA90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03C8E8A0" w14:textId="12A1588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D90FFCA" w14:textId="52CE287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7F953C69"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52FF127" w14:textId="7288A7AB"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380E4980" w14:textId="7BB25494"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0D8787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w:t>
            </w:r>
          </w:p>
        </w:tc>
        <w:tc>
          <w:tcPr>
            <w:tcW w:w="4204" w:type="dxa"/>
            <w:tcBorders>
              <w:top w:val="nil"/>
              <w:left w:val="nil"/>
              <w:bottom w:val="single" w:sz="4" w:space="0" w:color="auto"/>
              <w:right w:val="single" w:sz="4" w:space="0" w:color="auto"/>
            </w:tcBorders>
            <w:shd w:val="clear" w:color="auto" w:fill="auto"/>
            <w:noWrap/>
            <w:vAlign w:val="center"/>
            <w:hideMark/>
          </w:tcPr>
          <w:p w14:paraId="7B9204A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Cinnamonum campora, fraction 125-250 μm</w:t>
            </w:r>
          </w:p>
        </w:tc>
        <w:tc>
          <w:tcPr>
            <w:tcW w:w="1055" w:type="dxa"/>
            <w:tcBorders>
              <w:top w:val="nil"/>
              <w:left w:val="nil"/>
              <w:bottom w:val="single" w:sz="4" w:space="0" w:color="auto"/>
              <w:right w:val="single" w:sz="4" w:space="0" w:color="auto"/>
            </w:tcBorders>
            <w:shd w:val="clear" w:color="auto" w:fill="auto"/>
            <w:noWrap/>
            <w:vAlign w:val="bottom"/>
          </w:tcPr>
          <w:p w14:paraId="2BCA81CC" w14:textId="04F5BC1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7.9</w:t>
            </w:r>
          </w:p>
        </w:tc>
        <w:tc>
          <w:tcPr>
            <w:tcW w:w="1006" w:type="dxa"/>
            <w:tcBorders>
              <w:top w:val="nil"/>
              <w:left w:val="nil"/>
              <w:bottom w:val="single" w:sz="4" w:space="0" w:color="auto"/>
              <w:right w:val="single" w:sz="4" w:space="0" w:color="auto"/>
            </w:tcBorders>
            <w:shd w:val="clear" w:color="auto" w:fill="auto"/>
            <w:noWrap/>
            <w:vAlign w:val="bottom"/>
          </w:tcPr>
          <w:p w14:paraId="12E228E2" w14:textId="663158F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92.0</w:t>
            </w:r>
          </w:p>
        </w:tc>
        <w:tc>
          <w:tcPr>
            <w:tcW w:w="1335" w:type="dxa"/>
            <w:tcBorders>
              <w:top w:val="nil"/>
              <w:left w:val="nil"/>
              <w:bottom w:val="single" w:sz="4" w:space="0" w:color="auto"/>
              <w:right w:val="single" w:sz="4" w:space="0" w:color="auto"/>
            </w:tcBorders>
            <w:shd w:val="clear" w:color="auto" w:fill="auto"/>
            <w:noWrap/>
            <w:vAlign w:val="bottom"/>
          </w:tcPr>
          <w:p w14:paraId="09471B4E" w14:textId="63A8232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338.9</w:t>
            </w:r>
          </w:p>
        </w:tc>
        <w:tc>
          <w:tcPr>
            <w:tcW w:w="931" w:type="dxa"/>
            <w:tcBorders>
              <w:top w:val="nil"/>
              <w:left w:val="nil"/>
              <w:bottom w:val="single" w:sz="4" w:space="0" w:color="auto"/>
              <w:right w:val="single" w:sz="4" w:space="0" w:color="auto"/>
            </w:tcBorders>
            <w:shd w:val="clear" w:color="auto" w:fill="auto"/>
            <w:noWrap/>
            <w:vAlign w:val="bottom"/>
          </w:tcPr>
          <w:p w14:paraId="07EF3177" w14:textId="3A9BE42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E49698F" w14:textId="77610BC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61639027" w14:textId="79F1711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39E1616" w14:textId="3E8CF4F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53D9A7E0"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3037BF8" w14:textId="1B3B7A90"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1CC17952" w14:textId="22842AB5"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7268F1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w:t>
            </w:r>
          </w:p>
        </w:tc>
        <w:tc>
          <w:tcPr>
            <w:tcW w:w="4204" w:type="dxa"/>
            <w:tcBorders>
              <w:top w:val="nil"/>
              <w:left w:val="nil"/>
              <w:bottom w:val="single" w:sz="4" w:space="0" w:color="auto"/>
              <w:right w:val="single" w:sz="4" w:space="0" w:color="auto"/>
            </w:tcBorders>
            <w:shd w:val="clear" w:color="auto" w:fill="auto"/>
            <w:noWrap/>
            <w:vAlign w:val="center"/>
            <w:hideMark/>
          </w:tcPr>
          <w:p w14:paraId="3D4B314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Cinnamonum campora, fraction 250-500 μm</w:t>
            </w:r>
          </w:p>
        </w:tc>
        <w:tc>
          <w:tcPr>
            <w:tcW w:w="1055" w:type="dxa"/>
            <w:tcBorders>
              <w:top w:val="nil"/>
              <w:left w:val="nil"/>
              <w:bottom w:val="single" w:sz="4" w:space="0" w:color="auto"/>
              <w:right w:val="single" w:sz="4" w:space="0" w:color="auto"/>
            </w:tcBorders>
            <w:shd w:val="clear" w:color="auto" w:fill="auto"/>
            <w:noWrap/>
            <w:vAlign w:val="bottom"/>
          </w:tcPr>
          <w:p w14:paraId="08AF44AC" w14:textId="240A319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7.8</w:t>
            </w:r>
          </w:p>
        </w:tc>
        <w:tc>
          <w:tcPr>
            <w:tcW w:w="1006" w:type="dxa"/>
            <w:tcBorders>
              <w:top w:val="nil"/>
              <w:left w:val="nil"/>
              <w:bottom w:val="single" w:sz="4" w:space="0" w:color="auto"/>
              <w:right w:val="single" w:sz="4" w:space="0" w:color="auto"/>
            </w:tcBorders>
            <w:shd w:val="clear" w:color="auto" w:fill="auto"/>
            <w:noWrap/>
            <w:vAlign w:val="bottom"/>
          </w:tcPr>
          <w:p w14:paraId="46EA2AF6" w14:textId="72D9E71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66.0</w:t>
            </w:r>
          </w:p>
        </w:tc>
        <w:tc>
          <w:tcPr>
            <w:tcW w:w="1335" w:type="dxa"/>
            <w:tcBorders>
              <w:top w:val="nil"/>
              <w:left w:val="nil"/>
              <w:bottom w:val="single" w:sz="4" w:space="0" w:color="auto"/>
              <w:right w:val="single" w:sz="4" w:space="0" w:color="auto"/>
            </w:tcBorders>
            <w:shd w:val="clear" w:color="auto" w:fill="auto"/>
            <w:noWrap/>
            <w:vAlign w:val="bottom"/>
          </w:tcPr>
          <w:p w14:paraId="207F0D37" w14:textId="1D4B652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243.1</w:t>
            </w:r>
          </w:p>
        </w:tc>
        <w:tc>
          <w:tcPr>
            <w:tcW w:w="931" w:type="dxa"/>
            <w:tcBorders>
              <w:top w:val="nil"/>
              <w:left w:val="nil"/>
              <w:bottom w:val="single" w:sz="4" w:space="0" w:color="auto"/>
              <w:right w:val="single" w:sz="4" w:space="0" w:color="auto"/>
            </w:tcBorders>
            <w:shd w:val="clear" w:color="auto" w:fill="auto"/>
            <w:noWrap/>
            <w:vAlign w:val="bottom"/>
          </w:tcPr>
          <w:p w14:paraId="452AB565" w14:textId="1EC7064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27DC94C" w14:textId="18E97A4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EA027C5" w14:textId="09E292C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122B57D" w14:textId="5425D87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7DA431E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5DA4C18" w14:textId="600A13B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7D2F206F" w14:textId="6818C26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5580A9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w:t>
            </w:r>
          </w:p>
        </w:tc>
        <w:tc>
          <w:tcPr>
            <w:tcW w:w="4204" w:type="dxa"/>
            <w:tcBorders>
              <w:top w:val="nil"/>
              <w:left w:val="nil"/>
              <w:bottom w:val="single" w:sz="4" w:space="0" w:color="auto"/>
              <w:right w:val="single" w:sz="4" w:space="0" w:color="auto"/>
            </w:tcBorders>
            <w:shd w:val="clear" w:color="auto" w:fill="auto"/>
            <w:noWrap/>
            <w:vAlign w:val="center"/>
            <w:hideMark/>
          </w:tcPr>
          <w:p w14:paraId="5D9C225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Cinnamonum campora, fraction 63-125 μm</w:t>
            </w:r>
          </w:p>
        </w:tc>
        <w:tc>
          <w:tcPr>
            <w:tcW w:w="1055" w:type="dxa"/>
            <w:tcBorders>
              <w:top w:val="nil"/>
              <w:left w:val="nil"/>
              <w:bottom w:val="single" w:sz="4" w:space="0" w:color="auto"/>
              <w:right w:val="single" w:sz="4" w:space="0" w:color="auto"/>
            </w:tcBorders>
            <w:shd w:val="clear" w:color="auto" w:fill="auto"/>
            <w:noWrap/>
            <w:vAlign w:val="bottom"/>
          </w:tcPr>
          <w:p w14:paraId="49DE66BB" w14:textId="163F197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w:t>
            </w:r>
          </w:p>
        </w:tc>
        <w:tc>
          <w:tcPr>
            <w:tcW w:w="1006" w:type="dxa"/>
            <w:tcBorders>
              <w:top w:val="nil"/>
              <w:left w:val="nil"/>
              <w:bottom w:val="single" w:sz="4" w:space="0" w:color="auto"/>
              <w:right w:val="single" w:sz="4" w:space="0" w:color="auto"/>
            </w:tcBorders>
            <w:shd w:val="clear" w:color="auto" w:fill="auto"/>
            <w:noWrap/>
            <w:vAlign w:val="bottom"/>
          </w:tcPr>
          <w:p w14:paraId="7417E8D3" w14:textId="6066FD7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150.0</w:t>
            </w:r>
          </w:p>
        </w:tc>
        <w:tc>
          <w:tcPr>
            <w:tcW w:w="1335" w:type="dxa"/>
            <w:tcBorders>
              <w:top w:val="nil"/>
              <w:left w:val="nil"/>
              <w:bottom w:val="single" w:sz="4" w:space="0" w:color="auto"/>
              <w:right w:val="single" w:sz="4" w:space="0" w:color="auto"/>
            </w:tcBorders>
            <w:shd w:val="clear" w:color="auto" w:fill="auto"/>
            <w:noWrap/>
            <w:vAlign w:val="bottom"/>
          </w:tcPr>
          <w:p w14:paraId="544BDF23" w14:textId="7247384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552.6</w:t>
            </w:r>
          </w:p>
        </w:tc>
        <w:tc>
          <w:tcPr>
            <w:tcW w:w="931" w:type="dxa"/>
            <w:tcBorders>
              <w:top w:val="nil"/>
              <w:left w:val="nil"/>
              <w:bottom w:val="single" w:sz="4" w:space="0" w:color="auto"/>
              <w:right w:val="single" w:sz="4" w:space="0" w:color="auto"/>
            </w:tcBorders>
            <w:shd w:val="clear" w:color="auto" w:fill="auto"/>
            <w:noWrap/>
            <w:vAlign w:val="bottom"/>
          </w:tcPr>
          <w:p w14:paraId="7DBC1E8C" w14:textId="31741F5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4ECE316" w14:textId="1C97556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ED09124" w14:textId="1811957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225CFD3A" w14:textId="759EA7A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0E394BFD"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0FFD7E5" w14:textId="1F1BF2AB"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5C2B84C0" w14:textId="67EBEC00"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3FC3BB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w:t>
            </w:r>
          </w:p>
        </w:tc>
        <w:tc>
          <w:tcPr>
            <w:tcW w:w="4204" w:type="dxa"/>
            <w:tcBorders>
              <w:top w:val="nil"/>
              <w:left w:val="nil"/>
              <w:bottom w:val="single" w:sz="4" w:space="0" w:color="auto"/>
              <w:right w:val="single" w:sz="4" w:space="0" w:color="auto"/>
            </w:tcBorders>
            <w:shd w:val="clear" w:color="auto" w:fill="auto"/>
            <w:noWrap/>
            <w:vAlign w:val="center"/>
            <w:hideMark/>
          </w:tcPr>
          <w:p w14:paraId="4E8B727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Coconut</w:t>
            </w:r>
          </w:p>
        </w:tc>
        <w:tc>
          <w:tcPr>
            <w:tcW w:w="1055" w:type="dxa"/>
            <w:tcBorders>
              <w:top w:val="nil"/>
              <w:left w:val="nil"/>
              <w:bottom w:val="single" w:sz="4" w:space="0" w:color="auto"/>
              <w:right w:val="single" w:sz="4" w:space="0" w:color="auto"/>
            </w:tcBorders>
            <w:shd w:val="clear" w:color="auto" w:fill="auto"/>
            <w:noWrap/>
            <w:vAlign w:val="bottom"/>
          </w:tcPr>
          <w:p w14:paraId="56B3CFD2" w14:textId="2C3DDDB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7.3</w:t>
            </w:r>
          </w:p>
        </w:tc>
        <w:tc>
          <w:tcPr>
            <w:tcW w:w="1006" w:type="dxa"/>
            <w:tcBorders>
              <w:top w:val="nil"/>
              <w:left w:val="nil"/>
              <w:bottom w:val="single" w:sz="4" w:space="0" w:color="auto"/>
              <w:right w:val="single" w:sz="4" w:space="0" w:color="auto"/>
            </w:tcBorders>
            <w:shd w:val="clear" w:color="auto" w:fill="auto"/>
            <w:noWrap/>
            <w:vAlign w:val="bottom"/>
          </w:tcPr>
          <w:p w14:paraId="4B387DC9" w14:textId="1ED11F6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150.0</w:t>
            </w:r>
          </w:p>
        </w:tc>
        <w:tc>
          <w:tcPr>
            <w:tcW w:w="1335" w:type="dxa"/>
            <w:tcBorders>
              <w:top w:val="nil"/>
              <w:left w:val="nil"/>
              <w:bottom w:val="single" w:sz="4" w:space="0" w:color="auto"/>
              <w:right w:val="single" w:sz="4" w:space="0" w:color="auto"/>
            </w:tcBorders>
            <w:shd w:val="clear" w:color="auto" w:fill="auto"/>
            <w:noWrap/>
            <w:vAlign w:val="bottom"/>
          </w:tcPr>
          <w:p w14:paraId="513E6155" w14:textId="036F45B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552.0</w:t>
            </w:r>
          </w:p>
        </w:tc>
        <w:tc>
          <w:tcPr>
            <w:tcW w:w="931" w:type="dxa"/>
            <w:tcBorders>
              <w:top w:val="nil"/>
              <w:left w:val="nil"/>
              <w:bottom w:val="single" w:sz="4" w:space="0" w:color="auto"/>
              <w:right w:val="single" w:sz="4" w:space="0" w:color="auto"/>
            </w:tcBorders>
            <w:shd w:val="clear" w:color="auto" w:fill="auto"/>
            <w:noWrap/>
            <w:vAlign w:val="bottom"/>
          </w:tcPr>
          <w:p w14:paraId="6128E77F" w14:textId="3DF837D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220</w:t>
            </w:r>
          </w:p>
        </w:tc>
        <w:tc>
          <w:tcPr>
            <w:tcW w:w="992" w:type="dxa"/>
            <w:tcBorders>
              <w:top w:val="nil"/>
              <w:left w:val="nil"/>
              <w:bottom w:val="single" w:sz="4" w:space="0" w:color="auto"/>
              <w:right w:val="single" w:sz="4" w:space="0" w:color="auto"/>
            </w:tcBorders>
            <w:shd w:val="clear" w:color="auto" w:fill="auto"/>
            <w:noWrap/>
            <w:vAlign w:val="bottom"/>
          </w:tcPr>
          <w:p w14:paraId="7945E95F" w14:textId="219F178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280</w:t>
            </w:r>
          </w:p>
        </w:tc>
        <w:tc>
          <w:tcPr>
            <w:tcW w:w="1134" w:type="dxa"/>
            <w:tcBorders>
              <w:top w:val="nil"/>
              <w:left w:val="nil"/>
              <w:bottom w:val="single" w:sz="4" w:space="0" w:color="auto"/>
              <w:right w:val="single" w:sz="4" w:space="0" w:color="auto"/>
            </w:tcBorders>
            <w:shd w:val="clear" w:color="auto" w:fill="auto"/>
            <w:noWrap/>
            <w:vAlign w:val="bottom"/>
          </w:tcPr>
          <w:p w14:paraId="0A16D37B" w14:textId="552B173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400</w:t>
            </w:r>
          </w:p>
        </w:tc>
        <w:tc>
          <w:tcPr>
            <w:tcW w:w="851" w:type="dxa"/>
            <w:tcBorders>
              <w:top w:val="nil"/>
              <w:left w:val="nil"/>
              <w:bottom w:val="single" w:sz="4" w:space="0" w:color="auto"/>
              <w:right w:val="single" w:sz="4" w:space="0" w:color="auto"/>
            </w:tcBorders>
            <w:shd w:val="clear" w:color="auto" w:fill="auto"/>
            <w:noWrap/>
            <w:vAlign w:val="bottom"/>
          </w:tcPr>
          <w:p w14:paraId="28BBD3CD" w14:textId="712764F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709" w:type="dxa"/>
            <w:tcBorders>
              <w:top w:val="single" w:sz="4" w:space="0" w:color="auto"/>
              <w:left w:val="nil"/>
              <w:bottom w:val="single" w:sz="4" w:space="0" w:color="auto"/>
              <w:right w:val="single" w:sz="4" w:space="0" w:color="auto"/>
            </w:tcBorders>
            <w:vAlign w:val="bottom"/>
          </w:tcPr>
          <w:p w14:paraId="6A364A02"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F9D3365" w14:textId="4724CF6C"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[142]</w:t>
            </w:r>
            <w:r w:rsidRPr="005A7A0A">
              <w:rPr>
                <w:color w:val="auto"/>
                <w:sz w:val="18"/>
                <w:szCs w:val="18"/>
                <w:lang w:eastAsia="en-GB" w:bidi="ar-SA"/>
              </w:rPr>
              <w:fldChar w:fldCharType="end"/>
            </w:r>
          </w:p>
        </w:tc>
      </w:tr>
      <w:tr w:rsidR="005A7A0A" w:rsidRPr="005A7A0A" w14:paraId="57FE7502" w14:textId="331E2CE7"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C90977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w:t>
            </w:r>
          </w:p>
        </w:tc>
        <w:tc>
          <w:tcPr>
            <w:tcW w:w="4204" w:type="dxa"/>
            <w:tcBorders>
              <w:top w:val="nil"/>
              <w:left w:val="nil"/>
              <w:bottom w:val="single" w:sz="4" w:space="0" w:color="auto"/>
              <w:right w:val="single" w:sz="4" w:space="0" w:color="auto"/>
            </w:tcBorders>
            <w:shd w:val="clear" w:color="auto" w:fill="auto"/>
            <w:noWrap/>
            <w:vAlign w:val="center"/>
            <w:hideMark/>
          </w:tcPr>
          <w:p w14:paraId="221052C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Cooperage residues</w:t>
            </w:r>
          </w:p>
        </w:tc>
        <w:tc>
          <w:tcPr>
            <w:tcW w:w="1055" w:type="dxa"/>
            <w:tcBorders>
              <w:top w:val="nil"/>
              <w:left w:val="nil"/>
              <w:bottom w:val="single" w:sz="4" w:space="0" w:color="auto"/>
              <w:right w:val="single" w:sz="4" w:space="0" w:color="auto"/>
            </w:tcBorders>
            <w:shd w:val="clear" w:color="auto" w:fill="auto"/>
            <w:noWrap/>
            <w:vAlign w:val="bottom"/>
          </w:tcPr>
          <w:p w14:paraId="67456BBF" w14:textId="0D709C8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7.3</w:t>
            </w:r>
          </w:p>
        </w:tc>
        <w:tc>
          <w:tcPr>
            <w:tcW w:w="1006" w:type="dxa"/>
            <w:tcBorders>
              <w:top w:val="nil"/>
              <w:left w:val="nil"/>
              <w:bottom w:val="single" w:sz="4" w:space="0" w:color="auto"/>
              <w:right w:val="single" w:sz="4" w:space="0" w:color="auto"/>
            </w:tcBorders>
            <w:shd w:val="clear" w:color="auto" w:fill="auto"/>
            <w:noWrap/>
            <w:vAlign w:val="bottom"/>
          </w:tcPr>
          <w:p w14:paraId="6D436017" w14:textId="7756668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131.0</w:t>
            </w:r>
          </w:p>
        </w:tc>
        <w:tc>
          <w:tcPr>
            <w:tcW w:w="1335" w:type="dxa"/>
            <w:tcBorders>
              <w:top w:val="nil"/>
              <w:left w:val="nil"/>
              <w:bottom w:val="single" w:sz="4" w:space="0" w:color="auto"/>
              <w:right w:val="single" w:sz="4" w:space="0" w:color="auto"/>
            </w:tcBorders>
            <w:shd w:val="clear" w:color="auto" w:fill="auto"/>
            <w:noWrap/>
            <w:vAlign w:val="bottom"/>
          </w:tcPr>
          <w:p w14:paraId="4CCA4D2A" w14:textId="683480B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484.0</w:t>
            </w:r>
          </w:p>
        </w:tc>
        <w:tc>
          <w:tcPr>
            <w:tcW w:w="931" w:type="dxa"/>
            <w:tcBorders>
              <w:top w:val="nil"/>
              <w:left w:val="nil"/>
              <w:bottom w:val="single" w:sz="4" w:space="0" w:color="auto"/>
              <w:right w:val="single" w:sz="4" w:space="0" w:color="auto"/>
            </w:tcBorders>
            <w:shd w:val="clear" w:color="auto" w:fill="auto"/>
            <w:noWrap/>
            <w:vAlign w:val="bottom"/>
          </w:tcPr>
          <w:p w14:paraId="07FF1303" w14:textId="6C1ADD6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1000</w:t>
            </w:r>
          </w:p>
        </w:tc>
        <w:tc>
          <w:tcPr>
            <w:tcW w:w="992" w:type="dxa"/>
            <w:tcBorders>
              <w:top w:val="nil"/>
              <w:left w:val="nil"/>
              <w:bottom w:val="single" w:sz="4" w:space="0" w:color="auto"/>
              <w:right w:val="single" w:sz="4" w:space="0" w:color="auto"/>
            </w:tcBorders>
            <w:shd w:val="clear" w:color="auto" w:fill="auto"/>
            <w:noWrap/>
            <w:vAlign w:val="bottom"/>
          </w:tcPr>
          <w:p w14:paraId="5F8909E4" w14:textId="2813386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350</w:t>
            </w:r>
          </w:p>
        </w:tc>
        <w:tc>
          <w:tcPr>
            <w:tcW w:w="1134" w:type="dxa"/>
            <w:tcBorders>
              <w:top w:val="nil"/>
              <w:left w:val="nil"/>
              <w:bottom w:val="single" w:sz="4" w:space="0" w:color="auto"/>
              <w:right w:val="single" w:sz="4" w:space="0" w:color="auto"/>
            </w:tcBorders>
            <w:shd w:val="clear" w:color="auto" w:fill="auto"/>
            <w:noWrap/>
            <w:vAlign w:val="bottom"/>
          </w:tcPr>
          <w:p w14:paraId="274D6BB0" w14:textId="29097EA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w:t>
            </w:r>
          </w:p>
        </w:tc>
        <w:tc>
          <w:tcPr>
            <w:tcW w:w="851" w:type="dxa"/>
            <w:tcBorders>
              <w:top w:val="nil"/>
              <w:left w:val="nil"/>
              <w:bottom w:val="single" w:sz="4" w:space="0" w:color="auto"/>
              <w:right w:val="single" w:sz="4" w:space="0" w:color="auto"/>
            </w:tcBorders>
            <w:shd w:val="clear" w:color="auto" w:fill="auto"/>
            <w:noWrap/>
            <w:vAlign w:val="bottom"/>
          </w:tcPr>
          <w:p w14:paraId="6028FC14" w14:textId="6C4DD67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150</w:t>
            </w:r>
          </w:p>
        </w:tc>
        <w:tc>
          <w:tcPr>
            <w:tcW w:w="709" w:type="dxa"/>
            <w:tcBorders>
              <w:top w:val="single" w:sz="4" w:space="0" w:color="auto"/>
              <w:left w:val="nil"/>
              <w:bottom w:val="single" w:sz="4" w:space="0" w:color="auto"/>
              <w:right w:val="single" w:sz="4" w:space="0" w:color="auto"/>
            </w:tcBorders>
            <w:vAlign w:val="bottom"/>
          </w:tcPr>
          <w:p w14:paraId="1519AE7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A7FC835" w14:textId="3FC21E8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[142]</w:t>
            </w:r>
            <w:r w:rsidRPr="005A7A0A">
              <w:rPr>
                <w:color w:val="auto"/>
                <w:sz w:val="18"/>
                <w:szCs w:val="18"/>
                <w:lang w:eastAsia="en-GB" w:bidi="ar-SA"/>
              </w:rPr>
              <w:fldChar w:fldCharType="end"/>
            </w:r>
          </w:p>
        </w:tc>
      </w:tr>
      <w:tr w:rsidR="005A7A0A" w:rsidRPr="005A7A0A" w14:paraId="69F572FB" w14:textId="453E7FA3"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7DBABC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w:t>
            </w:r>
          </w:p>
        </w:tc>
        <w:tc>
          <w:tcPr>
            <w:tcW w:w="4204" w:type="dxa"/>
            <w:tcBorders>
              <w:top w:val="nil"/>
              <w:left w:val="nil"/>
              <w:bottom w:val="single" w:sz="4" w:space="0" w:color="auto"/>
              <w:right w:val="single" w:sz="4" w:space="0" w:color="auto"/>
            </w:tcBorders>
            <w:shd w:val="clear" w:color="auto" w:fill="auto"/>
            <w:noWrap/>
            <w:vAlign w:val="center"/>
            <w:hideMark/>
          </w:tcPr>
          <w:p w14:paraId="2159301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Cork (bark of Quercus suber L.)</w:t>
            </w:r>
          </w:p>
        </w:tc>
        <w:tc>
          <w:tcPr>
            <w:tcW w:w="1055" w:type="dxa"/>
            <w:tcBorders>
              <w:top w:val="nil"/>
              <w:left w:val="nil"/>
              <w:bottom w:val="single" w:sz="4" w:space="0" w:color="auto"/>
              <w:right w:val="single" w:sz="4" w:space="0" w:color="auto"/>
            </w:tcBorders>
            <w:shd w:val="clear" w:color="auto" w:fill="auto"/>
            <w:noWrap/>
            <w:vAlign w:val="bottom"/>
          </w:tcPr>
          <w:p w14:paraId="75975498" w14:textId="53D3617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6.2</w:t>
            </w:r>
          </w:p>
        </w:tc>
        <w:tc>
          <w:tcPr>
            <w:tcW w:w="1006" w:type="dxa"/>
            <w:tcBorders>
              <w:top w:val="nil"/>
              <w:left w:val="nil"/>
              <w:bottom w:val="single" w:sz="4" w:space="0" w:color="auto"/>
              <w:right w:val="single" w:sz="4" w:space="0" w:color="auto"/>
            </w:tcBorders>
            <w:shd w:val="clear" w:color="auto" w:fill="auto"/>
            <w:noWrap/>
            <w:vAlign w:val="bottom"/>
          </w:tcPr>
          <w:p w14:paraId="499554C9" w14:textId="1C621A3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179.0</w:t>
            </w:r>
          </w:p>
        </w:tc>
        <w:tc>
          <w:tcPr>
            <w:tcW w:w="1335" w:type="dxa"/>
            <w:tcBorders>
              <w:top w:val="nil"/>
              <w:left w:val="nil"/>
              <w:bottom w:val="single" w:sz="4" w:space="0" w:color="auto"/>
              <w:right w:val="single" w:sz="4" w:space="0" w:color="auto"/>
            </w:tcBorders>
            <w:shd w:val="clear" w:color="auto" w:fill="auto"/>
            <w:noWrap/>
            <w:vAlign w:val="bottom"/>
          </w:tcPr>
          <w:p w14:paraId="00E28FBF" w14:textId="1AB7FDF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659.4</w:t>
            </w:r>
          </w:p>
        </w:tc>
        <w:tc>
          <w:tcPr>
            <w:tcW w:w="931" w:type="dxa"/>
            <w:tcBorders>
              <w:top w:val="nil"/>
              <w:left w:val="nil"/>
              <w:bottom w:val="single" w:sz="4" w:space="0" w:color="auto"/>
              <w:right w:val="single" w:sz="4" w:space="0" w:color="auto"/>
            </w:tcBorders>
            <w:shd w:val="clear" w:color="auto" w:fill="auto"/>
            <w:noWrap/>
            <w:vAlign w:val="bottom"/>
          </w:tcPr>
          <w:p w14:paraId="0EB13502" w14:textId="67F8C5B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F4B3E0F" w14:textId="513769B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4988A7F" w14:textId="014B858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2B05FF68" w14:textId="494F476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40</w:t>
            </w:r>
          </w:p>
        </w:tc>
        <w:tc>
          <w:tcPr>
            <w:tcW w:w="709" w:type="dxa"/>
            <w:tcBorders>
              <w:top w:val="single" w:sz="4" w:space="0" w:color="auto"/>
              <w:left w:val="nil"/>
              <w:bottom w:val="single" w:sz="4" w:space="0" w:color="auto"/>
              <w:right w:val="single" w:sz="4" w:space="0" w:color="auto"/>
            </w:tcBorders>
            <w:vAlign w:val="bottom"/>
          </w:tcPr>
          <w:p w14:paraId="4D8379D8"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EF87440" w14:textId="154685B0"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BN":"0304-3894","author":[{"dropping-particle":"","family":"Pilão","given":"RMBR","non-dropping-particle":"","parse-names":false,"suffix":""},{"dropping-particle":"","family":"Ramalho","given":"E","non-dropping-particle":"","parse-names":false,"suffix":""},{"dropping-particle":"","family":"Pinho","given":"C","non-dropping-particle":"","parse-names":false,"suffix":""}],"container-title":"Journal of hazardous materials","id":"ITEM-1","issue":"1","issued":{"date-parts":[["2006"]]},"page":"183-195","title":"Overall characterization of cork dust explosion","title-short":"Overall characterization of cork dust explosion","type":"article-journal","volume":"133"},"uris":["http://www.mendeley.com/documents/?uuid=904bdbdb-e60e-48f4-8c1b-e32913d83c8b"]}],"mendeley":{"formattedCitation":"[144]","plainTextFormattedCitation":"[144]","previouslyFormattedCitation":"[144]"},"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[144]</w:t>
            </w:r>
            <w:r w:rsidRPr="005A7A0A">
              <w:rPr>
                <w:color w:val="auto"/>
                <w:sz w:val="18"/>
                <w:szCs w:val="18"/>
                <w:lang w:eastAsia="en-GB" w:bidi="ar-SA"/>
              </w:rPr>
              <w:fldChar w:fldCharType="end"/>
            </w:r>
          </w:p>
        </w:tc>
      </w:tr>
      <w:tr w:rsidR="005A7A0A" w:rsidRPr="005A7A0A" w14:paraId="7064DC77" w14:textId="456DF06F"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848FCC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13</w:t>
            </w:r>
          </w:p>
        </w:tc>
        <w:tc>
          <w:tcPr>
            <w:tcW w:w="4204" w:type="dxa"/>
            <w:tcBorders>
              <w:top w:val="nil"/>
              <w:left w:val="nil"/>
              <w:bottom w:val="single" w:sz="4" w:space="0" w:color="auto"/>
              <w:right w:val="single" w:sz="4" w:space="0" w:color="auto"/>
            </w:tcBorders>
            <w:shd w:val="clear" w:color="auto" w:fill="auto"/>
            <w:noWrap/>
            <w:vAlign w:val="center"/>
            <w:hideMark/>
          </w:tcPr>
          <w:p w14:paraId="7315050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Corn cob, fraction &lt; 500 μm</w:t>
            </w:r>
          </w:p>
        </w:tc>
        <w:tc>
          <w:tcPr>
            <w:tcW w:w="1055" w:type="dxa"/>
            <w:tcBorders>
              <w:top w:val="nil"/>
              <w:left w:val="nil"/>
              <w:bottom w:val="single" w:sz="4" w:space="0" w:color="auto"/>
              <w:right w:val="single" w:sz="4" w:space="0" w:color="auto"/>
            </w:tcBorders>
            <w:shd w:val="clear" w:color="auto" w:fill="auto"/>
            <w:noWrap/>
            <w:vAlign w:val="bottom"/>
          </w:tcPr>
          <w:p w14:paraId="086DB422" w14:textId="071371E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73A43BD0" w14:textId="38CD039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60.0</w:t>
            </w:r>
          </w:p>
        </w:tc>
        <w:tc>
          <w:tcPr>
            <w:tcW w:w="1335" w:type="dxa"/>
            <w:tcBorders>
              <w:top w:val="nil"/>
              <w:left w:val="nil"/>
              <w:bottom w:val="single" w:sz="4" w:space="0" w:color="auto"/>
              <w:right w:val="single" w:sz="4" w:space="0" w:color="auto"/>
            </w:tcBorders>
            <w:shd w:val="clear" w:color="auto" w:fill="auto"/>
            <w:noWrap/>
            <w:vAlign w:val="bottom"/>
          </w:tcPr>
          <w:p w14:paraId="7E9794FE" w14:textId="15DDECF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221.0</w:t>
            </w:r>
          </w:p>
        </w:tc>
        <w:tc>
          <w:tcPr>
            <w:tcW w:w="931" w:type="dxa"/>
            <w:tcBorders>
              <w:top w:val="nil"/>
              <w:left w:val="nil"/>
              <w:bottom w:val="single" w:sz="4" w:space="0" w:color="auto"/>
              <w:right w:val="single" w:sz="4" w:space="0" w:color="auto"/>
            </w:tcBorders>
            <w:shd w:val="clear" w:color="auto" w:fill="auto"/>
            <w:noWrap/>
            <w:vAlign w:val="bottom"/>
          </w:tcPr>
          <w:p w14:paraId="183BCCFC" w14:textId="71AF021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933AB00" w14:textId="6D5C2DA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E33F577" w14:textId="253F63D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A5CC79A" w14:textId="0BE4E2D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0.62</w:t>
            </w:r>
          </w:p>
        </w:tc>
        <w:tc>
          <w:tcPr>
            <w:tcW w:w="709" w:type="dxa"/>
            <w:tcBorders>
              <w:top w:val="single" w:sz="4" w:space="0" w:color="auto"/>
              <w:left w:val="nil"/>
              <w:bottom w:val="single" w:sz="4" w:space="0" w:color="auto"/>
              <w:right w:val="single" w:sz="4" w:space="0" w:color="auto"/>
            </w:tcBorders>
            <w:vAlign w:val="bottom"/>
          </w:tcPr>
          <w:p w14:paraId="62E0F2D4"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257F15E" w14:textId="47E62331"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{"citationItems":[{"id":"ITEM-1","itemData":{"DOI":"10.1016/J.JLP.2017.03.027","ISSN":"0950-4230","abstract":"Power generation using waste material from the processing of agricultural crops can be a viable biomass energy source. However, there is scant data on their burning properties and this work presents flame speed and explosibility data for two agricultural waste materials: corn cobs (CC) and peanut shells (PS). The parameters were measured on the modified 1 m3 dust explosion equipment. Two coarse size fractions of corn cobs and peanut shells of size less than 500 μm were tested using the Leeds 1 m3 vessel and were compared with two pulverized coal samples. This is typical of the size fraction used in pulverized coal power stations and of pulverized biomass currently used in power generation. The explosion parameters minimum explosible concentration (MEC), rate of pressure rise (dP/dt), deflagration index (Kst), peak to initial pressure rise (Pm/Pi), turbulent and laminar flame speeds were determined using a calibrated hemispherical disperser in the 1 m3 vessel. MEC were measured in the range of 0.6–0.85 (based on 0% ignition probability) in terms of burnt equivalence ratio, Øburnt, which were comparable to the coal samples. The measured Kst (25–60 bar m/s) and turbulent flame speeds (</w:instrText>
            </w:r>
            <w:r w:rsidRPr="005A7A0A">
              <w:rPr>
                <w:rFonts w:ascii="Cambria Math" w:hAnsi="Cambria Math" w:cs="Cambria Math"/>
                <w:color w:val="auto"/>
                <w:sz w:val="18"/>
                <w:szCs w:val="18"/>
                <w:lang w:eastAsia="en-GB" w:bidi="ar-SA"/>
              </w:rPr>
              <w:instrText>∼</w:instrText>
            </w:r>
            <w:r w:rsidRPr="005A7A0A">
              <w:rPr>
                <w:color w:val="auto"/>
                <w:sz w:val="18"/>
                <w:szCs w:val="18"/>
                <w:lang w:eastAsia="en-GB" w:bidi="ar-SA"/>
              </w:rPr>
              <w:instrText>1.3 m/s) were lower than for coal, which was a reflection of the lower calorific value. These results showed that these crop residues are technically feasible power plant fuels to burn alongside coal or as a renewable biofuel on their own.","author":[{"dropping-particle":"","family":"Saeed","given":"Muhammad Azam","non-dropping-particle":"","parse-names":false,"suffix":""},{"dropping-particle":"","family":"Andrews","given":"Gordon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Loss Prevention in the Process Industries","id":"ITEM-1","issued":{"date-parts":[["2017","9","1"]]},"page":"880-887","publisher":"Elsevier","title":"Flame speed and Kst reactivity data for pulverised corn cobs and peanut shells","type":"article-journal","volume":"49"},"uris":["http://www.mendeley.com/documents/?uuid=5e4e6052-43cb-3b29-9e3b-dedf6394b7ea"]}],"mendeley":{"formattedCitation":"[107]","plainTextFormattedCitation":"[107]","previouslyFormattedCitation":"[107]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[107]</w:t>
            </w:r>
            <w:r w:rsidRPr="005A7A0A">
              <w:rPr>
                <w:color w:val="auto"/>
                <w:sz w:val="18"/>
                <w:szCs w:val="18"/>
                <w:lang w:eastAsia="en-GB" w:bidi="ar-SA"/>
              </w:rPr>
              <w:fldChar w:fldCharType="end"/>
            </w:r>
          </w:p>
        </w:tc>
      </w:tr>
      <w:tr w:rsidR="005A7A0A" w:rsidRPr="005A7A0A" w14:paraId="6441E0E0" w14:textId="155BDA4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86AA21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w:t>
            </w:r>
          </w:p>
        </w:tc>
        <w:tc>
          <w:tcPr>
            <w:tcW w:w="4204" w:type="dxa"/>
            <w:tcBorders>
              <w:top w:val="nil"/>
              <w:left w:val="nil"/>
              <w:bottom w:val="single" w:sz="4" w:space="0" w:color="auto"/>
              <w:right w:val="single" w:sz="4" w:space="0" w:color="auto"/>
            </w:tcBorders>
            <w:shd w:val="clear" w:color="auto" w:fill="auto"/>
            <w:noWrap/>
            <w:vAlign w:val="center"/>
            <w:hideMark/>
          </w:tcPr>
          <w:p w14:paraId="5DDA072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cupressus funebris</w:t>
            </w:r>
          </w:p>
        </w:tc>
        <w:tc>
          <w:tcPr>
            <w:tcW w:w="1055" w:type="dxa"/>
            <w:tcBorders>
              <w:top w:val="nil"/>
              <w:left w:val="nil"/>
              <w:bottom w:val="single" w:sz="4" w:space="0" w:color="auto"/>
              <w:right w:val="single" w:sz="4" w:space="0" w:color="auto"/>
            </w:tcBorders>
            <w:shd w:val="clear" w:color="auto" w:fill="auto"/>
            <w:noWrap/>
            <w:vAlign w:val="bottom"/>
          </w:tcPr>
          <w:p w14:paraId="1050599A" w14:textId="2B04B80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7.3</w:t>
            </w:r>
          </w:p>
        </w:tc>
        <w:tc>
          <w:tcPr>
            <w:tcW w:w="1006" w:type="dxa"/>
            <w:tcBorders>
              <w:top w:val="nil"/>
              <w:left w:val="nil"/>
              <w:bottom w:val="single" w:sz="4" w:space="0" w:color="auto"/>
              <w:right w:val="single" w:sz="4" w:space="0" w:color="auto"/>
            </w:tcBorders>
            <w:shd w:val="clear" w:color="auto" w:fill="auto"/>
            <w:noWrap/>
            <w:vAlign w:val="bottom"/>
          </w:tcPr>
          <w:p w14:paraId="758A2FE6" w14:textId="0BF4EEF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206.3</w:t>
            </w:r>
          </w:p>
        </w:tc>
        <w:tc>
          <w:tcPr>
            <w:tcW w:w="1335" w:type="dxa"/>
            <w:tcBorders>
              <w:top w:val="nil"/>
              <w:left w:val="nil"/>
              <w:bottom w:val="single" w:sz="4" w:space="0" w:color="auto"/>
              <w:right w:val="single" w:sz="4" w:space="0" w:color="auto"/>
            </w:tcBorders>
            <w:shd w:val="clear" w:color="auto" w:fill="auto"/>
            <w:noWrap/>
            <w:vAlign w:val="bottom"/>
          </w:tcPr>
          <w:p w14:paraId="515C8B48" w14:textId="2528296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760.0</w:t>
            </w:r>
          </w:p>
        </w:tc>
        <w:tc>
          <w:tcPr>
            <w:tcW w:w="931" w:type="dxa"/>
            <w:tcBorders>
              <w:top w:val="nil"/>
              <w:left w:val="nil"/>
              <w:bottom w:val="single" w:sz="4" w:space="0" w:color="auto"/>
              <w:right w:val="single" w:sz="4" w:space="0" w:color="auto"/>
            </w:tcBorders>
            <w:shd w:val="clear" w:color="auto" w:fill="auto"/>
            <w:noWrap/>
            <w:vAlign w:val="bottom"/>
          </w:tcPr>
          <w:p w14:paraId="66582564" w14:textId="69ADF08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E9F5E2B" w14:textId="70B38CC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390-400</w:t>
            </w:r>
          </w:p>
        </w:tc>
        <w:tc>
          <w:tcPr>
            <w:tcW w:w="1134" w:type="dxa"/>
            <w:tcBorders>
              <w:top w:val="nil"/>
              <w:left w:val="nil"/>
              <w:bottom w:val="single" w:sz="4" w:space="0" w:color="auto"/>
              <w:right w:val="single" w:sz="4" w:space="0" w:color="auto"/>
            </w:tcBorders>
            <w:shd w:val="clear" w:color="auto" w:fill="auto"/>
            <w:noWrap/>
            <w:vAlign w:val="bottom"/>
          </w:tcPr>
          <w:p w14:paraId="22EC8698" w14:textId="7188FDD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290-300</w:t>
            </w:r>
          </w:p>
        </w:tc>
        <w:tc>
          <w:tcPr>
            <w:tcW w:w="851" w:type="dxa"/>
            <w:tcBorders>
              <w:top w:val="nil"/>
              <w:left w:val="nil"/>
              <w:bottom w:val="single" w:sz="4" w:space="0" w:color="auto"/>
              <w:right w:val="single" w:sz="4" w:space="0" w:color="auto"/>
            </w:tcBorders>
            <w:shd w:val="clear" w:color="auto" w:fill="auto"/>
            <w:noWrap/>
            <w:vAlign w:val="bottom"/>
          </w:tcPr>
          <w:p w14:paraId="66F42911" w14:textId="2F7E6FA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80</w:t>
            </w:r>
          </w:p>
        </w:tc>
        <w:tc>
          <w:tcPr>
            <w:tcW w:w="709" w:type="dxa"/>
            <w:tcBorders>
              <w:top w:val="single" w:sz="4" w:space="0" w:color="auto"/>
              <w:left w:val="nil"/>
              <w:bottom w:val="single" w:sz="4" w:space="0" w:color="auto"/>
              <w:right w:val="single" w:sz="4" w:space="0" w:color="auto"/>
            </w:tcBorders>
            <w:vAlign w:val="bottom"/>
          </w:tcPr>
          <w:p w14:paraId="5FF08AC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38D11C3" w14:textId="6AD09BA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{"citationItems":[{"id":"ITEM-1","itemData":{"DOI":"10.1016/j.biortech.2019.122168","ISSN":"0960-8524","abstract":"In this study, a 20-L spherical explosion vessel, hot plate apparatus, Godbert-Greenwald furnace apparatus, and TG-FTIR were used to investigate the explosion and combustion characteristics of three biomass dusts: dalbergia cochinchinensis (DC), pine sawdust (PS), and cupressus funebris (CF). DC with lower minimum explosible concentration (70–80 g/m3), larger maximum explosion pressure (0.742 MPa) and larger maximum explosion pressure rise rate (80.14 MPa/s) had the greatest explosion hazard in three biomass dusts. The apparent activation energy of DC and CF were lower than that of PS, and the main gas products of three samples included CO2, CO, CH3COOH, and H2O. The volatile matter content of DC characterized by the weight loss and the number of gas products of combustion process was higher than those of PS and CF, showing that the volatile matter content of biomass dust was one of the main factors affecting combustion and explosion hazard.","author":[{"dropping-particle":"","family":"Liu","given":"Aihua","non-dropping-particle":"","parse-names":false,"suffix":""},{"dropping-particle":"","family":"Chen","given":"Jieyun","non-dropping-particle":"","parse-names":false,"suffix":""},{"dropping-particle":"","family":"Huang","given":"Xiaofei","non-dropping-particle":"","parse-names":false,"suffix":""},{"dropping-particle":"","family":"Lin","given":"Junjiang","non-dropping-particle":"","parse-names":false,"suffix":""},{"dropping-particle":"","family":"Zhang","given":"Xiaochun","non-dropping-particle":"","parse-names":false,"suffix":""},{"dropping-particle":"","family":"Xu","given":"Wenbin","non-dropping-particle":"","parse-names":false,"suffix":""}],"container-title":"Bioresource Technology","id":"ITEM-1","issued":{"date-parts":[["2019"]]},"page":"122168","title":"Explosion parameters and combustion kinetics of biomass dust","type":"article-journal","volume":"294"},"uris":["http://www.mendeley.com/documents/?uuid=215e7a2c-b1cb-4f2c-a642-9b17d2f32d2e"]}],"mendeley":{"formattedCitation":"[145]","plainTextFormattedCitation":"[145]","previouslyFormattedCitation":"[145]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[145]</w:t>
            </w:r>
            <w:r w:rsidRPr="005A7A0A">
              <w:rPr>
                <w:color w:val="auto"/>
                <w:sz w:val="18"/>
                <w:szCs w:val="18"/>
                <w:lang w:eastAsia="en-GB" w:bidi="ar-SA"/>
              </w:rPr>
              <w:fldChar w:fldCharType="end"/>
            </w:r>
          </w:p>
        </w:tc>
      </w:tr>
      <w:tr w:rsidR="005A7A0A" w:rsidRPr="005A7A0A" w14:paraId="2BB4787B" w14:textId="2D56A87A"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E5CE4B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w:t>
            </w:r>
          </w:p>
        </w:tc>
        <w:tc>
          <w:tcPr>
            <w:tcW w:w="4204" w:type="dxa"/>
            <w:tcBorders>
              <w:top w:val="nil"/>
              <w:left w:val="nil"/>
              <w:bottom w:val="single" w:sz="4" w:space="0" w:color="auto"/>
              <w:right w:val="single" w:sz="4" w:space="0" w:color="auto"/>
            </w:tcBorders>
            <w:shd w:val="clear" w:color="auto" w:fill="auto"/>
            <w:noWrap/>
            <w:vAlign w:val="center"/>
            <w:hideMark/>
          </w:tcPr>
          <w:p w14:paraId="5CBE22A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Dalbergia cochinchinensis</w:t>
            </w:r>
          </w:p>
        </w:tc>
        <w:tc>
          <w:tcPr>
            <w:tcW w:w="1055" w:type="dxa"/>
            <w:tcBorders>
              <w:top w:val="nil"/>
              <w:left w:val="nil"/>
              <w:bottom w:val="single" w:sz="4" w:space="0" w:color="auto"/>
              <w:right w:val="single" w:sz="4" w:space="0" w:color="auto"/>
            </w:tcBorders>
            <w:shd w:val="clear" w:color="auto" w:fill="auto"/>
            <w:noWrap/>
            <w:vAlign w:val="bottom"/>
          </w:tcPr>
          <w:p w14:paraId="054558E3" w14:textId="0B074C2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7.4</w:t>
            </w:r>
          </w:p>
        </w:tc>
        <w:tc>
          <w:tcPr>
            <w:tcW w:w="1006" w:type="dxa"/>
            <w:tcBorders>
              <w:top w:val="nil"/>
              <w:left w:val="nil"/>
              <w:bottom w:val="single" w:sz="4" w:space="0" w:color="auto"/>
              <w:right w:val="single" w:sz="4" w:space="0" w:color="auto"/>
            </w:tcBorders>
            <w:shd w:val="clear" w:color="auto" w:fill="auto"/>
            <w:noWrap/>
            <w:vAlign w:val="bottom"/>
          </w:tcPr>
          <w:p w14:paraId="506FB09D" w14:textId="633A994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217.5</w:t>
            </w:r>
          </w:p>
        </w:tc>
        <w:tc>
          <w:tcPr>
            <w:tcW w:w="1335" w:type="dxa"/>
            <w:tcBorders>
              <w:top w:val="nil"/>
              <w:left w:val="nil"/>
              <w:bottom w:val="single" w:sz="4" w:space="0" w:color="auto"/>
              <w:right w:val="single" w:sz="4" w:space="0" w:color="auto"/>
            </w:tcBorders>
            <w:shd w:val="clear" w:color="auto" w:fill="auto"/>
            <w:noWrap/>
            <w:vAlign w:val="bottom"/>
          </w:tcPr>
          <w:p w14:paraId="67D7610E" w14:textId="6B28CAB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801.4</w:t>
            </w:r>
          </w:p>
        </w:tc>
        <w:tc>
          <w:tcPr>
            <w:tcW w:w="931" w:type="dxa"/>
            <w:tcBorders>
              <w:top w:val="nil"/>
              <w:left w:val="nil"/>
              <w:bottom w:val="single" w:sz="4" w:space="0" w:color="auto"/>
              <w:right w:val="single" w:sz="4" w:space="0" w:color="auto"/>
            </w:tcBorders>
            <w:shd w:val="clear" w:color="auto" w:fill="auto"/>
            <w:noWrap/>
            <w:vAlign w:val="bottom"/>
          </w:tcPr>
          <w:p w14:paraId="4CB3571D" w14:textId="122C0C8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721C523" w14:textId="2203019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370-380</w:t>
            </w:r>
          </w:p>
        </w:tc>
        <w:tc>
          <w:tcPr>
            <w:tcW w:w="1134" w:type="dxa"/>
            <w:tcBorders>
              <w:top w:val="nil"/>
              <w:left w:val="nil"/>
              <w:bottom w:val="single" w:sz="4" w:space="0" w:color="auto"/>
              <w:right w:val="single" w:sz="4" w:space="0" w:color="auto"/>
            </w:tcBorders>
            <w:shd w:val="clear" w:color="auto" w:fill="auto"/>
            <w:noWrap/>
            <w:vAlign w:val="bottom"/>
          </w:tcPr>
          <w:p w14:paraId="05947BC7" w14:textId="4595B18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280-290</w:t>
            </w:r>
          </w:p>
        </w:tc>
        <w:tc>
          <w:tcPr>
            <w:tcW w:w="851" w:type="dxa"/>
            <w:tcBorders>
              <w:top w:val="nil"/>
              <w:left w:val="nil"/>
              <w:bottom w:val="single" w:sz="4" w:space="0" w:color="auto"/>
              <w:right w:val="single" w:sz="4" w:space="0" w:color="auto"/>
            </w:tcBorders>
            <w:shd w:val="clear" w:color="auto" w:fill="auto"/>
            <w:noWrap/>
            <w:vAlign w:val="bottom"/>
          </w:tcPr>
          <w:p w14:paraId="2C5D2D47" w14:textId="1AC90DB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70</w:t>
            </w:r>
          </w:p>
        </w:tc>
        <w:tc>
          <w:tcPr>
            <w:tcW w:w="709" w:type="dxa"/>
            <w:tcBorders>
              <w:top w:val="single" w:sz="4" w:space="0" w:color="auto"/>
              <w:left w:val="nil"/>
              <w:bottom w:val="single" w:sz="4" w:space="0" w:color="auto"/>
              <w:right w:val="single" w:sz="4" w:space="0" w:color="auto"/>
            </w:tcBorders>
            <w:vAlign w:val="bottom"/>
          </w:tcPr>
          <w:p w14:paraId="238182A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CF6DC87" w14:textId="2A08827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{"citationItems":[{"id":"ITEM-1","itemData":{"DOI":"10.1016/j.biortech.2019.122168","ISSN":"0960-8524","abstract":"In this study, a 20-L spherical explosion vessel, hot plate apparatus, Godbert-Greenwald furnace apparatus, and TG-FTIR were used to investigate the explosion and combustion characteristics of three biomass dusts: dalbergia cochinchinensis (DC), pine sawdust (PS), and cupressus funebris (CF). DC with lower minimum explosible concentration (70–80 g/m3), larger maximum explosion pressure (0.742 MPa) and larger maximum explosion pressure rise rate (80.14 MPa/s) had the greatest explosion hazard in three biomass dusts. The apparent activation energy of DC and CF were lower than that of PS, and the main gas products of three samples included CO2, CO, CH3COOH, and H2O. The volatile matter content of DC characterized by the weight loss and the number of gas products of combustion process was higher than those of PS and CF, showing that the volatile matter content of biomass dust was one of the main factors affecting combustion and explosion hazard.","author":[{"dropping-particle":"","family":"Liu","given":"Aihua","non-dropping-particle":"","parse-names":false,"suffix":""},{"dropping-particle":"","family":"Chen","given":"Jieyun","non-dropping-particle":"","parse-names":false,"suffix":""},{"dropping-particle":"","family":"Huang","given":"Xiaofei","non-dropping-particle":"","parse-names":false,"suffix":""},{"dropping-particle":"","family":"Lin","given":"Junjiang","non-dropping-particle":"","parse-names":false,"suffix":""},{"dropping-particle":"","family":"Zhang","given":"Xiaochun","non-dropping-particle":"","parse-names":false,"suffix":""},{"dropping-particle":"","family":"Xu","given":"Wenbin","non-dropping-particle":"","parse-names":false,"suffix":""}],"container-title":"Bioresource Technology","id":"ITEM-1","issued":{"date-parts":[["2019"]]},"page":"122168","title":"Explosion parameters and combustion kinetics of biomass dust","type":"article-journal","volume":"294"},"uris":["http://www.mendeley.com/documents/?uuid=215e7a2c-b1cb-4f2c-a642-9b17d2f32d2e"]}],"mendeley":{"formattedCitation":"[145]","plainTextFormattedCitation":"[145]","previouslyFormattedCitation":"[145]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[145]</w:t>
            </w:r>
            <w:r w:rsidRPr="005A7A0A">
              <w:rPr>
                <w:color w:val="auto"/>
                <w:sz w:val="18"/>
                <w:szCs w:val="18"/>
                <w:lang w:eastAsia="en-GB" w:bidi="ar-SA"/>
              </w:rPr>
              <w:fldChar w:fldCharType="end"/>
            </w:r>
          </w:p>
        </w:tc>
      </w:tr>
      <w:tr w:rsidR="005A7A0A" w:rsidRPr="005A7A0A" w14:paraId="67C4E918" w14:textId="7ECE0095"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57EDC7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16</w:t>
            </w:r>
          </w:p>
        </w:tc>
        <w:tc>
          <w:tcPr>
            <w:tcW w:w="4204" w:type="dxa"/>
            <w:tcBorders>
              <w:top w:val="nil"/>
              <w:left w:val="nil"/>
              <w:bottom w:val="single" w:sz="4" w:space="0" w:color="auto"/>
              <w:right w:val="single" w:sz="4" w:space="0" w:color="auto"/>
            </w:tcBorders>
            <w:shd w:val="clear" w:color="auto" w:fill="auto"/>
            <w:noWrap/>
            <w:vAlign w:val="center"/>
            <w:hideMark/>
          </w:tcPr>
          <w:p w14:paraId="2EDD0D5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Forest residue</w:t>
            </w:r>
          </w:p>
        </w:tc>
        <w:tc>
          <w:tcPr>
            <w:tcW w:w="1055" w:type="dxa"/>
            <w:tcBorders>
              <w:top w:val="nil"/>
              <w:left w:val="nil"/>
              <w:bottom w:val="single" w:sz="4" w:space="0" w:color="auto"/>
              <w:right w:val="single" w:sz="4" w:space="0" w:color="auto"/>
            </w:tcBorders>
            <w:shd w:val="clear" w:color="auto" w:fill="auto"/>
            <w:noWrap/>
            <w:vAlign w:val="bottom"/>
          </w:tcPr>
          <w:p w14:paraId="71556DFC" w14:textId="3C48F1E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8.1</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75696344" w14:textId="5937376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84.0</w:t>
            </w:r>
          </w:p>
        </w:tc>
        <w:tc>
          <w:tcPr>
            <w:tcW w:w="1335" w:type="dxa"/>
            <w:tcBorders>
              <w:top w:val="nil"/>
              <w:left w:val="nil"/>
              <w:bottom w:val="single" w:sz="4" w:space="0" w:color="auto"/>
              <w:right w:val="single" w:sz="4" w:space="0" w:color="auto"/>
            </w:tcBorders>
            <w:shd w:val="clear" w:color="auto" w:fill="auto"/>
            <w:noWrap/>
            <w:vAlign w:val="bottom"/>
          </w:tcPr>
          <w:p w14:paraId="67121851" w14:textId="6A79C36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309.5</w:t>
            </w:r>
          </w:p>
        </w:tc>
        <w:tc>
          <w:tcPr>
            <w:tcW w:w="931" w:type="dxa"/>
            <w:tcBorders>
              <w:top w:val="nil"/>
              <w:left w:val="nil"/>
              <w:bottom w:val="single" w:sz="4" w:space="0" w:color="auto"/>
              <w:right w:val="single" w:sz="4" w:space="0" w:color="auto"/>
            </w:tcBorders>
            <w:shd w:val="clear" w:color="auto" w:fill="auto"/>
            <w:noWrap/>
            <w:vAlign w:val="bottom"/>
          </w:tcPr>
          <w:p w14:paraId="3C3BDBEE" w14:textId="7CF0295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50</w:t>
            </w:r>
          </w:p>
        </w:tc>
        <w:tc>
          <w:tcPr>
            <w:tcW w:w="992" w:type="dxa"/>
            <w:tcBorders>
              <w:top w:val="nil"/>
              <w:left w:val="nil"/>
              <w:bottom w:val="single" w:sz="4" w:space="0" w:color="auto"/>
              <w:right w:val="single" w:sz="4" w:space="0" w:color="auto"/>
            </w:tcBorders>
            <w:shd w:val="clear" w:color="auto" w:fill="auto"/>
            <w:noWrap/>
            <w:vAlign w:val="bottom"/>
          </w:tcPr>
          <w:p w14:paraId="5F7100A4" w14:textId="53EDF1C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w:t>
            </w:r>
          </w:p>
        </w:tc>
        <w:tc>
          <w:tcPr>
            <w:tcW w:w="1134" w:type="dxa"/>
            <w:tcBorders>
              <w:top w:val="nil"/>
              <w:left w:val="nil"/>
              <w:bottom w:val="single" w:sz="4" w:space="0" w:color="auto"/>
              <w:right w:val="single" w:sz="4" w:space="0" w:color="auto"/>
            </w:tcBorders>
            <w:shd w:val="clear" w:color="auto" w:fill="auto"/>
            <w:noWrap/>
            <w:vAlign w:val="bottom"/>
          </w:tcPr>
          <w:p w14:paraId="0D3282DA" w14:textId="22C1CA4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440</w:t>
            </w:r>
          </w:p>
        </w:tc>
        <w:tc>
          <w:tcPr>
            <w:tcW w:w="851" w:type="dxa"/>
            <w:tcBorders>
              <w:top w:val="nil"/>
              <w:left w:val="nil"/>
              <w:bottom w:val="single" w:sz="4" w:space="0" w:color="auto"/>
              <w:right w:val="single" w:sz="4" w:space="0" w:color="auto"/>
            </w:tcBorders>
            <w:shd w:val="clear" w:color="auto" w:fill="auto"/>
            <w:noWrap/>
            <w:vAlign w:val="bottom"/>
          </w:tcPr>
          <w:p w14:paraId="65D28E8E" w14:textId="7F7B065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709" w:type="dxa"/>
            <w:tcBorders>
              <w:top w:val="single" w:sz="4" w:space="0" w:color="auto"/>
              <w:left w:val="nil"/>
              <w:bottom w:val="single" w:sz="4" w:space="0" w:color="auto"/>
              <w:right w:val="single" w:sz="4" w:space="0" w:color="auto"/>
            </w:tcBorders>
            <w:vAlign w:val="bottom"/>
          </w:tcPr>
          <w:p w14:paraId="04556579" w14:textId="76191C51" w:rsidR="00AF5FF8" w:rsidRPr="005A7A0A" w:rsidRDefault="00845E0C"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10.0</w:t>
            </w:r>
          </w:p>
        </w:tc>
        <w:tc>
          <w:tcPr>
            <w:tcW w:w="992" w:type="dxa"/>
            <w:tcBorders>
              <w:top w:val="single" w:sz="4" w:space="0" w:color="auto"/>
              <w:left w:val="single" w:sz="4" w:space="0" w:color="auto"/>
              <w:bottom w:val="single" w:sz="4" w:space="0" w:color="auto"/>
              <w:right w:val="single" w:sz="4" w:space="0" w:color="auto"/>
            </w:tcBorders>
            <w:vAlign w:val="bottom"/>
          </w:tcPr>
          <w:p w14:paraId="688A99A5" w14:textId="3A7DBA00"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5A7A0A" w:rsidRPr="005A7A0A" w14:paraId="62C3B525" w14:textId="591FA9E7"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82F2CB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17</w:t>
            </w:r>
          </w:p>
        </w:tc>
        <w:tc>
          <w:tcPr>
            <w:tcW w:w="4204" w:type="dxa"/>
            <w:tcBorders>
              <w:top w:val="nil"/>
              <w:left w:val="nil"/>
              <w:bottom w:val="single" w:sz="4" w:space="0" w:color="auto"/>
              <w:right w:val="single" w:sz="4" w:space="0" w:color="auto"/>
            </w:tcBorders>
            <w:shd w:val="clear" w:color="auto" w:fill="auto"/>
            <w:noWrap/>
            <w:vAlign w:val="center"/>
            <w:hideMark/>
          </w:tcPr>
          <w:p w14:paraId="14D2419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Forest residue - wood + bark</w:t>
            </w:r>
          </w:p>
        </w:tc>
        <w:tc>
          <w:tcPr>
            <w:tcW w:w="1055" w:type="dxa"/>
            <w:tcBorders>
              <w:top w:val="nil"/>
              <w:left w:val="nil"/>
              <w:bottom w:val="single" w:sz="4" w:space="0" w:color="auto"/>
              <w:right w:val="single" w:sz="4" w:space="0" w:color="auto"/>
            </w:tcBorders>
            <w:shd w:val="clear" w:color="auto" w:fill="auto"/>
            <w:noWrap/>
            <w:vAlign w:val="bottom"/>
          </w:tcPr>
          <w:p w14:paraId="612C1088" w14:textId="1A46912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9.1</w:t>
            </w:r>
          </w:p>
        </w:tc>
        <w:tc>
          <w:tcPr>
            <w:tcW w:w="1006" w:type="dxa"/>
            <w:tcBorders>
              <w:top w:val="nil"/>
              <w:left w:val="nil"/>
              <w:bottom w:val="single" w:sz="4" w:space="0" w:color="auto"/>
              <w:right w:val="single" w:sz="4" w:space="0" w:color="auto"/>
            </w:tcBorders>
            <w:shd w:val="clear" w:color="auto" w:fill="auto"/>
            <w:noWrap/>
            <w:vAlign w:val="bottom"/>
          </w:tcPr>
          <w:p w14:paraId="72830BD8" w14:textId="7461401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92.3</w:t>
            </w:r>
          </w:p>
        </w:tc>
        <w:tc>
          <w:tcPr>
            <w:tcW w:w="1335" w:type="dxa"/>
            <w:tcBorders>
              <w:top w:val="nil"/>
              <w:left w:val="nil"/>
              <w:bottom w:val="single" w:sz="4" w:space="0" w:color="auto"/>
              <w:right w:val="single" w:sz="4" w:space="0" w:color="auto"/>
            </w:tcBorders>
            <w:shd w:val="clear" w:color="auto" w:fill="auto"/>
            <w:noWrap/>
            <w:vAlign w:val="bottom"/>
          </w:tcPr>
          <w:p w14:paraId="286A4087" w14:textId="600475E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340.0</w:t>
            </w:r>
          </w:p>
        </w:tc>
        <w:tc>
          <w:tcPr>
            <w:tcW w:w="931" w:type="dxa"/>
            <w:tcBorders>
              <w:top w:val="nil"/>
              <w:left w:val="nil"/>
              <w:bottom w:val="single" w:sz="4" w:space="0" w:color="auto"/>
              <w:right w:val="single" w:sz="4" w:space="0" w:color="auto"/>
            </w:tcBorders>
            <w:shd w:val="clear" w:color="auto" w:fill="auto"/>
            <w:noWrap/>
            <w:vAlign w:val="bottom"/>
          </w:tcPr>
          <w:p w14:paraId="0F3A339E" w14:textId="11FE4C5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40</w:t>
            </w:r>
          </w:p>
        </w:tc>
        <w:tc>
          <w:tcPr>
            <w:tcW w:w="992" w:type="dxa"/>
            <w:tcBorders>
              <w:top w:val="nil"/>
              <w:left w:val="nil"/>
              <w:bottom w:val="single" w:sz="4" w:space="0" w:color="auto"/>
              <w:right w:val="single" w:sz="4" w:space="0" w:color="auto"/>
            </w:tcBorders>
            <w:shd w:val="clear" w:color="auto" w:fill="auto"/>
            <w:noWrap/>
            <w:vAlign w:val="bottom"/>
          </w:tcPr>
          <w:p w14:paraId="46DAED32" w14:textId="43521D3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w:t>
            </w:r>
          </w:p>
        </w:tc>
        <w:tc>
          <w:tcPr>
            <w:tcW w:w="1134" w:type="dxa"/>
            <w:tcBorders>
              <w:top w:val="nil"/>
              <w:left w:val="nil"/>
              <w:bottom w:val="single" w:sz="4" w:space="0" w:color="auto"/>
              <w:right w:val="single" w:sz="4" w:space="0" w:color="auto"/>
            </w:tcBorders>
            <w:shd w:val="clear" w:color="auto" w:fill="auto"/>
            <w:noWrap/>
            <w:vAlign w:val="bottom"/>
          </w:tcPr>
          <w:p w14:paraId="57CA64DD" w14:textId="4E89B74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400</w:t>
            </w:r>
          </w:p>
        </w:tc>
        <w:tc>
          <w:tcPr>
            <w:tcW w:w="851" w:type="dxa"/>
            <w:tcBorders>
              <w:top w:val="nil"/>
              <w:left w:val="nil"/>
              <w:bottom w:val="single" w:sz="4" w:space="0" w:color="auto"/>
              <w:right w:val="single" w:sz="4" w:space="0" w:color="auto"/>
            </w:tcBorders>
            <w:shd w:val="clear" w:color="auto" w:fill="auto"/>
            <w:noWrap/>
            <w:vAlign w:val="bottom"/>
          </w:tcPr>
          <w:p w14:paraId="0A8C59FD" w14:textId="14482B6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20</w:t>
            </w:r>
          </w:p>
        </w:tc>
        <w:tc>
          <w:tcPr>
            <w:tcW w:w="709" w:type="dxa"/>
            <w:tcBorders>
              <w:top w:val="single" w:sz="4" w:space="0" w:color="auto"/>
              <w:left w:val="nil"/>
              <w:bottom w:val="single" w:sz="4" w:space="0" w:color="auto"/>
              <w:right w:val="single" w:sz="4" w:space="0" w:color="auto"/>
            </w:tcBorders>
            <w:vAlign w:val="bottom"/>
          </w:tcPr>
          <w:p w14:paraId="588BCAFA"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CA14BA7" w14:textId="5B2293C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{"citationItems":[{"id":"ITEM-1","itemData":{"DOI":"10.1016/S0016-2361(97)00285-8","ISSN":"0016-2361","abstract":"This paper describes a series of explosion tests carried out with biomass at high initial pressures. Atmospheric tests were developed in a 20 1 sphere, and a hyperbaric series at 1 and 1.5 MPa in a 1 m3 sphere. Depending on concentration, one or two points of dispersion were used and the injection impulse varied from 2.0 to 3.5 MPa, achieving different levels of turbulence. Both the great influence of turbulence on the rate of pressure rise and the high severity and sensibility shown by biomass have contributed to the development of very violent explosions at elevated pressures and concentrations. Also, biomass has shown irregularities in the flame front propagation due to its inhomogeneity. Quite high initial pressures have been experimented with and a material with great projection for energetic applications has been analysed.","author":[{"dropping-particle":"","family":"García-Torrent","given":"Javier","non-dropping-particle":"","parse-names":false,"suffix":""},{"dropping-particle":"","family":"Conde-Lázaro","given":"Eduardo","non-dropping-particle":"","parse-names":false,"suffix":""},{"dropping-particle":"","family":"Wilén","given":"Carl","non-dropping-particle":"","parse-names":false,"suffix":""},{"dropping-particle":"","family":"Rautalin","given":"Aimo","non-dropping-particle":"","parse-names":false,"suffix":""}],"container-title":"Fuel","id":"ITEM-1","issue":"9","issued":{"date-parts":[["1998"]]},"page":"1093-1097","title":"Biomass dust explosibility at elevated initial pressures","type":"article-journal","volume":"77"},"uris":["http://www.mendeley.com/documents/?uuid=29ddb156-8f9b-41a8-b08b-17df9b1e5b1f"]}],"mendeley":{"formattedCitation":"[146]","plainTextFormattedCitation":"[146]","previouslyFormattedCitation":"[146]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[146]</w:t>
            </w:r>
            <w:r w:rsidRPr="005A7A0A">
              <w:rPr>
                <w:color w:val="auto"/>
                <w:sz w:val="18"/>
                <w:szCs w:val="18"/>
                <w:lang w:eastAsia="en-GB" w:bidi="ar-SA"/>
              </w:rPr>
              <w:fldChar w:fldCharType="end"/>
            </w:r>
          </w:p>
        </w:tc>
      </w:tr>
      <w:tr w:rsidR="005A7A0A" w:rsidRPr="005A7A0A" w14:paraId="7D04893A" w14:textId="7A9B4EA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909444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18</w:t>
            </w:r>
          </w:p>
        </w:tc>
        <w:tc>
          <w:tcPr>
            <w:tcW w:w="4204" w:type="dxa"/>
            <w:tcBorders>
              <w:top w:val="nil"/>
              <w:left w:val="nil"/>
              <w:bottom w:val="single" w:sz="4" w:space="0" w:color="auto"/>
              <w:right w:val="single" w:sz="4" w:space="0" w:color="auto"/>
            </w:tcBorders>
            <w:shd w:val="clear" w:color="auto" w:fill="auto"/>
            <w:noWrap/>
            <w:vAlign w:val="center"/>
            <w:hideMark/>
          </w:tcPr>
          <w:p w14:paraId="438C361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Hardwood pellets - bark dust (Nova Scotia, Canada)</w:t>
            </w:r>
          </w:p>
        </w:tc>
        <w:tc>
          <w:tcPr>
            <w:tcW w:w="1055" w:type="dxa"/>
            <w:tcBorders>
              <w:top w:val="nil"/>
              <w:left w:val="nil"/>
              <w:bottom w:val="single" w:sz="4" w:space="0" w:color="auto"/>
              <w:right w:val="single" w:sz="4" w:space="0" w:color="auto"/>
            </w:tcBorders>
            <w:shd w:val="clear" w:color="auto" w:fill="auto"/>
            <w:noWrap/>
            <w:vAlign w:val="bottom"/>
          </w:tcPr>
          <w:p w14:paraId="750437AB" w14:textId="722E6B8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8.4</w:t>
            </w:r>
          </w:p>
        </w:tc>
        <w:tc>
          <w:tcPr>
            <w:tcW w:w="1006" w:type="dxa"/>
            <w:tcBorders>
              <w:top w:val="nil"/>
              <w:left w:val="nil"/>
              <w:bottom w:val="single" w:sz="4" w:space="0" w:color="auto"/>
              <w:right w:val="single" w:sz="4" w:space="0" w:color="auto"/>
            </w:tcBorders>
            <w:shd w:val="clear" w:color="auto" w:fill="auto"/>
            <w:noWrap/>
            <w:vAlign w:val="bottom"/>
          </w:tcPr>
          <w:p w14:paraId="3DD88C1D" w14:textId="3650315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162.0</w:t>
            </w:r>
          </w:p>
        </w:tc>
        <w:tc>
          <w:tcPr>
            <w:tcW w:w="1335" w:type="dxa"/>
            <w:tcBorders>
              <w:top w:val="nil"/>
              <w:left w:val="nil"/>
              <w:bottom w:val="single" w:sz="4" w:space="0" w:color="auto"/>
              <w:right w:val="single" w:sz="4" w:space="0" w:color="auto"/>
            </w:tcBorders>
            <w:shd w:val="clear" w:color="auto" w:fill="auto"/>
            <w:noWrap/>
            <w:vAlign w:val="bottom"/>
          </w:tcPr>
          <w:p w14:paraId="37840B14" w14:textId="446652C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595.0</w:t>
            </w:r>
          </w:p>
        </w:tc>
        <w:tc>
          <w:tcPr>
            <w:tcW w:w="931" w:type="dxa"/>
            <w:tcBorders>
              <w:top w:val="nil"/>
              <w:left w:val="nil"/>
              <w:bottom w:val="single" w:sz="4" w:space="0" w:color="auto"/>
              <w:right w:val="single" w:sz="4" w:space="0" w:color="auto"/>
            </w:tcBorders>
            <w:shd w:val="clear" w:color="auto" w:fill="auto"/>
            <w:noWrap/>
            <w:vAlign w:val="bottom"/>
          </w:tcPr>
          <w:p w14:paraId="5FA9D03C" w14:textId="300851A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17</w:t>
            </w:r>
          </w:p>
        </w:tc>
        <w:tc>
          <w:tcPr>
            <w:tcW w:w="992" w:type="dxa"/>
            <w:tcBorders>
              <w:top w:val="nil"/>
              <w:left w:val="nil"/>
              <w:bottom w:val="single" w:sz="4" w:space="0" w:color="auto"/>
              <w:right w:val="single" w:sz="4" w:space="0" w:color="auto"/>
            </w:tcBorders>
            <w:shd w:val="clear" w:color="auto" w:fill="auto"/>
            <w:noWrap/>
            <w:vAlign w:val="bottom"/>
          </w:tcPr>
          <w:p w14:paraId="10A68310" w14:textId="39DCC28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310</w:t>
            </w:r>
          </w:p>
        </w:tc>
        <w:tc>
          <w:tcPr>
            <w:tcW w:w="1134" w:type="dxa"/>
            <w:tcBorders>
              <w:top w:val="nil"/>
              <w:left w:val="nil"/>
              <w:bottom w:val="single" w:sz="4" w:space="0" w:color="auto"/>
              <w:right w:val="single" w:sz="4" w:space="0" w:color="auto"/>
            </w:tcBorders>
            <w:shd w:val="clear" w:color="auto" w:fill="auto"/>
            <w:noWrap/>
            <w:vAlign w:val="bottom"/>
          </w:tcPr>
          <w:p w14:paraId="5EFEBA8D" w14:textId="7CFA360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450</w:t>
            </w:r>
          </w:p>
        </w:tc>
        <w:tc>
          <w:tcPr>
            <w:tcW w:w="851" w:type="dxa"/>
            <w:tcBorders>
              <w:top w:val="nil"/>
              <w:left w:val="nil"/>
              <w:bottom w:val="single" w:sz="4" w:space="0" w:color="auto"/>
              <w:right w:val="single" w:sz="4" w:space="0" w:color="auto"/>
            </w:tcBorders>
            <w:shd w:val="clear" w:color="auto" w:fill="auto"/>
            <w:noWrap/>
            <w:vAlign w:val="bottom"/>
          </w:tcPr>
          <w:p w14:paraId="6D47A6D6" w14:textId="25F78D3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70</w:t>
            </w:r>
          </w:p>
        </w:tc>
        <w:tc>
          <w:tcPr>
            <w:tcW w:w="709" w:type="dxa"/>
            <w:tcBorders>
              <w:top w:val="single" w:sz="4" w:space="0" w:color="auto"/>
              <w:left w:val="nil"/>
              <w:bottom w:val="single" w:sz="4" w:space="0" w:color="auto"/>
              <w:right w:val="single" w:sz="4" w:space="0" w:color="auto"/>
            </w:tcBorders>
            <w:vAlign w:val="bottom"/>
          </w:tcPr>
          <w:p w14:paraId="636D57DC" w14:textId="46DE8EC6" w:rsidR="00AF5FF8" w:rsidRPr="005A7A0A" w:rsidRDefault="00845E0C"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10.5</w:t>
            </w:r>
          </w:p>
        </w:tc>
        <w:tc>
          <w:tcPr>
            <w:tcW w:w="992" w:type="dxa"/>
            <w:tcBorders>
              <w:top w:val="single" w:sz="4" w:space="0" w:color="auto"/>
              <w:left w:val="single" w:sz="4" w:space="0" w:color="auto"/>
              <w:bottom w:val="single" w:sz="4" w:space="0" w:color="auto"/>
              <w:right w:val="single" w:sz="4" w:space="0" w:color="auto"/>
            </w:tcBorders>
            <w:vAlign w:val="bottom"/>
          </w:tcPr>
          <w:p w14:paraId="04D864D6" w14:textId="05F6AD91"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{"citationItems":[{"id":"ITEM-1","itemData":{"author":[{"dropping-particle":"","family":"Melin","given":"Staffan","non-dropping-particle":"","parse-names":false,"suffix":""}],"container-title":"Wood Pellet Association of Canada","id":"ITEM-1","issued":{"date-parts":[["2008"]]},"page":"1-19","title":"Testing of Explosibility and Flammability of Airborne Dust from Wood Pellets","type":"article-journal"},"uris":["http://www.mendeley.com/documents/?uuid=f8a065d7-e91a-41fa-b9ce-5a0bf751276a"]}],"mendeley":{"formattedCitation":"[147]","plainTextFormattedCitation":"[147]","previouslyFormattedCitation":"[147]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[147]</w:t>
            </w:r>
            <w:r w:rsidRPr="005A7A0A">
              <w:rPr>
                <w:color w:val="auto"/>
                <w:sz w:val="18"/>
                <w:szCs w:val="18"/>
                <w:lang w:eastAsia="en-GB" w:bidi="ar-SA"/>
              </w:rPr>
              <w:fldChar w:fldCharType="end"/>
            </w:r>
          </w:p>
        </w:tc>
      </w:tr>
      <w:tr w:rsidR="005A7A0A" w:rsidRPr="005A7A0A" w14:paraId="4DFA1651" w14:textId="369D3FE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21172F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19</w:t>
            </w:r>
          </w:p>
        </w:tc>
        <w:tc>
          <w:tcPr>
            <w:tcW w:w="4204" w:type="dxa"/>
            <w:tcBorders>
              <w:top w:val="nil"/>
              <w:left w:val="nil"/>
              <w:bottom w:val="single" w:sz="4" w:space="0" w:color="auto"/>
              <w:right w:val="single" w:sz="4" w:space="0" w:color="auto"/>
            </w:tcBorders>
            <w:shd w:val="clear" w:color="auto" w:fill="auto"/>
            <w:noWrap/>
            <w:vAlign w:val="center"/>
            <w:hideMark/>
          </w:tcPr>
          <w:p w14:paraId="6274B2D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Lycopodium</w:t>
            </w:r>
          </w:p>
        </w:tc>
        <w:tc>
          <w:tcPr>
            <w:tcW w:w="1055" w:type="dxa"/>
            <w:tcBorders>
              <w:top w:val="nil"/>
              <w:left w:val="nil"/>
              <w:bottom w:val="single" w:sz="4" w:space="0" w:color="auto"/>
              <w:right w:val="single" w:sz="4" w:space="0" w:color="auto"/>
            </w:tcBorders>
            <w:shd w:val="clear" w:color="auto" w:fill="auto"/>
            <w:noWrap/>
            <w:vAlign w:val="bottom"/>
          </w:tcPr>
          <w:p w14:paraId="31FEC484" w14:textId="657D86C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15C5DBF0" w14:textId="345A667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629353D0" w14:textId="5F6F6AF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4903334B" w14:textId="105B4F2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w:t>
            </w:r>
          </w:p>
        </w:tc>
        <w:tc>
          <w:tcPr>
            <w:tcW w:w="992" w:type="dxa"/>
            <w:tcBorders>
              <w:top w:val="nil"/>
              <w:left w:val="nil"/>
              <w:bottom w:val="single" w:sz="4" w:space="0" w:color="auto"/>
              <w:right w:val="single" w:sz="4" w:space="0" w:color="auto"/>
            </w:tcBorders>
            <w:shd w:val="clear" w:color="auto" w:fill="auto"/>
            <w:noWrap/>
            <w:vAlign w:val="bottom"/>
          </w:tcPr>
          <w:p w14:paraId="1AD3B132" w14:textId="3F88703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64182B0" w14:textId="4498BF5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680</w:t>
            </w:r>
            <w:r w:rsidRPr="005A7A0A">
              <w:rPr>
                <w:color w:val="auto"/>
                <w:vertAlign w:val="superscript"/>
              </w:rPr>
              <w:t xml:space="preserve"> </w:t>
            </w:r>
            <w:r w:rsidR="00DC6265" w:rsidRPr="005A7A0A">
              <w:rPr>
                <w:color w:val="auto"/>
                <w:vertAlign w:val="superscript"/>
              </w:rPr>
              <w:t>c</w:t>
            </w:r>
          </w:p>
        </w:tc>
        <w:tc>
          <w:tcPr>
            <w:tcW w:w="851" w:type="dxa"/>
            <w:tcBorders>
              <w:top w:val="nil"/>
              <w:left w:val="nil"/>
              <w:bottom w:val="single" w:sz="4" w:space="0" w:color="auto"/>
              <w:right w:val="single" w:sz="4" w:space="0" w:color="auto"/>
            </w:tcBorders>
            <w:shd w:val="clear" w:color="auto" w:fill="auto"/>
            <w:noWrap/>
            <w:vAlign w:val="bottom"/>
          </w:tcPr>
          <w:p w14:paraId="5A3F6444" w14:textId="520AAD8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7C98731C"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850B1D8" w14:textId="74D077FF"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{"citationItems":[{"id":"ITEM-1","itemData":{"DOI":"10.1016/j.psep.2018.10.004","ISSN":"0957-5820","abstract":"This study refers to the minimum ignition energy (MIE) of dusts as determined by means of the Hartmann tube. To do so, six different dust with different particle size and properties are employed. A theoretical model is developed to predict the MIE based upon the physical and chemical properties of the dust. The model clearly shows the relationship between the minimum ignition energy and the minimum ignition temperature of a dust cloud. The model results in a method to calculate the MIE of dusts. Also, the time necessary for ignition can be calculated with the model. The results show that despite some limitations, the model predicts the MIE for dusts rather well. It is proposed that 40–60% energy loss would be considered when applying the model.","author":[{"dropping-particle":"","family":"Hosseinzadeh","given":"Sepideh","non-dropping-particle":"","parse-names":false,"suffix":""},{"dropping-particle":"","family":"Berghmans","given":"Jan","non-dropping-particle":"","parse-names":false,"suffix":""},{"dropping-particle":"","family":"Degreve","given":"Jan","non-dropping-particle":"","parse-names":false,"suffix":""},{"dropping-particle":"","family":"Verplaetsen","given":"Filip","non-dropping-particle":"","parse-names":false,"suffix":""}],"container-title":"Process Safety and Environmental Protection","id":"ITEM-1","issued":{"date-parts":[["2019"]]},"page":"43-49","title":"A model for the minimum ignition energy of dust clouds","type":"article-journal","volume":"121"},"uris":["http://www.mendeley.com/documents/?uuid=4faafa79-2294-4a2b-9d8b-56da644ac719"]}],"mendeley":{"formattedCitation":"[143]","plainTextFormattedCitation":"[143]","previouslyFormattedCitation":"[143]"},"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[143]</w:t>
            </w:r>
            <w:r w:rsidRPr="005A7A0A">
              <w:rPr>
                <w:color w:val="auto"/>
                <w:sz w:val="18"/>
                <w:szCs w:val="18"/>
                <w:lang w:eastAsia="en-GB" w:bidi="ar-SA"/>
              </w:rPr>
              <w:fldChar w:fldCharType="end"/>
            </w:r>
          </w:p>
        </w:tc>
      </w:tr>
      <w:tr w:rsidR="005A7A0A" w:rsidRPr="005A7A0A" w14:paraId="3D7C0357" w14:textId="05F97D61"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E36FEA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20</w:t>
            </w:r>
          </w:p>
        </w:tc>
        <w:tc>
          <w:tcPr>
            <w:tcW w:w="4204" w:type="dxa"/>
            <w:tcBorders>
              <w:top w:val="nil"/>
              <w:left w:val="nil"/>
              <w:bottom w:val="single" w:sz="4" w:space="0" w:color="auto"/>
              <w:right w:val="single" w:sz="4" w:space="0" w:color="auto"/>
            </w:tcBorders>
            <w:shd w:val="clear" w:color="auto" w:fill="auto"/>
            <w:noWrap/>
            <w:vAlign w:val="center"/>
            <w:hideMark/>
          </w:tcPr>
          <w:p w14:paraId="6ED38B8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Miscanthus</w:t>
            </w:r>
          </w:p>
        </w:tc>
        <w:tc>
          <w:tcPr>
            <w:tcW w:w="1055" w:type="dxa"/>
            <w:tcBorders>
              <w:top w:val="nil"/>
              <w:left w:val="nil"/>
              <w:bottom w:val="single" w:sz="4" w:space="0" w:color="auto"/>
              <w:right w:val="single" w:sz="4" w:space="0" w:color="auto"/>
            </w:tcBorders>
            <w:shd w:val="clear" w:color="auto" w:fill="auto"/>
            <w:noWrap/>
            <w:vAlign w:val="bottom"/>
          </w:tcPr>
          <w:p w14:paraId="449DA658" w14:textId="5C6545E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7.1</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6F035D33" w14:textId="6C4114F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31.0</w:t>
            </w:r>
          </w:p>
        </w:tc>
        <w:tc>
          <w:tcPr>
            <w:tcW w:w="1335" w:type="dxa"/>
            <w:tcBorders>
              <w:top w:val="nil"/>
              <w:left w:val="nil"/>
              <w:bottom w:val="single" w:sz="4" w:space="0" w:color="auto"/>
              <w:right w:val="single" w:sz="4" w:space="0" w:color="auto"/>
            </w:tcBorders>
            <w:shd w:val="clear" w:color="auto" w:fill="auto"/>
            <w:noWrap/>
            <w:vAlign w:val="bottom"/>
          </w:tcPr>
          <w:p w14:paraId="6F1B688F" w14:textId="584CC26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114.2</w:t>
            </w:r>
          </w:p>
        </w:tc>
        <w:tc>
          <w:tcPr>
            <w:tcW w:w="931" w:type="dxa"/>
            <w:tcBorders>
              <w:top w:val="nil"/>
              <w:left w:val="nil"/>
              <w:bottom w:val="single" w:sz="4" w:space="0" w:color="auto"/>
              <w:right w:val="single" w:sz="4" w:space="0" w:color="auto"/>
            </w:tcBorders>
            <w:shd w:val="clear" w:color="auto" w:fill="auto"/>
            <w:noWrap/>
            <w:vAlign w:val="bottom"/>
          </w:tcPr>
          <w:p w14:paraId="098719AF" w14:textId="6E1D402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260</w:t>
            </w:r>
          </w:p>
        </w:tc>
        <w:tc>
          <w:tcPr>
            <w:tcW w:w="992" w:type="dxa"/>
            <w:tcBorders>
              <w:top w:val="nil"/>
              <w:left w:val="nil"/>
              <w:bottom w:val="single" w:sz="4" w:space="0" w:color="auto"/>
              <w:right w:val="single" w:sz="4" w:space="0" w:color="auto"/>
            </w:tcBorders>
            <w:shd w:val="clear" w:color="auto" w:fill="auto"/>
            <w:noWrap/>
            <w:vAlign w:val="bottom"/>
          </w:tcPr>
          <w:p w14:paraId="1EF0F910" w14:textId="782F760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290</w:t>
            </w:r>
          </w:p>
        </w:tc>
        <w:tc>
          <w:tcPr>
            <w:tcW w:w="1134" w:type="dxa"/>
            <w:tcBorders>
              <w:top w:val="nil"/>
              <w:left w:val="nil"/>
              <w:bottom w:val="single" w:sz="4" w:space="0" w:color="auto"/>
              <w:right w:val="single" w:sz="4" w:space="0" w:color="auto"/>
            </w:tcBorders>
            <w:shd w:val="clear" w:color="auto" w:fill="auto"/>
            <w:noWrap/>
            <w:vAlign w:val="bottom"/>
          </w:tcPr>
          <w:p w14:paraId="1D8F8DEB" w14:textId="577B578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460</w:t>
            </w:r>
          </w:p>
        </w:tc>
        <w:tc>
          <w:tcPr>
            <w:tcW w:w="851" w:type="dxa"/>
            <w:tcBorders>
              <w:top w:val="nil"/>
              <w:left w:val="nil"/>
              <w:bottom w:val="single" w:sz="4" w:space="0" w:color="auto"/>
              <w:right w:val="single" w:sz="4" w:space="0" w:color="auto"/>
            </w:tcBorders>
            <w:shd w:val="clear" w:color="auto" w:fill="auto"/>
            <w:noWrap/>
            <w:vAlign w:val="bottom"/>
          </w:tcPr>
          <w:p w14:paraId="27441F34" w14:textId="31DAC50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120</w:t>
            </w:r>
          </w:p>
        </w:tc>
        <w:tc>
          <w:tcPr>
            <w:tcW w:w="709" w:type="dxa"/>
            <w:tcBorders>
              <w:top w:val="single" w:sz="4" w:space="0" w:color="auto"/>
              <w:left w:val="nil"/>
              <w:bottom w:val="single" w:sz="4" w:space="0" w:color="auto"/>
              <w:right w:val="single" w:sz="4" w:space="0" w:color="auto"/>
            </w:tcBorders>
            <w:vAlign w:val="bottom"/>
          </w:tcPr>
          <w:p w14:paraId="2AA7B1E6" w14:textId="1C434CDD" w:rsidR="00AF5FF8" w:rsidRPr="005A7A0A" w:rsidRDefault="00845E0C"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20.0</w:t>
            </w:r>
          </w:p>
        </w:tc>
        <w:tc>
          <w:tcPr>
            <w:tcW w:w="992" w:type="dxa"/>
            <w:tcBorders>
              <w:top w:val="single" w:sz="4" w:space="0" w:color="auto"/>
              <w:left w:val="single" w:sz="4" w:space="0" w:color="auto"/>
              <w:bottom w:val="single" w:sz="4" w:space="0" w:color="auto"/>
              <w:right w:val="single" w:sz="4" w:space="0" w:color="auto"/>
            </w:tcBorders>
            <w:vAlign w:val="bottom"/>
          </w:tcPr>
          <w:p w14:paraId="267AB874" w14:textId="7F84F493"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5A7A0A" w:rsidRPr="005A7A0A" w14:paraId="16096D0C" w14:textId="23271A6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998E85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21</w:t>
            </w:r>
          </w:p>
        </w:tc>
        <w:tc>
          <w:tcPr>
            <w:tcW w:w="4204" w:type="dxa"/>
            <w:tcBorders>
              <w:top w:val="nil"/>
              <w:left w:val="nil"/>
              <w:bottom w:val="single" w:sz="4" w:space="0" w:color="auto"/>
              <w:right w:val="single" w:sz="4" w:space="0" w:color="auto"/>
            </w:tcBorders>
            <w:shd w:val="clear" w:color="auto" w:fill="auto"/>
            <w:noWrap/>
            <w:vAlign w:val="center"/>
            <w:hideMark/>
          </w:tcPr>
          <w:p w14:paraId="5A15186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Norway spruce (Picea abies)</w:t>
            </w:r>
          </w:p>
        </w:tc>
        <w:tc>
          <w:tcPr>
            <w:tcW w:w="1055" w:type="dxa"/>
            <w:tcBorders>
              <w:top w:val="nil"/>
              <w:left w:val="nil"/>
              <w:bottom w:val="single" w:sz="4" w:space="0" w:color="auto"/>
              <w:right w:val="single" w:sz="4" w:space="0" w:color="auto"/>
            </w:tcBorders>
            <w:shd w:val="clear" w:color="auto" w:fill="auto"/>
            <w:noWrap/>
            <w:vAlign w:val="bottom"/>
          </w:tcPr>
          <w:p w14:paraId="765540D7" w14:textId="4917612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8.2</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3FA55EC2" w14:textId="4C18BE1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95.0</w:t>
            </w:r>
          </w:p>
        </w:tc>
        <w:tc>
          <w:tcPr>
            <w:tcW w:w="1335" w:type="dxa"/>
            <w:tcBorders>
              <w:top w:val="nil"/>
              <w:left w:val="nil"/>
              <w:bottom w:val="single" w:sz="4" w:space="0" w:color="auto"/>
              <w:right w:val="single" w:sz="4" w:space="0" w:color="auto"/>
            </w:tcBorders>
            <w:shd w:val="clear" w:color="auto" w:fill="auto"/>
            <w:noWrap/>
            <w:vAlign w:val="bottom"/>
          </w:tcPr>
          <w:p w14:paraId="46310C9F" w14:textId="4E3B50A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350.0</w:t>
            </w:r>
          </w:p>
        </w:tc>
        <w:tc>
          <w:tcPr>
            <w:tcW w:w="931" w:type="dxa"/>
            <w:tcBorders>
              <w:top w:val="nil"/>
              <w:left w:val="nil"/>
              <w:bottom w:val="single" w:sz="4" w:space="0" w:color="auto"/>
              <w:right w:val="single" w:sz="4" w:space="0" w:color="auto"/>
            </w:tcBorders>
            <w:shd w:val="clear" w:color="auto" w:fill="auto"/>
            <w:noWrap/>
            <w:vAlign w:val="bottom"/>
          </w:tcPr>
          <w:p w14:paraId="62BE08ED" w14:textId="7E3777B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F694BC8" w14:textId="57FF065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58D0FC5" w14:textId="0DB3F38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FA2E9C9" w14:textId="4B917B6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5BEE5742"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0A51570" w14:textId="7E60A030"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{"citationItems":[{"id":"ITEM-1","itemData":{"DOI":"10.1016/j.jlp.2014.12.009","ISSN":"0950-4230","abstract":"Pulverised biomass is increasingly being used for power generation in 100% biomass plants or mixed with coal as a way of reducing greenhouse gas emissions. The fire and explosion hazards of pulverised wood and other agricultural waste materials have been recognised for some time. However, safety data for biomass are very scarce in the public literature, and non-existent for upgraded biomass products such as torrefied biomass. This is largely due to the challenges that biomass poses for explosion characterisation in the standard methods (1 m3 ISO vessel or 20 L sphere). The authors have developed and calibrated a new system for the 1 m3 ISO vessel that overcomes these challenges. In this work we present the first data in the open literature for the explosion characteristics of torrefied biomass. Results for untreated Norway spruce wood and Kellingley coal are also included for comparison. Flame speeds and post-explosion residue analysis results are also presented. Torrefied spruce wood was found to be more reactive than Kellingley coal and slightly more reactive than its parent material in terms of KSt, Pmax and flame speed. The differences between coal and biomass samples highlight that it should not be assumed that safety systems for coal can be applied to torrefied or raw wood materials without suitable modifications.","author":[{"dropping-particle":"","family":"Huéscar Medina","given":"Clara","non-dropping-particle":"","parse-names":false,"suffix":""},{"dropping-particle":"","family":"Sattar","given":"Hamed","non-dropping-particle":"","parse-names":false,"suffix":""},{"dropping-particle":"","family":"Phylaktou","given":"Herodotos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M","non-dropping-particle":"","parse-names":false,"suffix":""}],"container-title":"Journal of Loss Prevention in the Process Industries","id":"ITEM-1","issued":{"date-parts":[["2015"]]},"page":"287-295","title":"Explosion reactivity characterisation of pulverised torrefied spruce wood","type":"article-journal","volume":"36"},"uris":["http://www.mendeley.com/documents/?uuid=0f4b7f7c-9c65-4eb5-a48e-d77f7a31cef8"]}],"mendeley":{"formattedCitation":"[148]","plainTextFormattedCitation":"[148]","previouslyFormattedCitation":"[148]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[148]</w:t>
            </w:r>
            <w:r w:rsidRPr="005A7A0A">
              <w:rPr>
                <w:color w:val="auto"/>
                <w:sz w:val="18"/>
                <w:szCs w:val="18"/>
                <w:lang w:eastAsia="en-GB" w:bidi="ar-SA"/>
              </w:rPr>
              <w:fldChar w:fldCharType="end"/>
            </w:r>
          </w:p>
        </w:tc>
      </w:tr>
      <w:tr w:rsidR="005A7A0A" w:rsidRPr="005A7A0A" w14:paraId="114489F7" w14:textId="07042E8A"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2A92E7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22</w:t>
            </w:r>
          </w:p>
        </w:tc>
        <w:tc>
          <w:tcPr>
            <w:tcW w:w="4204" w:type="dxa"/>
            <w:tcBorders>
              <w:top w:val="nil"/>
              <w:left w:val="nil"/>
              <w:bottom w:val="single" w:sz="4" w:space="0" w:color="auto"/>
              <w:right w:val="single" w:sz="4" w:space="0" w:color="auto"/>
            </w:tcBorders>
            <w:shd w:val="clear" w:color="auto" w:fill="auto"/>
            <w:noWrap/>
            <w:vAlign w:val="center"/>
            <w:hideMark/>
          </w:tcPr>
          <w:p w14:paraId="2F69560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Oakwood</w:t>
            </w:r>
          </w:p>
        </w:tc>
        <w:tc>
          <w:tcPr>
            <w:tcW w:w="1055" w:type="dxa"/>
            <w:tcBorders>
              <w:top w:val="nil"/>
              <w:left w:val="nil"/>
              <w:bottom w:val="single" w:sz="4" w:space="0" w:color="auto"/>
              <w:right w:val="single" w:sz="4" w:space="0" w:color="auto"/>
            </w:tcBorders>
            <w:shd w:val="clear" w:color="auto" w:fill="auto"/>
            <w:noWrap/>
            <w:vAlign w:val="bottom"/>
          </w:tcPr>
          <w:p w14:paraId="7716954C" w14:textId="21234AE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386A8962" w14:textId="40B0C2B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6A254958" w14:textId="5D56D29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337B9F85" w14:textId="22FDE34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w:t>
            </w:r>
          </w:p>
        </w:tc>
        <w:tc>
          <w:tcPr>
            <w:tcW w:w="992" w:type="dxa"/>
            <w:tcBorders>
              <w:top w:val="nil"/>
              <w:left w:val="nil"/>
              <w:bottom w:val="single" w:sz="4" w:space="0" w:color="auto"/>
              <w:right w:val="single" w:sz="4" w:space="0" w:color="auto"/>
            </w:tcBorders>
            <w:shd w:val="clear" w:color="auto" w:fill="auto"/>
            <w:noWrap/>
            <w:vAlign w:val="bottom"/>
          </w:tcPr>
          <w:p w14:paraId="28A37008" w14:textId="2024DA2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210DBE05" w14:textId="64607A3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482</w:t>
            </w:r>
            <w:r w:rsidRPr="005A7A0A">
              <w:rPr>
                <w:color w:val="auto"/>
                <w:vertAlign w:val="superscript"/>
              </w:rPr>
              <w:t xml:space="preserve"> </w:t>
            </w:r>
            <w:r w:rsidR="00DC6265" w:rsidRPr="005A7A0A">
              <w:rPr>
                <w:color w:val="auto"/>
                <w:vertAlign w:val="superscript"/>
              </w:rPr>
              <w:t>c</w:t>
            </w:r>
          </w:p>
        </w:tc>
        <w:tc>
          <w:tcPr>
            <w:tcW w:w="851" w:type="dxa"/>
            <w:tcBorders>
              <w:top w:val="nil"/>
              <w:left w:val="nil"/>
              <w:bottom w:val="single" w:sz="4" w:space="0" w:color="auto"/>
              <w:right w:val="single" w:sz="4" w:space="0" w:color="auto"/>
            </w:tcBorders>
            <w:shd w:val="clear" w:color="auto" w:fill="auto"/>
            <w:noWrap/>
            <w:vAlign w:val="bottom"/>
          </w:tcPr>
          <w:p w14:paraId="273F9ADD" w14:textId="44B4AE8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23B802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C91CAEB" w14:textId="619668B3"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{"citationItems":[{"id":"ITEM-1","itemData":{"DOI":"10.1016/j.psep.2018.10.004","ISSN":"0957-5820","abstract":"This study refers to the minimum ignition energy (MIE) of dusts as determined by means of the Hartmann tube. To do so, six different dust with different particle size and properties are employed. A theoretical model is developed to predict the MIE based upon the physical and chemical properties of the dust. The model clearly shows the relationship between the minimum ignition energy and the minimum ignition temperature of a dust cloud. The model results in a method to calculate the MIE of dusts. Also, the time necessary for ignition can be calculated with the model. The results show that despite some limitations, the model predicts the MIE for dusts rather well. It is proposed that 40–60% energy loss would be considered when applying the model.","author":[{"dropping-particle":"","family":"Hosseinzadeh","given":"Sepideh","non-dropping-particle":"","parse-names":false,"suffix":""},{"dropping-particle":"","family":"Berghmans","given":"Jan","non-dropping-particle":"","parse-names":false,"suffix":""},{"dropping-particle":"","family":"Degreve","given":"Jan","non-dropping-particle":"","parse-names":false,"suffix":""},{"dropping-particle":"","family":"Verplaetsen","given":"Filip","non-dropping-particle":"","parse-names":false,"suffix":""}],"container-title":"Process Safety and Environmental Protection","id":"ITEM-1","issued":{"date-parts":[["2019"]]},"page":"43-49","title":"A model for the minimum ignition energy of dust clouds","type":"article-journal","volume":"121"},"uris":["http://www.mendeley.com/documents/?uuid=4faafa79-2294-4a2b-9d8b-56da644ac719"]}],"mendeley":{"formattedCitation":"[143]","plainTextFormattedCitation":"[143]","previouslyFormattedCitation":"[143]"},"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[143]</w:t>
            </w:r>
            <w:r w:rsidRPr="005A7A0A">
              <w:rPr>
                <w:color w:val="auto"/>
                <w:sz w:val="18"/>
                <w:szCs w:val="18"/>
                <w:lang w:eastAsia="en-GB" w:bidi="ar-SA"/>
              </w:rPr>
              <w:fldChar w:fldCharType="end"/>
            </w:r>
          </w:p>
        </w:tc>
      </w:tr>
      <w:tr w:rsidR="005A7A0A" w:rsidRPr="005A7A0A" w14:paraId="60D53793" w14:textId="52B80690"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D6D966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23</w:t>
            </w:r>
          </w:p>
        </w:tc>
        <w:tc>
          <w:tcPr>
            <w:tcW w:w="4204" w:type="dxa"/>
            <w:tcBorders>
              <w:top w:val="nil"/>
              <w:left w:val="nil"/>
              <w:bottom w:val="single" w:sz="4" w:space="0" w:color="auto"/>
              <w:right w:val="single" w:sz="4" w:space="0" w:color="auto"/>
            </w:tcBorders>
            <w:shd w:val="clear" w:color="auto" w:fill="auto"/>
            <w:noWrap/>
            <w:vAlign w:val="center"/>
            <w:hideMark/>
          </w:tcPr>
          <w:p w14:paraId="4030E1A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Olive pit</w:t>
            </w:r>
          </w:p>
        </w:tc>
        <w:tc>
          <w:tcPr>
            <w:tcW w:w="1055" w:type="dxa"/>
            <w:tcBorders>
              <w:top w:val="nil"/>
              <w:left w:val="nil"/>
              <w:bottom w:val="single" w:sz="4" w:space="0" w:color="auto"/>
              <w:right w:val="single" w:sz="4" w:space="0" w:color="auto"/>
            </w:tcBorders>
            <w:shd w:val="clear" w:color="auto" w:fill="auto"/>
            <w:noWrap/>
            <w:vAlign w:val="bottom"/>
          </w:tcPr>
          <w:p w14:paraId="2E4DF938" w14:textId="1BADE93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005EB79C" w14:textId="37E88E9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4CB67C1E" w14:textId="4132E9C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0FC45754" w14:textId="4940F3D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A56FDDD" w14:textId="634A5A0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w:t>
            </w:r>
          </w:p>
        </w:tc>
        <w:tc>
          <w:tcPr>
            <w:tcW w:w="1134" w:type="dxa"/>
            <w:tcBorders>
              <w:top w:val="nil"/>
              <w:left w:val="nil"/>
              <w:bottom w:val="single" w:sz="4" w:space="0" w:color="auto"/>
              <w:right w:val="single" w:sz="4" w:space="0" w:color="auto"/>
            </w:tcBorders>
            <w:shd w:val="clear" w:color="auto" w:fill="auto"/>
            <w:noWrap/>
            <w:vAlign w:val="bottom"/>
          </w:tcPr>
          <w:p w14:paraId="76560B02" w14:textId="0898CC2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DF13227" w14:textId="68DBA78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EF5AAA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F474A54" w14:textId="1FB146CB"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05E75945" w14:textId="5B747A1B"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EC1DA2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24</w:t>
            </w:r>
          </w:p>
        </w:tc>
        <w:tc>
          <w:tcPr>
            <w:tcW w:w="4204" w:type="dxa"/>
            <w:tcBorders>
              <w:top w:val="nil"/>
              <w:left w:val="nil"/>
              <w:bottom w:val="single" w:sz="4" w:space="0" w:color="auto"/>
              <w:right w:val="single" w:sz="4" w:space="0" w:color="auto"/>
            </w:tcBorders>
            <w:shd w:val="clear" w:color="auto" w:fill="auto"/>
            <w:noWrap/>
            <w:vAlign w:val="center"/>
            <w:hideMark/>
          </w:tcPr>
          <w:p w14:paraId="1DDA8BD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Olive pit</w:t>
            </w:r>
          </w:p>
        </w:tc>
        <w:tc>
          <w:tcPr>
            <w:tcW w:w="1055" w:type="dxa"/>
            <w:tcBorders>
              <w:top w:val="nil"/>
              <w:left w:val="nil"/>
              <w:bottom w:val="single" w:sz="4" w:space="0" w:color="auto"/>
              <w:right w:val="single" w:sz="4" w:space="0" w:color="auto"/>
            </w:tcBorders>
            <w:shd w:val="clear" w:color="auto" w:fill="auto"/>
            <w:noWrap/>
            <w:vAlign w:val="bottom"/>
          </w:tcPr>
          <w:p w14:paraId="6432AAC3" w14:textId="07D2302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06CDF2E1" w14:textId="43910C2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25EB54C4" w14:textId="7340E76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501FB16D" w14:textId="094C425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AE694B6" w14:textId="4838214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&gt;400</w:t>
            </w:r>
          </w:p>
        </w:tc>
        <w:tc>
          <w:tcPr>
            <w:tcW w:w="1134" w:type="dxa"/>
            <w:tcBorders>
              <w:top w:val="nil"/>
              <w:left w:val="nil"/>
              <w:bottom w:val="single" w:sz="4" w:space="0" w:color="auto"/>
              <w:right w:val="single" w:sz="4" w:space="0" w:color="auto"/>
            </w:tcBorders>
            <w:shd w:val="clear" w:color="auto" w:fill="auto"/>
            <w:noWrap/>
            <w:vAlign w:val="bottom"/>
          </w:tcPr>
          <w:p w14:paraId="2AE3FC76" w14:textId="561D323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758F58A" w14:textId="391D48E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028312BD"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1ED0FC0" w14:textId="61A1428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347EBC26" w14:textId="47E0498B"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758637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25</w:t>
            </w:r>
          </w:p>
        </w:tc>
        <w:tc>
          <w:tcPr>
            <w:tcW w:w="4204" w:type="dxa"/>
            <w:tcBorders>
              <w:top w:val="nil"/>
              <w:left w:val="nil"/>
              <w:bottom w:val="single" w:sz="4" w:space="0" w:color="auto"/>
              <w:right w:val="single" w:sz="4" w:space="0" w:color="auto"/>
            </w:tcBorders>
            <w:shd w:val="clear" w:color="auto" w:fill="auto"/>
            <w:noWrap/>
            <w:vAlign w:val="center"/>
            <w:hideMark/>
          </w:tcPr>
          <w:p w14:paraId="34EBA27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Olive pomace pellets, fraction &lt; 45 μm</w:t>
            </w:r>
          </w:p>
        </w:tc>
        <w:tc>
          <w:tcPr>
            <w:tcW w:w="1055" w:type="dxa"/>
            <w:tcBorders>
              <w:top w:val="nil"/>
              <w:left w:val="nil"/>
              <w:bottom w:val="single" w:sz="4" w:space="0" w:color="auto"/>
              <w:right w:val="single" w:sz="4" w:space="0" w:color="auto"/>
            </w:tcBorders>
            <w:shd w:val="clear" w:color="auto" w:fill="auto"/>
            <w:noWrap/>
            <w:vAlign w:val="bottom"/>
          </w:tcPr>
          <w:p w14:paraId="4EC3B253" w14:textId="27008AE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7.6</w:t>
            </w:r>
          </w:p>
        </w:tc>
        <w:tc>
          <w:tcPr>
            <w:tcW w:w="1006" w:type="dxa"/>
            <w:tcBorders>
              <w:top w:val="nil"/>
              <w:left w:val="nil"/>
              <w:bottom w:val="single" w:sz="4" w:space="0" w:color="auto"/>
              <w:right w:val="single" w:sz="4" w:space="0" w:color="auto"/>
            </w:tcBorders>
            <w:shd w:val="clear" w:color="auto" w:fill="auto"/>
            <w:noWrap/>
            <w:vAlign w:val="bottom"/>
          </w:tcPr>
          <w:p w14:paraId="449CFBDC" w14:textId="5A0B49B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69.0</w:t>
            </w:r>
          </w:p>
        </w:tc>
        <w:tc>
          <w:tcPr>
            <w:tcW w:w="1335" w:type="dxa"/>
            <w:tcBorders>
              <w:top w:val="nil"/>
              <w:left w:val="nil"/>
              <w:bottom w:val="single" w:sz="4" w:space="0" w:color="auto"/>
              <w:right w:val="single" w:sz="4" w:space="0" w:color="auto"/>
            </w:tcBorders>
            <w:shd w:val="clear" w:color="auto" w:fill="auto"/>
            <w:noWrap/>
            <w:vAlign w:val="bottom"/>
          </w:tcPr>
          <w:p w14:paraId="5576FB5D" w14:textId="48C1740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255.0</w:t>
            </w:r>
          </w:p>
        </w:tc>
        <w:tc>
          <w:tcPr>
            <w:tcW w:w="931" w:type="dxa"/>
            <w:tcBorders>
              <w:top w:val="nil"/>
              <w:left w:val="nil"/>
              <w:bottom w:val="single" w:sz="4" w:space="0" w:color="auto"/>
              <w:right w:val="single" w:sz="4" w:space="0" w:color="auto"/>
            </w:tcBorders>
            <w:shd w:val="clear" w:color="auto" w:fill="auto"/>
            <w:noWrap/>
            <w:vAlign w:val="bottom"/>
          </w:tcPr>
          <w:p w14:paraId="509613D3" w14:textId="226EFDA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&gt;1000</w:t>
            </w:r>
          </w:p>
        </w:tc>
        <w:tc>
          <w:tcPr>
            <w:tcW w:w="992" w:type="dxa"/>
            <w:tcBorders>
              <w:top w:val="nil"/>
              <w:left w:val="nil"/>
              <w:bottom w:val="single" w:sz="4" w:space="0" w:color="auto"/>
              <w:right w:val="single" w:sz="4" w:space="0" w:color="auto"/>
            </w:tcBorders>
            <w:shd w:val="clear" w:color="auto" w:fill="auto"/>
            <w:noWrap/>
            <w:vAlign w:val="bottom"/>
          </w:tcPr>
          <w:p w14:paraId="288354DA" w14:textId="6F9E548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550</w:t>
            </w:r>
          </w:p>
        </w:tc>
        <w:tc>
          <w:tcPr>
            <w:tcW w:w="1134" w:type="dxa"/>
            <w:tcBorders>
              <w:top w:val="nil"/>
              <w:left w:val="nil"/>
              <w:bottom w:val="single" w:sz="4" w:space="0" w:color="auto"/>
              <w:right w:val="single" w:sz="4" w:space="0" w:color="auto"/>
            </w:tcBorders>
            <w:shd w:val="clear" w:color="auto" w:fill="auto"/>
            <w:noWrap/>
            <w:vAlign w:val="bottom"/>
          </w:tcPr>
          <w:p w14:paraId="515B08CF" w14:textId="1A668CC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2C6DD055" w14:textId="6B34833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90</w:t>
            </w:r>
          </w:p>
        </w:tc>
        <w:tc>
          <w:tcPr>
            <w:tcW w:w="709" w:type="dxa"/>
            <w:tcBorders>
              <w:top w:val="single" w:sz="4" w:space="0" w:color="auto"/>
              <w:left w:val="nil"/>
              <w:bottom w:val="single" w:sz="4" w:space="0" w:color="auto"/>
              <w:right w:val="single" w:sz="4" w:space="0" w:color="auto"/>
            </w:tcBorders>
            <w:vAlign w:val="bottom"/>
          </w:tcPr>
          <w:p w14:paraId="396F9324"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BEAA3DD" w14:textId="7972854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{"citationItems":[{"id":"ITEM-1","itemData":{"DOI":"10.1016/j.jlp.2021.104423","ISSN":"0950-4230","abstract":"The Mediterranean area is responsible for about 98% of the olive oil worldwide production, with 900 million olive trees occupying 10 million hectares. However, the processing of 100 kg of olives leads to the production of 40 kg of wastes, mainly constituted by olive pomace, which is potentially recoverable as energetic or material source. In general, in the past 20 years, the exploitation of olive pomace has increased, but along with it, the need for further information about its chemical-physical characterization and the related hazard in industry. Thus, a risk analysis assessment was conducted. When pelletized or in chunks, olive pomace does not pose any greater hazard than a pile of woody material, but when pulverized, it might become dangerous. Two parallel series of experiments were carried out at Dalhousie University (Lab 1) and at Polytechnic of Turin (Lab 2) using the same olive pomace sample, according to slightly different experimental procedures. Olive pomace dust explosibility and flammability parameters were measured: minimum ignition energy (MIE), minimum ignition temperature (MIT), maximum pressure rise rate ((dP/dt)max and KSt), maximum pressure (Pmax), and minimum explosible concentration (MEC). Moreover, the chemical and physical characterization of olive pomace was carried out: moisture content, particle size analysis, Scanning Electronic Microscope (SEM) investigation, thermo-gravimetric analysis (TGA), solid-state Nuclear Magnetic Resonance (NMR), mass spectrometry, calorific value, and bulk density estimation. Different thermal behaviors were observed according to the sieving/grinding pre-treatment. As concern flammability tests, samples seemed not to be sensitive to electric arc ignition (a value of MIE could not be measured), while coarser samples demonstrated higher ignition sensitivity to hot environment sources (MIT furnace) than finer ones. On the other hand, explosion violence parameters were enhanced by decreasing the particle size, while peak pressures were significantly influenced by the heat of combustion and the moisture content. Finally, a new test was developed to quantify the propensity of the raw material to produce fines by abrasion. It is defined “Abrasion by Rolling Test” (ART). The properties of the fines produced were measured as well.","author":[{"dropping-particle":"","family":"Pietraccini","given":"Matteo","non-dropping-particle":"","parse-names":false,"suffix":""},{"dropping-particle":"","family":"Danzi","given":"Enrico","non-dropping-particle":"","parse-names":false,"suffix":""},{"dropping-particle":"","family":"Marmo","given":"Luca","non-dropping-particle":"","parse-names":false,"suffix":""},{"dropping-particle":"","family":"Addo","given":"Albert","non-dropping-particle":"","parse-names":false,"suffix":""},{"dropping-particle":"","family":"Amyotte","given":"Paul","non-dropping-particle":"","parse-names":false,"suffix":""}],"container-title":"Journal of Loss Prevention in the Process Industries","id":"ITEM-1","issued":{"date-parts":[["2021"]]},"page":"104423","title":"Effect of particle size distribution, drying and milling technique on explosibility behavior of olive pomace waste","type":"article-journal","volume":"71"},"uris":["http://www.mendeley.com/documents/?uuid=15688500-ed2f-4ca9-be97-f4bf56a59d8a"]}],"mendeley":{"formattedCitation":"[120]","plainTextFormattedCitation":"[120]","previouslyFormattedCitation":"[120]"},"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[120]</w:t>
            </w:r>
            <w:r w:rsidRPr="005A7A0A">
              <w:rPr>
                <w:color w:val="auto"/>
                <w:sz w:val="18"/>
                <w:szCs w:val="18"/>
                <w:lang w:eastAsia="en-GB" w:bidi="ar-SA"/>
              </w:rPr>
              <w:fldChar w:fldCharType="end"/>
            </w:r>
          </w:p>
        </w:tc>
      </w:tr>
      <w:tr w:rsidR="005A7A0A" w:rsidRPr="005A7A0A" w14:paraId="5CF29925" w14:textId="6F98D96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D04BBB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26</w:t>
            </w:r>
          </w:p>
        </w:tc>
        <w:tc>
          <w:tcPr>
            <w:tcW w:w="4204" w:type="dxa"/>
            <w:tcBorders>
              <w:top w:val="nil"/>
              <w:left w:val="nil"/>
              <w:bottom w:val="single" w:sz="4" w:space="0" w:color="auto"/>
              <w:right w:val="single" w:sz="4" w:space="0" w:color="auto"/>
            </w:tcBorders>
            <w:shd w:val="clear" w:color="auto" w:fill="auto"/>
            <w:noWrap/>
            <w:vAlign w:val="center"/>
            <w:hideMark/>
          </w:tcPr>
          <w:p w14:paraId="39A176D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Olive pomace pellets, fraction 212-75 μm</w:t>
            </w:r>
          </w:p>
        </w:tc>
        <w:tc>
          <w:tcPr>
            <w:tcW w:w="1055" w:type="dxa"/>
            <w:tcBorders>
              <w:top w:val="nil"/>
              <w:left w:val="nil"/>
              <w:bottom w:val="single" w:sz="4" w:space="0" w:color="auto"/>
              <w:right w:val="single" w:sz="4" w:space="0" w:color="auto"/>
            </w:tcBorders>
            <w:shd w:val="clear" w:color="auto" w:fill="auto"/>
            <w:noWrap/>
            <w:vAlign w:val="bottom"/>
          </w:tcPr>
          <w:p w14:paraId="02596549" w14:textId="43DDA14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8.4</w:t>
            </w:r>
          </w:p>
        </w:tc>
        <w:tc>
          <w:tcPr>
            <w:tcW w:w="1006" w:type="dxa"/>
            <w:tcBorders>
              <w:top w:val="nil"/>
              <w:left w:val="nil"/>
              <w:bottom w:val="single" w:sz="4" w:space="0" w:color="auto"/>
              <w:right w:val="single" w:sz="4" w:space="0" w:color="auto"/>
            </w:tcBorders>
            <w:shd w:val="clear" w:color="auto" w:fill="auto"/>
            <w:noWrap/>
            <w:vAlign w:val="bottom"/>
          </w:tcPr>
          <w:p w14:paraId="3A8F5E10" w14:textId="5815AFD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45.0</w:t>
            </w:r>
          </w:p>
        </w:tc>
        <w:tc>
          <w:tcPr>
            <w:tcW w:w="1335" w:type="dxa"/>
            <w:tcBorders>
              <w:top w:val="nil"/>
              <w:left w:val="nil"/>
              <w:bottom w:val="single" w:sz="4" w:space="0" w:color="auto"/>
              <w:right w:val="single" w:sz="4" w:space="0" w:color="auto"/>
            </w:tcBorders>
            <w:shd w:val="clear" w:color="auto" w:fill="auto"/>
            <w:noWrap/>
            <w:vAlign w:val="bottom"/>
          </w:tcPr>
          <w:p w14:paraId="29185CAA" w14:textId="7761108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166.0</w:t>
            </w:r>
          </w:p>
        </w:tc>
        <w:tc>
          <w:tcPr>
            <w:tcW w:w="931" w:type="dxa"/>
            <w:tcBorders>
              <w:top w:val="nil"/>
              <w:left w:val="nil"/>
              <w:bottom w:val="single" w:sz="4" w:space="0" w:color="auto"/>
              <w:right w:val="single" w:sz="4" w:space="0" w:color="auto"/>
            </w:tcBorders>
            <w:shd w:val="clear" w:color="auto" w:fill="auto"/>
            <w:noWrap/>
            <w:vAlign w:val="bottom"/>
          </w:tcPr>
          <w:p w14:paraId="26A7AFDD" w14:textId="293AD67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&gt;1000</w:t>
            </w:r>
          </w:p>
        </w:tc>
        <w:tc>
          <w:tcPr>
            <w:tcW w:w="992" w:type="dxa"/>
            <w:tcBorders>
              <w:top w:val="nil"/>
              <w:left w:val="nil"/>
              <w:bottom w:val="single" w:sz="4" w:space="0" w:color="auto"/>
              <w:right w:val="single" w:sz="4" w:space="0" w:color="auto"/>
            </w:tcBorders>
            <w:shd w:val="clear" w:color="auto" w:fill="auto"/>
            <w:noWrap/>
            <w:vAlign w:val="bottom"/>
          </w:tcPr>
          <w:p w14:paraId="0A127D6A" w14:textId="1AAD602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480</w:t>
            </w:r>
          </w:p>
        </w:tc>
        <w:tc>
          <w:tcPr>
            <w:tcW w:w="1134" w:type="dxa"/>
            <w:tcBorders>
              <w:top w:val="nil"/>
              <w:left w:val="nil"/>
              <w:bottom w:val="single" w:sz="4" w:space="0" w:color="auto"/>
              <w:right w:val="single" w:sz="4" w:space="0" w:color="auto"/>
            </w:tcBorders>
            <w:shd w:val="clear" w:color="auto" w:fill="auto"/>
            <w:noWrap/>
            <w:vAlign w:val="bottom"/>
          </w:tcPr>
          <w:p w14:paraId="026213F8" w14:textId="5517003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7A4B703" w14:textId="6E70394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110</w:t>
            </w:r>
          </w:p>
        </w:tc>
        <w:tc>
          <w:tcPr>
            <w:tcW w:w="709" w:type="dxa"/>
            <w:tcBorders>
              <w:top w:val="single" w:sz="4" w:space="0" w:color="auto"/>
              <w:left w:val="nil"/>
              <w:bottom w:val="single" w:sz="4" w:space="0" w:color="auto"/>
              <w:right w:val="single" w:sz="4" w:space="0" w:color="auto"/>
            </w:tcBorders>
            <w:vAlign w:val="bottom"/>
          </w:tcPr>
          <w:p w14:paraId="4C176F2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E4F87D9" w14:textId="086CAC3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{"citationItems":[{"id":"ITEM-1","itemData":{"DOI":"10.1016/j.jlp.2021.104423","ISSN":"0950-4230","abstract":"The Mediterranean area is responsible for about 98% of the olive oil worldwide production, with 900 million olive trees occupying 10 million hectares. However, the processing of 100 kg of olives leads to the production of 40 kg of wastes, mainly constituted by olive pomace, which is potentially recoverable as energetic or material source. In general, in the past 20 years, the exploitation of olive pomace has increased, but along with it, the need for further information about its chemical-physical characterization and the related hazard in industry. Thus, a risk analysis assessment was conducted. When pelletized or in chunks, olive pomace does not pose any greater hazard than a pile of woody material, but when pulverized, it might become dangerous. Two parallel series of experiments were carried out at Dalhousie University (Lab 1) and at Polytechnic of Turin (Lab 2) using the same olive pomace sample, according to slightly different experimental procedures. Olive pomace dust explosibility and flammability parameters were measured: minimum ignition energy (MIE), minimum ignition temperature (MIT), maximum pressure rise rate ((dP/dt)max and KSt), maximum pressure (Pmax), and minimum explosible concentration (MEC). Moreover, the chemical and physical characterization of olive pomace was carried out: moisture content, particle size analysis, Scanning Electronic Microscope (SEM) investigation, thermo-gravimetric analysis (TGA), solid-state Nuclear Magnetic Resonance (NMR), mass spectrometry, calorific value, and bulk density estimation. Different thermal behaviors were observed according to the sieving/grinding pre-treatment. As concern flammability tests, samples seemed not to be sensitive to electric arc ignition (a value of MIE could not be measured), while coarser samples demonstrated higher ignition sensitivity to hot environment sources (MIT furnace) than finer ones. On the other hand, explosion violence parameters were enhanced by decreasing the particle size, while peak pressures were significantly influenced by the heat of combustion and the moisture content. Finally, a new test was developed to quantify the propensity of the raw material to produce fines by abrasion. It is defined “Abrasion by Rolling Test” (ART). The properties of the fines produced were measured as well.","author":[{"dropping-particle":"","family":"Pietraccini","given":"Matteo","non-dropping-particle":"","parse-names":false,"suffix":""},{"dropping-particle":"","family":"Danzi","given":"Enrico","non-dropping-particle":"","parse-names":false,"suffix":""},{"dropping-particle":"","family":"Marmo","given":"Luca","non-dropping-particle":"","parse-names":false,"suffix":""},{"dropping-particle":"","family":"Addo","given":"Albert","non-dropping-particle":"","parse-names":false,"suffix":""},{"dropping-particle":"","family":"Amyotte","given":"Paul","non-dropping-particle":"","parse-names":false,"suffix":""}],"container-title":"Journal of Loss Prevention in the Process Industries","id":"ITEM-1","issued":{"date-parts":[["2021"]]},"page":"104423","title":"Effect of particle size distribution, drying and milling technique on explosibility behavior of olive pomace waste","type":"article-journal","volume":"71"},"uris":["http://www.mendeley.com/documents/?uuid=15688500-ed2f-4ca9-be97-f4bf56a59d8a"]}],"mendeley":{"formattedCitation":"[120]","plainTextFormattedCitation":"[120]","previouslyFormattedCitation":"[120]"},"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[120]</w:t>
            </w:r>
            <w:r w:rsidRPr="005A7A0A">
              <w:rPr>
                <w:color w:val="auto"/>
                <w:sz w:val="18"/>
                <w:szCs w:val="18"/>
                <w:lang w:eastAsia="en-GB" w:bidi="ar-SA"/>
              </w:rPr>
              <w:fldChar w:fldCharType="end"/>
            </w:r>
          </w:p>
        </w:tc>
      </w:tr>
      <w:tr w:rsidR="005A7A0A" w:rsidRPr="005A7A0A" w14:paraId="45E9BB43" w14:textId="026E150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1EA0FB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lastRenderedPageBreak/>
              <w:t>27</w:t>
            </w:r>
          </w:p>
        </w:tc>
        <w:tc>
          <w:tcPr>
            <w:tcW w:w="4204" w:type="dxa"/>
            <w:tcBorders>
              <w:top w:val="nil"/>
              <w:left w:val="nil"/>
              <w:bottom w:val="single" w:sz="4" w:space="0" w:color="auto"/>
              <w:right w:val="single" w:sz="4" w:space="0" w:color="auto"/>
            </w:tcBorders>
            <w:shd w:val="clear" w:color="auto" w:fill="auto"/>
            <w:noWrap/>
            <w:vAlign w:val="center"/>
            <w:hideMark/>
          </w:tcPr>
          <w:p w14:paraId="6B6988D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Olive pomace pellets, fraction 425-212 μm</w:t>
            </w:r>
          </w:p>
        </w:tc>
        <w:tc>
          <w:tcPr>
            <w:tcW w:w="1055" w:type="dxa"/>
            <w:tcBorders>
              <w:top w:val="nil"/>
              <w:left w:val="nil"/>
              <w:bottom w:val="single" w:sz="4" w:space="0" w:color="auto"/>
              <w:right w:val="single" w:sz="4" w:space="0" w:color="auto"/>
            </w:tcBorders>
            <w:shd w:val="clear" w:color="auto" w:fill="auto"/>
            <w:noWrap/>
            <w:vAlign w:val="bottom"/>
          </w:tcPr>
          <w:p w14:paraId="4AB38422" w14:textId="3A0E2FF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7.3</w:t>
            </w:r>
          </w:p>
        </w:tc>
        <w:tc>
          <w:tcPr>
            <w:tcW w:w="1006" w:type="dxa"/>
            <w:tcBorders>
              <w:top w:val="nil"/>
              <w:left w:val="nil"/>
              <w:bottom w:val="single" w:sz="4" w:space="0" w:color="auto"/>
              <w:right w:val="single" w:sz="4" w:space="0" w:color="auto"/>
            </w:tcBorders>
            <w:shd w:val="clear" w:color="auto" w:fill="auto"/>
            <w:noWrap/>
            <w:vAlign w:val="bottom"/>
          </w:tcPr>
          <w:p w14:paraId="63E0F912" w14:textId="77CBB6F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23.0</w:t>
            </w:r>
          </w:p>
        </w:tc>
        <w:tc>
          <w:tcPr>
            <w:tcW w:w="1335" w:type="dxa"/>
            <w:tcBorders>
              <w:top w:val="nil"/>
              <w:left w:val="nil"/>
              <w:bottom w:val="single" w:sz="4" w:space="0" w:color="auto"/>
              <w:right w:val="single" w:sz="4" w:space="0" w:color="auto"/>
            </w:tcBorders>
            <w:shd w:val="clear" w:color="auto" w:fill="auto"/>
            <w:noWrap/>
            <w:vAlign w:val="bottom"/>
          </w:tcPr>
          <w:p w14:paraId="48C016E2" w14:textId="3016585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84.0</w:t>
            </w:r>
          </w:p>
        </w:tc>
        <w:tc>
          <w:tcPr>
            <w:tcW w:w="931" w:type="dxa"/>
            <w:tcBorders>
              <w:top w:val="nil"/>
              <w:left w:val="nil"/>
              <w:bottom w:val="single" w:sz="4" w:space="0" w:color="auto"/>
              <w:right w:val="single" w:sz="4" w:space="0" w:color="auto"/>
            </w:tcBorders>
            <w:shd w:val="clear" w:color="auto" w:fill="auto"/>
            <w:noWrap/>
            <w:vAlign w:val="bottom"/>
          </w:tcPr>
          <w:p w14:paraId="0C3AB2CC" w14:textId="0E7BC31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&gt;1000</w:t>
            </w:r>
          </w:p>
        </w:tc>
        <w:tc>
          <w:tcPr>
            <w:tcW w:w="992" w:type="dxa"/>
            <w:tcBorders>
              <w:top w:val="nil"/>
              <w:left w:val="nil"/>
              <w:bottom w:val="single" w:sz="4" w:space="0" w:color="auto"/>
              <w:right w:val="single" w:sz="4" w:space="0" w:color="auto"/>
            </w:tcBorders>
            <w:shd w:val="clear" w:color="auto" w:fill="auto"/>
            <w:noWrap/>
            <w:vAlign w:val="bottom"/>
          </w:tcPr>
          <w:p w14:paraId="42E9F5A8" w14:textId="6A30644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500</w:t>
            </w:r>
          </w:p>
        </w:tc>
        <w:tc>
          <w:tcPr>
            <w:tcW w:w="1134" w:type="dxa"/>
            <w:tcBorders>
              <w:top w:val="nil"/>
              <w:left w:val="nil"/>
              <w:bottom w:val="single" w:sz="4" w:space="0" w:color="auto"/>
              <w:right w:val="single" w:sz="4" w:space="0" w:color="auto"/>
            </w:tcBorders>
            <w:shd w:val="clear" w:color="auto" w:fill="auto"/>
            <w:noWrap/>
            <w:vAlign w:val="bottom"/>
          </w:tcPr>
          <w:p w14:paraId="2481F4B1" w14:textId="7D84ECE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2894E8CB" w14:textId="6F80560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140</w:t>
            </w:r>
          </w:p>
        </w:tc>
        <w:tc>
          <w:tcPr>
            <w:tcW w:w="709" w:type="dxa"/>
            <w:tcBorders>
              <w:top w:val="single" w:sz="4" w:space="0" w:color="auto"/>
              <w:left w:val="nil"/>
              <w:bottom w:val="single" w:sz="4" w:space="0" w:color="auto"/>
              <w:right w:val="single" w:sz="4" w:space="0" w:color="auto"/>
            </w:tcBorders>
            <w:vAlign w:val="bottom"/>
          </w:tcPr>
          <w:p w14:paraId="3BA76239"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FB0E08C" w14:textId="3A111034"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{"citationItems":[{"id":"ITEM-1","itemData":{"DOI":"10.1016/j.jlp.2021.104423","ISSN":"0950-4230","abstract":"The Mediterranean area is responsible for about 98% of the olive oil worldwide production, with 900 million olive trees occupying 10 million hectares. However, the processing of 100 kg of olives leads to the production of 40 kg of wastes, mainly constituted by olive pomace, which is potentially recoverable as energetic or material source. In general, in the past 20 years, the exploitation of olive pomace has increased, but along with it, the need for further information about its chemical-physical characterization and the related hazard in industry. Thus, a risk analysis assessment was conducted. When pelletized or in chunks, olive pomace does not pose any greater hazard than a pile of woody material, but when pulverized, it might become dangerous. Two parallel series of experiments were carried out at Dalhousie University (Lab 1) and at Polytechnic of Turin (Lab 2) using the same olive pomace sample, according to slightly different experimental procedures. Olive pomace dust explosibility and flammability parameters were measured: minimum ignition energy (MIE), minimum ignition temperature (MIT), maximum pressure rise rate ((dP/dt)max and KSt), maximum pressure (Pmax), and minimum explosible concentration (MEC). Moreover, the chemical and physical characterization of olive pomace was carried out: moisture content, particle size analysis, Scanning Electronic Microscope (SEM) investigation, thermo-gravimetric analysis (TGA), solid-state Nuclear Magnetic Resonance (NMR), mass spectrometry, calorific value, and bulk density estimation. Different thermal behaviors were observed according to the sieving/grinding pre-treatment. As concern flammability tests, samples seemed not to be sensitive to electric arc ignition (a value of MIE could not be measured), while coarser samples demonstrated higher ignition sensitivity to hot environment sources (MIT furnace) than finer ones. On the other hand, explosion violence parameters were enhanced by decreasing the particle size, while peak pressures were significantly influenced by the heat of combustion and the moisture content. Finally, a new test was developed to quantify the propensity of the raw material to produce fines by abrasion. It is defined “Abrasion by Rolling Test” (ART). The properties of the fines produced were measured as well.","author":[{"dropping-particle":"","family":"Pietraccini","given":"Matteo","non-dropping-particle":"","parse-names":false,"suffix":""},{"dropping-particle":"","family":"Danzi","given":"Enrico","non-dropping-particle":"","parse-names":false,"suffix":""},{"dropping-particle":"","family":"Marmo","given":"Luca","non-dropping-particle":"","parse-names":false,"suffix":""},{"dropping-particle":"","family":"Addo","given":"Albert","non-dropping-particle":"","parse-names":false,"suffix":""},{"dropping-particle":"","family":"Amyotte","given":"Paul","non-dropping-particle":"","parse-names":false,"suffix":""}],"container-title":"Journal of Loss Prevention in the Process Industries","id":"ITEM-1","issued":{"date-parts":[["2021"]]},"page":"104423","title":"Effect of particle size distribution, drying and milling technique on explosibility behavior of olive pomace waste","type":"article-journal","volume":"71"},"uris":["http://www.mendeley.com/documents/?uuid=15688500-ed2f-4ca9-be97-f4bf56a59d8a"]}],"mendeley":{"formattedCitation":"[120]","plainTextFormattedCitation":"[120]","previouslyFormattedCitation":"[120]"},"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[120]</w:t>
            </w:r>
            <w:r w:rsidRPr="005A7A0A">
              <w:rPr>
                <w:color w:val="auto"/>
                <w:sz w:val="18"/>
                <w:szCs w:val="18"/>
                <w:lang w:eastAsia="en-GB" w:bidi="ar-SA"/>
              </w:rPr>
              <w:fldChar w:fldCharType="end"/>
            </w:r>
          </w:p>
        </w:tc>
      </w:tr>
      <w:tr w:rsidR="005A7A0A" w:rsidRPr="005A7A0A" w14:paraId="79B9F92F" w14:textId="7C9A0963"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2C1DF7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28</w:t>
            </w:r>
          </w:p>
        </w:tc>
        <w:tc>
          <w:tcPr>
            <w:tcW w:w="4204" w:type="dxa"/>
            <w:tcBorders>
              <w:top w:val="nil"/>
              <w:left w:val="nil"/>
              <w:bottom w:val="single" w:sz="4" w:space="0" w:color="auto"/>
              <w:right w:val="single" w:sz="4" w:space="0" w:color="auto"/>
            </w:tcBorders>
            <w:shd w:val="clear" w:color="auto" w:fill="auto"/>
            <w:noWrap/>
            <w:vAlign w:val="center"/>
            <w:hideMark/>
          </w:tcPr>
          <w:p w14:paraId="52A6C82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Olive pomace pellets, fraction 75-45 μm</w:t>
            </w:r>
          </w:p>
        </w:tc>
        <w:tc>
          <w:tcPr>
            <w:tcW w:w="1055" w:type="dxa"/>
            <w:tcBorders>
              <w:top w:val="nil"/>
              <w:left w:val="nil"/>
              <w:bottom w:val="single" w:sz="4" w:space="0" w:color="auto"/>
              <w:right w:val="single" w:sz="4" w:space="0" w:color="auto"/>
            </w:tcBorders>
            <w:shd w:val="clear" w:color="auto" w:fill="auto"/>
            <w:noWrap/>
            <w:vAlign w:val="bottom"/>
          </w:tcPr>
          <w:p w14:paraId="635A280F" w14:textId="0D5877C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7.8</w:t>
            </w:r>
          </w:p>
        </w:tc>
        <w:tc>
          <w:tcPr>
            <w:tcW w:w="1006" w:type="dxa"/>
            <w:tcBorders>
              <w:top w:val="nil"/>
              <w:left w:val="nil"/>
              <w:bottom w:val="single" w:sz="4" w:space="0" w:color="auto"/>
              <w:right w:val="single" w:sz="4" w:space="0" w:color="auto"/>
            </w:tcBorders>
            <w:shd w:val="clear" w:color="auto" w:fill="auto"/>
            <w:noWrap/>
            <w:vAlign w:val="bottom"/>
          </w:tcPr>
          <w:p w14:paraId="14BFACC1" w14:textId="7F0FAB1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70.0</w:t>
            </w:r>
          </w:p>
        </w:tc>
        <w:tc>
          <w:tcPr>
            <w:tcW w:w="1335" w:type="dxa"/>
            <w:tcBorders>
              <w:top w:val="nil"/>
              <w:left w:val="nil"/>
              <w:bottom w:val="single" w:sz="4" w:space="0" w:color="auto"/>
              <w:right w:val="single" w:sz="4" w:space="0" w:color="auto"/>
            </w:tcBorders>
            <w:shd w:val="clear" w:color="auto" w:fill="auto"/>
            <w:noWrap/>
            <w:vAlign w:val="bottom"/>
          </w:tcPr>
          <w:p w14:paraId="185331C5" w14:textId="6710848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258.0</w:t>
            </w:r>
          </w:p>
        </w:tc>
        <w:tc>
          <w:tcPr>
            <w:tcW w:w="931" w:type="dxa"/>
            <w:tcBorders>
              <w:top w:val="nil"/>
              <w:left w:val="nil"/>
              <w:bottom w:val="single" w:sz="4" w:space="0" w:color="auto"/>
              <w:right w:val="single" w:sz="4" w:space="0" w:color="auto"/>
            </w:tcBorders>
            <w:shd w:val="clear" w:color="auto" w:fill="auto"/>
            <w:noWrap/>
            <w:vAlign w:val="bottom"/>
          </w:tcPr>
          <w:p w14:paraId="4AA91B3F" w14:textId="6FBA9DC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&gt;1000</w:t>
            </w:r>
          </w:p>
        </w:tc>
        <w:tc>
          <w:tcPr>
            <w:tcW w:w="992" w:type="dxa"/>
            <w:tcBorders>
              <w:top w:val="nil"/>
              <w:left w:val="nil"/>
              <w:bottom w:val="single" w:sz="4" w:space="0" w:color="auto"/>
              <w:right w:val="single" w:sz="4" w:space="0" w:color="auto"/>
            </w:tcBorders>
            <w:shd w:val="clear" w:color="auto" w:fill="auto"/>
            <w:noWrap/>
            <w:vAlign w:val="bottom"/>
          </w:tcPr>
          <w:p w14:paraId="54872111" w14:textId="23D0A7F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540</w:t>
            </w:r>
          </w:p>
        </w:tc>
        <w:tc>
          <w:tcPr>
            <w:tcW w:w="1134" w:type="dxa"/>
            <w:tcBorders>
              <w:top w:val="nil"/>
              <w:left w:val="nil"/>
              <w:bottom w:val="single" w:sz="4" w:space="0" w:color="auto"/>
              <w:right w:val="single" w:sz="4" w:space="0" w:color="auto"/>
            </w:tcBorders>
            <w:shd w:val="clear" w:color="auto" w:fill="auto"/>
            <w:noWrap/>
            <w:vAlign w:val="bottom"/>
          </w:tcPr>
          <w:p w14:paraId="5F0C7991" w14:textId="3831AB2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7CA09B32" w14:textId="647F740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100</w:t>
            </w:r>
          </w:p>
        </w:tc>
        <w:tc>
          <w:tcPr>
            <w:tcW w:w="709" w:type="dxa"/>
            <w:tcBorders>
              <w:top w:val="single" w:sz="4" w:space="0" w:color="auto"/>
              <w:left w:val="nil"/>
              <w:bottom w:val="single" w:sz="4" w:space="0" w:color="auto"/>
              <w:right w:val="single" w:sz="4" w:space="0" w:color="auto"/>
            </w:tcBorders>
            <w:vAlign w:val="bottom"/>
          </w:tcPr>
          <w:p w14:paraId="261217B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6DB020C" w14:textId="1F6FFB8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{"citationItems":[{"id":"ITEM-1","itemData":{"DOI":"10.1016/j.jlp.2021.104423","ISSN":"0950-4230","abstract":"The Mediterranean area is responsible for about 98% of the olive oil worldwide production, with 900 million olive trees occupying 10 million hectares. However, the processing of 100 kg of olives leads to the production of 40 kg of wastes, mainly constituted by olive pomace, which is potentially recoverable as energetic or material source. In general, in the past 20 years, the exploitation of olive pomace has increased, but along with it, the need for further information about its chemical-physical characterization and the related hazard in industry. Thus, a risk analysis assessment was conducted. When pelletized or in chunks, olive pomace does not pose any greater hazard than a pile of woody material, but when pulverized, it might become dangerous. Two parallel series of experiments were carried out at Dalhousie University (Lab 1) and at Polytechnic of Turin (Lab 2) using the same olive pomace sample, according to slightly different experimental procedures. Olive pomace dust explosibility and flammability parameters were measured: minimum ignition energy (MIE), minimum ignition temperature (MIT), maximum pressure rise rate ((dP/dt)max and KSt), maximum pressure (Pmax), and minimum explosible concentration (MEC). Moreover, the chemical and physical characterization of olive pomace was carried out: moisture content, particle size analysis, Scanning Electronic Microscope (SEM) investigation, thermo-gravimetric analysis (TGA), solid-state Nuclear Magnetic Resonance (NMR), mass spectrometry, calorific value, and bulk density estimation. Different thermal behaviors were observed according to the sieving/grinding pre-treatment. As concern flammability tests, samples seemed not to be sensitive to electric arc ignition (a value of MIE could not be measured), while coarser samples demonstrated higher ignition sensitivity to hot environment sources (MIT furnace) than finer ones. On the other hand, explosion violence parameters were enhanced by decreasing the particle size, while peak pressures were significantly influenced by the heat of combustion and the moisture content. Finally, a new test was developed to quantify the propensity of the raw material to produce fines by abrasion. It is defined “Abrasion by Rolling Test” (ART). The properties of the fines produced were measured as well.","author":[{"dropping-particle":"","family":"Pietraccini","given":"Matteo","non-dropping-particle":"","parse-names":false,"suffix":""},{"dropping-particle":"","family":"Danzi","given":"Enrico","non-dropping-particle":"","parse-names":false,"suffix":""},{"dropping-particle":"","family":"Marmo","given":"Luca","non-dropping-particle":"","parse-names":false,"suffix":""},{"dropping-particle":"","family":"Addo","given":"Albert","non-dropping-particle":"","parse-names":false,"suffix":""},{"dropping-particle":"","family":"Amyotte","given":"Paul","non-dropping-particle":"","parse-names":false,"suffix":""}],"container-title":"Journal of Loss Prevention in the Process Industries","id":"ITEM-1","issued":{"date-parts":[["2021"]]},"page":"104423","title":"Effect of particle size distribution, drying and milling technique on explosibility behavior of olive pomace waste","type":"article-journal","volume":"71"},"uris":["http://www.mendeley.com/documents/?uuid=15688500-ed2f-4ca9-be97-f4bf56a59d8a"]}],"mendeley":{"formattedCitation":"[120]","plainTextFormattedCitation":"[120]","previouslyFormattedCitation":"[120]"},"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[120]</w:t>
            </w:r>
            <w:r w:rsidRPr="005A7A0A">
              <w:rPr>
                <w:color w:val="auto"/>
                <w:sz w:val="18"/>
                <w:szCs w:val="18"/>
                <w:lang w:eastAsia="en-GB" w:bidi="ar-SA"/>
              </w:rPr>
              <w:fldChar w:fldCharType="end"/>
            </w:r>
          </w:p>
        </w:tc>
      </w:tr>
      <w:tr w:rsidR="005A7A0A" w:rsidRPr="005A7A0A" w14:paraId="0E23B0D4" w14:textId="5884A9A5"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E9973E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29</w:t>
            </w:r>
          </w:p>
        </w:tc>
        <w:tc>
          <w:tcPr>
            <w:tcW w:w="4204" w:type="dxa"/>
            <w:tcBorders>
              <w:top w:val="nil"/>
              <w:left w:val="nil"/>
              <w:bottom w:val="single" w:sz="4" w:space="0" w:color="auto"/>
              <w:right w:val="single" w:sz="4" w:space="0" w:color="auto"/>
            </w:tcBorders>
            <w:shd w:val="clear" w:color="auto" w:fill="auto"/>
            <w:noWrap/>
            <w:vAlign w:val="center"/>
            <w:hideMark/>
          </w:tcPr>
          <w:p w14:paraId="1000AAF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Orange peel</w:t>
            </w:r>
          </w:p>
        </w:tc>
        <w:tc>
          <w:tcPr>
            <w:tcW w:w="1055" w:type="dxa"/>
            <w:tcBorders>
              <w:top w:val="nil"/>
              <w:left w:val="nil"/>
              <w:bottom w:val="single" w:sz="4" w:space="0" w:color="auto"/>
              <w:right w:val="single" w:sz="4" w:space="0" w:color="auto"/>
            </w:tcBorders>
            <w:shd w:val="clear" w:color="auto" w:fill="auto"/>
            <w:noWrap/>
            <w:vAlign w:val="bottom"/>
          </w:tcPr>
          <w:p w14:paraId="04AB2F7B" w14:textId="02A4CF2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7.3</w:t>
            </w:r>
          </w:p>
        </w:tc>
        <w:tc>
          <w:tcPr>
            <w:tcW w:w="1006" w:type="dxa"/>
            <w:tcBorders>
              <w:top w:val="nil"/>
              <w:left w:val="nil"/>
              <w:bottom w:val="single" w:sz="4" w:space="0" w:color="auto"/>
              <w:right w:val="single" w:sz="4" w:space="0" w:color="auto"/>
            </w:tcBorders>
            <w:shd w:val="clear" w:color="auto" w:fill="auto"/>
            <w:noWrap/>
            <w:vAlign w:val="bottom"/>
          </w:tcPr>
          <w:p w14:paraId="3649372F" w14:textId="4951B66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127.0</w:t>
            </w:r>
          </w:p>
        </w:tc>
        <w:tc>
          <w:tcPr>
            <w:tcW w:w="1335" w:type="dxa"/>
            <w:tcBorders>
              <w:top w:val="nil"/>
              <w:left w:val="nil"/>
              <w:bottom w:val="single" w:sz="4" w:space="0" w:color="auto"/>
              <w:right w:val="single" w:sz="4" w:space="0" w:color="auto"/>
            </w:tcBorders>
            <w:shd w:val="clear" w:color="auto" w:fill="auto"/>
            <w:noWrap/>
            <w:vAlign w:val="bottom"/>
          </w:tcPr>
          <w:p w14:paraId="31D6D413" w14:textId="6004AE0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469.0</w:t>
            </w:r>
          </w:p>
        </w:tc>
        <w:tc>
          <w:tcPr>
            <w:tcW w:w="931" w:type="dxa"/>
            <w:tcBorders>
              <w:top w:val="nil"/>
              <w:left w:val="nil"/>
              <w:bottom w:val="single" w:sz="4" w:space="0" w:color="auto"/>
              <w:right w:val="single" w:sz="4" w:space="0" w:color="auto"/>
            </w:tcBorders>
            <w:shd w:val="clear" w:color="auto" w:fill="auto"/>
            <w:noWrap/>
            <w:vAlign w:val="bottom"/>
          </w:tcPr>
          <w:p w14:paraId="1992BA1E" w14:textId="42E3281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1000</w:t>
            </w:r>
          </w:p>
        </w:tc>
        <w:tc>
          <w:tcPr>
            <w:tcW w:w="992" w:type="dxa"/>
            <w:tcBorders>
              <w:top w:val="nil"/>
              <w:left w:val="nil"/>
              <w:bottom w:val="single" w:sz="4" w:space="0" w:color="auto"/>
              <w:right w:val="single" w:sz="4" w:space="0" w:color="auto"/>
            </w:tcBorders>
            <w:shd w:val="clear" w:color="auto" w:fill="auto"/>
            <w:noWrap/>
            <w:vAlign w:val="bottom"/>
          </w:tcPr>
          <w:p w14:paraId="2CFAC2E1" w14:textId="6ED3952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w:t>
            </w:r>
          </w:p>
        </w:tc>
        <w:tc>
          <w:tcPr>
            <w:tcW w:w="1134" w:type="dxa"/>
            <w:tcBorders>
              <w:top w:val="nil"/>
              <w:left w:val="nil"/>
              <w:bottom w:val="single" w:sz="4" w:space="0" w:color="auto"/>
              <w:right w:val="single" w:sz="4" w:space="0" w:color="auto"/>
            </w:tcBorders>
            <w:shd w:val="clear" w:color="auto" w:fill="auto"/>
            <w:noWrap/>
            <w:vAlign w:val="bottom"/>
          </w:tcPr>
          <w:p w14:paraId="2B12EB23" w14:textId="4C6DB0C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440</w:t>
            </w:r>
          </w:p>
        </w:tc>
        <w:tc>
          <w:tcPr>
            <w:tcW w:w="851" w:type="dxa"/>
            <w:tcBorders>
              <w:top w:val="nil"/>
              <w:left w:val="nil"/>
              <w:bottom w:val="single" w:sz="4" w:space="0" w:color="auto"/>
              <w:right w:val="single" w:sz="4" w:space="0" w:color="auto"/>
            </w:tcBorders>
            <w:shd w:val="clear" w:color="auto" w:fill="auto"/>
            <w:noWrap/>
            <w:vAlign w:val="bottom"/>
          </w:tcPr>
          <w:p w14:paraId="0FD35670" w14:textId="2723CBB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125</w:t>
            </w:r>
          </w:p>
        </w:tc>
        <w:tc>
          <w:tcPr>
            <w:tcW w:w="709" w:type="dxa"/>
            <w:tcBorders>
              <w:top w:val="single" w:sz="4" w:space="0" w:color="auto"/>
              <w:left w:val="nil"/>
              <w:bottom w:val="single" w:sz="4" w:space="0" w:color="auto"/>
              <w:right w:val="single" w:sz="4" w:space="0" w:color="auto"/>
            </w:tcBorders>
            <w:vAlign w:val="bottom"/>
          </w:tcPr>
          <w:p w14:paraId="4BB20C39"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9AECB40" w14:textId="1F24392C"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w:instrText>
            </w:r>
            <w:r w:rsidRPr="005A7A0A">
              <w:rPr>
                <w:color w:val="auto"/>
                <w:sz w:val="18"/>
                <w:szCs w:val="18"/>
                <w:lang w:val="it-IT" w:eastAsia="en-GB" w:bidi="ar-SA"/>
              </w:rPr>
              <w:instrText>":{"DOI":"10.1016/j.fuel.2016.07.045","ISSN":"00162361","abstract":"Biomasses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[142]</w:t>
            </w:r>
            <w:r w:rsidRPr="005A7A0A">
              <w:rPr>
                <w:color w:val="auto"/>
                <w:sz w:val="18"/>
                <w:szCs w:val="18"/>
                <w:lang w:eastAsia="en-GB" w:bidi="ar-SA"/>
              </w:rPr>
              <w:fldChar w:fldCharType="end"/>
            </w:r>
          </w:p>
        </w:tc>
      </w:tr>
      <w:tr w:rsidR="005A7A0A" w:rsidRPr="005A7A0A" w14:paraId="5F5CB0B8" w14:textId="167960D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A4380B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w:t>
            </w:r>
          </w:p>
        </w:tc>
        <w:tc>
          <w:tcPr>
            <w:tcW w:w="4204" w:type="dxa"/>
            <w:tcBorders>
              <w:top w:val="nil"/>
              <w:left w:val="nil"/>
              <w:bottom w:val="single" w:sz="4" w:space="0" w:color="auto"/>
              <w:right w:val="single" w:sz="4" w:space="0" w:color="auto"/>
            </w:tcBorders>
            <w:shd w:val="clear" w:color="auto" w:fill="auto"/>
            <w:noWrap/>
            <w:vAlign w:val="center"/>
            <w:hideMark/>
          </w:tcPr>
          <w:p w14:paraId="5AACF1A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Peanut shell, fraction &lt; 500 μm</w:t>
            </w:r>
          </w:p>
        </w:tc>
        <w:tc>
          <w:tcPr>
            <w:tcW w:w="1055" w:type="dxa"/>
            <w:tcBorders>
              <w:top w:val="nil"/>
              <w:left w:val="nil"/>
              <w:bottom w:val="single" w:sz="4" w:space="0" w:color="auto"/>
              <w:right w:val="single" w:sz="4" w:space="0" w:color="auto"/>
            </w:tcBorders>
            <w:shd w:val="clear" w:color="auto" w:fill="auto"/>
            <w:noWrap/>
            <w:vAlign w:val="bottom"/>
          </w:tcPr>
          <w:p w14:paraId="37C0387D" w14:textId="0B15E62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7.1</w:t>
            </w:r>
          </w:p>
        </w:tc>
        <w:tc>
          <w:tcPr>
            <w:tcW w:w="1006" w:type="dxa"/>
            <w:tcBorders>
              <w:top w:val="nil"/>
              <w:left w:val="nil"/>
              <w:bottom w:val="single" w:sz="4" w:space="0" w:color="auto"/>
              <w:right w:val="single" w:sz="4" w:space="0" w:color="auto"/>
            </w:tcBorders>
            <w:shd w:val="clear" w:color="auto" w:fill="auto"/>
            <w:noWrap/>
            <w:vAlign w:val="bottom"/>
          </w:tcPr>
          <w:p w14:paraId="6443E78E" w14:textId="1E6EABC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25.0</w:t>
            </w:r>
          </w:p>
        </w:tc>
        <w:tc>
          <w:tcPr>
            <w:tcW w:w="1335" w:type="dxa"/>
            <w:tcBorders>
              <w:top w:val="nil"/>
              <w:left w:val="nil"/>
              <w:bottom w:val="single" w:sz="4" w:space="0" w:color="auto"/>
              <w:right w:val="single" w:sz="4" w:space="0" w:color="auto"/>
            </w:tcBorders>
            <w:shd w:val="clear" w:color="auto" w:fill="auto"/>
            <w:noWrap/>
            <w:vAlign w:val="bottom"/>
          </w:tcPr>
          <w:p w14:paraId="1C170BC1" w14:textId="6F4B89A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92.1</w:t>
            </w:r>
          </w:p>
        </w:tc>
        <w:tc>
          <w:tcPr>
            <w:tcW w:w="931" w:type="dxa"/>
            <w:tcBorders>
              <w:top w:val="nil"/>
              <w:left w:val="nil"/>
              <w:bottom w:val="single" w:sz="4" w:space="0" w:color="auto"/>
              <w:right w:val="single" w:sz="4" w:space="0" w:color="auto"/>
            </w:tcBorders>
            <w:shd w:val="clear" w:color="auto" w:fill="auto"/>
            <w:noWrap/>
            <w:vAlign w:val="bottom"/>
          </w:tcPr>
          <w:p w14:paraId="3B2AA46F" w14:textId="6B6CA78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DF30E70" w14:textId="6446CBB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207DCFE8" w14:textId="72910DD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159DBC71" w14:textId="3539F30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0.85</w:t>
            </w:r>
            <w:r w:rsidRPr="005A7A0A">
              <w:rPr>
                <w:color w:val="auto"/>
                <w:vertAlign w:val="superscript"/>
              </w:rPr>
              <w:t xml:space="preserve"> </w:t>
            </w:r>
            <w:r w:rsidR="00DC6265" w:rsidRPr="005A7A0A">
              <w:rPr>
                <w:color w:val="auto"/>
                <w:vertAlign w:val="superscript"/>
              </w:rPr>
              <w:t>e</w:t>
            </w:r>
          </w:p>
        </w:tc>
        <w:tc>
          <w:tcPr>
            <w:tcW w:w="709" w:type="dxa"/>
            <w:tcBorders>
              <w:top w:val="single" w:sz="4" w:space="0" w:color="auto"/>
              <w:left w:val="nil"/>
              <w:bottom w:val="single" w:sz="4" w:space="0" w:color="auto"/>
              <w:right w:val="single" w:sz="4" w:space="0" w:color="auto"/>
            </w:tcBorders>
            <w:vAlign w:val="bottom"/>
          </w:tcPr>
          <w:p w14:paraId="7626F85A"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0B27635" w14:textId="088BCC3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{"citationItems":[{"id":"ITEM-1","itemData":{"DOI":"10.1016/J.JLP.2017.03.027","ISSN":"0950-4230","abstract":"Power generation using waste material from the processing of agricultural crops can be a viable biomass energy source. However, there is scant data on their burning properties and this work presents flame speed and explosibility data for two agricultural waste materials: corn cobs (CC) and peanut shells (PS). The parameters were measured on the modified 1 m3 dust explosion equipment. Two coarse size fractions of corn cobs and peanut shells of size less than 500 μm were tested using the Leeds 1 m3 vessel and were compared with two pulverized coal samples. This is typical of the size fraction used in pulverized coal power stations and of pulverized biomass currently used in power generation. The explosion parameters minimum explosible concentration (MEC), rate of pressure rise (dP/dt), deflagration index (Kst), peak to initial pressure rise (Pm/Pi), turbulent and laminar flame speeds were determined using a calibrated hemispherical disperser in the 1 m3 vessel. MEC were measured in the range of 0.6–0.85 (based on 0% ignition probability) in terms of burnt equivalence ratio, Øburnt, which were comparable to the coal samples. The measured Kst (25–60 bar m/s) and turbulent flame speeds (</w:instrText>
            </w:r>
            <w:r w:rsidRPr="005A7A0A">
              <w:rPr>
                <w:rFonts w:ascii="Cambria Math" w:hAnsi="Cambria Math" w:cs="Cambria Math"/>
                <w:color w:val="auto"/>
                <w:sz w:val="18"/>
                <w:szCs w:val="18"/>
                <w:lang w:eastAsia="en-GB" w:bidi="ar-SA"/>
              </w:rPr>
              <w:instrText>∼</w:instrText>
            </w:r>
            <w:r w:rsidRPr="005A7A0A">
              <w:rPr>
                <w:color w:val="auto"/>
                <w:sz w:val="18"/>
                <w:szCs w:val="18"/>
                <w:lang w:eastAsia="en-GB" w:bidi="ar-SA"/>
              </w:rPr>
              <w:instrText>1.3 m/s) were lower than for coal, which was a reflection of the lower calorific value. These results showed that these crop residues are technically feasible power plant fuels to burn alongside coal or as a renewable biofuel on their own.","author":[{"dropping-particle":"","family":"Saeed","given":"Muhammad Azam","non-dropping-particle":"","parse-names":false,"suffix":""},{"dropping-particle":"","family":"Andrews","given":"Gordon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Loss Prevention in the Process Industries","id":"ITEM-1","issued":{"date-parts":[["2017","9","1"]]},"page":"880-887","publisher":"Elsevier","title":"Flame speed and Kst reactivity data for pulverised corn cobs and peanut shells","type":"article-journal","volume":"49"},"uris":["http://www.mendeley.com/documents/?uuid=5e4e6052-43cb-3b29-9e3b-dedf6394b7ea"]}],"mendeley":{"formattedCitation":"[107]","plainTextFormattedCitation":"[107]","previouslyFormattedCitation":"[107]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[107]</w:t>
            </w:r>
            <w:r w:rsidRPr="005A7A0A">
              <w:rPr>
                <w:color w:val="auto"/>
                <w:sz w:val="18"/>
                <w:szCs w:val="18"/>
                <w:lang w:eastAsia="en-GB" w:bidi="ar-SA"/>
              </w:rPr>
              <w:fldChar w:fldCharType="end"/>
            </w:r>
          </w:p>
        </w:tc>
      </w:tr>
      <w:tr w:rsidR="005A7A0A" w:rsidRPr="005A7A0A" w14:paraId="1FEE5508" w14:textId="01BA5BE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1F465A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31</w:t>
            </w:r>
          </w:p>
        </w:tc>
        <w:tc>
          <w:tcPr>
            <w:tcW w:w="4204" w:type="dxa"/>
            <w:tcBorders>
              <w:top w:val="nil"/>
              <w:left w:val="nil"/>
              <w:bottom w:val="single" w:sz="4" w:space="0" w:color="auto"/>
              <w:right w:val="single" w:sz="4" w:space="0" w:color="auto"/>
            </w:tcBorders>
            <w:shd w:val="clear" w:color="auto" w:fill="auto"/>
            <w:noWrap/>
            <w:vAlign w:val="center"/>
            <w:hideMark/>
          </w:tcPr>
          <w:p w14:paraId="17ED67B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Pine</w:t>
            </w:r>
          </w:p>
        </w:tc>
        <w:tc>
          <w:tcPr>
            <w:tcW w:w="1055" w:type="dxa"/>
            <w:tcBorders>
              <w:top w:val="nil"/>
              <w:left w:val="nil"/>
              <w:bottom w:val="single" w:sz="4" w:space="0" w:color="auto"/>
              <w:right w:val="single" w:sz="4" w:space="0" w:color="auto"/>
            </w:tcBorders>
            <w:shd w:val="clear" w:color="auto" w:fill="auto"/>
            <w:noWrap/>
            <w:vAlign w:val="bottom"/>
          </w:tcPr>
          <w:p w14:paraId="09B12829" w14:textId="497642E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6C5E725A" w14:textId="2F52C43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7E55CF24" w14:textId="082AB97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3CF8A060" w14:textId="0C5E364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37</w:t>
            </w:r>
          </w:p>
        </w:tc>
        <w:tc>
          <w:tcPr>
            <w:tcW w:w="992" w:type="dxa"/>
            <w:tcBorders>
              <w:top w:val="nil"/>
              <w:left w:val="nil"/>
              <w:bottom w:val="single" w:sz="4" w:space="0" w:color="auto"/>
              <w:right w:val="single" w:sz="4" w:space="0" w:color="auto"/>
            </w:tcBorders>
            <w:shd w:val="clear" w:color="auto" w:fill="auto"/>
            <w:noWrap/>
            <w:vAlign w:val="bottom"/>
          </w:tcPr>
          <w:p w14:paraId="292D45F0" w14:textId="16EAFDD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8E0D178" w14:textId="452C888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73D0B4CB" w14:textId="263A96C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0.4</w:t>
            </w:r>
            <w:r w:rsidRPr="005A7A0A">
              <w:rPr>
                <w:color w:val="auto"/>
                <w:vertAlign w:val="superscript"/>
              </w:rPr>
              <w:t xml:space="preserve"> </w:t>
            </w:r>
            <w:r w:rsidR="00DC6265" w:rsidRPr="005A7A0A">
              <w:rPr>
                <w:color w:val="auto"/>
                <w:vertAlign w:val="superscript"/>
              </w:rPr>
              <w:t>f</w:t>
            </w:r>
          </w:p>
        </w:tc>
        <w:tc>
          <w:tcPr>
            <w:tcW w:w="709" w:type="dxa"/>
            <w:tcBorders>
              <w:top w:val="single" w:sz="4" w:space="0" w:color="auto"/>
              <w:left w:val="nil"/>
              <w:bottom w:val="single" w:sz="4" w:space="0" w:color="auto"/>
              <w:right w:val="single" w:sz="4" w:space="0" w:color="auto"/>
            </w:tcBorders>
            <w:vAlign w:val="bottom"/>
          </w:tcPr>
          <w:p w14:paraId="753A3E0A"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2A3A559" w14:textId="50129DB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[106]</w:t>
            </w:r>
            <w:r w:rsidRPr="005A7A0A">
              <w:rPr>
                <w:color w:val="auto"/>
                <w:sz w:val="18"/>
                <w:szCs w:val="18"/>
                <w:lang w:eastAsia="en-GB" w:bidi="ar-SA"/>
              </w:rPr>
              <w:fldChar w:fldCharType="end"/>
            </w:r>
          </w:p>
        </w:tc>
      </w:tr>
      <w:tr w:rsidR="005A7A0A" w:rsidRPr="005A7A0A" w14:paraId="166A17BA" w14:textId="4FA32722"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540CE5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w:t>
            </w:r>
          </w:p>
        </w:tc>
        <w:tc>
          <w:tcPr>
            <w:tcW w:w="4204" w:type="dxa"/>
            <w:tcBorders>
              <w:top w:val="nil"/>
              <w:left w:val="nil"/>
              <w:bottom w:val="single" w:sz="4" w:space="0" w:color="auto"/>
              <w:right w:val="single" w:sz="4" w:space="0" w:color="auto"/>
            </w:tcBorders>
            <w:shd w:val="clear" w:color="auto" w:fill="auto"/>
            <w:noWrap/>
            <w:vAlign w:val="center"/>
            <w:hideMark/>
          </w:tcPr>
          <w:p w14:paraId="7239203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Pine cone</w:t>
            </w:r>
          </w:p>
        </w:tc>
        <w:tc>
          <w:tcPr>
            <w:tcW w:w="1055" w:type="dxa"/>
            <w:tcBorders>
              <w:top w:val="nil"/>
              <w:left w:val="nil"/>
              <w:bottom w:val="single" w:sz="4" w:space="0" w:color="auto"/>
              <w:right w:val="single" w:sz="4" w:space="0" w:color="auto"/>
            </w:tcBorders>
            <w:shd w:val="clear" w:color="auto" w:fill="auto"/>
            <w:noWrap/>
            <w:vAlign w:val="bottom"/>
          </w:tcPr>
          <w:p w14:paraId="1496EAA7" w14:textId="1F583EA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7.1</w:t>
            </w:r>
          </w:p>
        </w:tc>
        <w:tc>
          <w:tcPr>
            <w:tcW w:w="1006" w:type="dxa"/>
            <w:tcBorders>
              <w:top w:val="nil"/>
              <w:left w:val="nil"/>
              <w:bottom w:val="single" w:sz="4" w:space="0" w:color="auto"/>
              <w:right w:val="single" w:sz="4" w:space="0" w:color="auto"/>
            </w:tcBorders>
            <w:shd w:val="clear" w:color="auto" w:fill="auto"/>
            <w:noWrap/>
            <w:vAlign w:val="bottom"/>
          </w:tcPr>
          <w:p w14:paraId="7CB4D385" w14:textId="748E37E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143.0</w:t>
            </w:r>
          </w:p>
        </w:tc>
        <w:tc>
          <w:tcPr>
            <w:tcW w:w="1335" w:type="dxa"/>
            <w:tcBorders>
              <w:top w:val="nil"/>
              <w:left w:val="nil"/>
              <w:bottom w:val="single" w:sz="4" w:space="0" w:color="auto"/>
              <w:right w:val="single" w:sz="4" w:space="0" w:color="auto"/>
            </w:tcBorders>
            <w:shd w:val="clear" w:color="auto" w:fill="auto"/>
            <w:noWrap/>
            <w:vAlign w:val="bottom"/>
          </w:tcPr>
          <w:p w14:paraId="402380C4" w14:textId="1BB0C26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527.0</w:t>
            </w:r>
          </w:p>
        </w:tc>
        <w:tc>
          <w:tcPr>
            <w:tcW w:w="931" w:type="dxa"/>
            <w:tcBorders>
              <w:top w:val="nil"/>
              <w:left w:val="nil"/>
              <w:bottom w:val="single" w:sz="4" w:space="0" w:color="auto"/>
              <w:right w:val="single" w:sz="4" w:space="0" w:color="auto"/>
            </w:tcBorders>
            <w:shd w:val="clear" w:color="auto" w:fill="auto"/>
            <w:noWrap/>
            <w:vAlign w:val="bottom"/>
          </w:tcPr>
          <w:p w14:paraId="2D0FA4F6" w14:textId="3C1D024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260</w:t>
            </w:r>
          </w:p>
        </w:tc>
        <w:tc>
          <w:tcPr>
            <w:tcW w:w="992" w:type="dxa"/>
            <w:tcBorders>
              <w:top w:val="nil"/>
              <w:left w:val="nil"/>
              <w:bottom w:val="single" w:sz="4" w:space="0" w:color="auto"/>
              <w:right w:val="single" w:sz="4" w:space="0" w:color="auto"/>
            </w:tcBorders>
            <w:shd w:val="clear" w:color="auto" w:fill="auto"/>
            <w:noWrap/>
            <w:vAlign w:val="bottom"/>
          </w:tcPr>
          <w:p w14:paraId="4C384F54" w14:textId="226F5FA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w:t>
            </w:r>
          </w:p>
        </w:tc>
        <w:tc>
          <w:tcPr>
            <w:tcW w:w="1134" w:type="dxa"/>
            <w:tcBorders>
              <w:top w:val="nil"/>
              <w:left w:val="nil"/>
              <w:bottom w:val="single" w:sz="4" w:space="0" w:color="auto"/>
              <w:right w:val="single" w:sz="4" w:space="0" w:color="auto"/>
            </w:tcBorders>
            <w:shd w:val="clear" w:color="auto" w:fill="auto"/>
            <w:noWrap/>
            <w:vAlign w:val="bottom"/>
          </w:tcPr>
          <w:p w14:paraId="27481AD1" w14:textId="56A4224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380</w:t>
            </w:r>
          </w:p>
        </w:tc>
        <w:tc>
          <w:tcPr>
            <w:tcW w:w="851" w:type="dxa"/>
            <w:tcBorders>
              <w:top w:val="nil"/>
              <w:left w:val="nil"/>
              <w:bottom w:val="single" w:sz="4" w:space="0" w:color="auto"/>
              <w:right w:val="single" w:sz="4" w:space="0" w:color="auto"/>
            </w:tcBorders>
            <w:shd w:val="clear" w:color="auto" w:fill="auto"/>
            <w:noWrap/>
            <w:vAlign w:val="bottom"/>
          </w:tcPr>
          <w:p w14:paraId="14397A7A" w14:textId="71C35E0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709" w:type="dxa"/>
            <w:tcBorders>
              <w:top w:val="single" w:sz="4" w:space="0" w:color="auto"/>
              <w:left w:val="nil"/>
              <w:bottom w:val="single" w:sz="4" w:space="0" w:color="auto"/>
              <w:right w:val="single" w:sz="4" w:space="0" w:color="auto"/>
            </w:tcBorders>
            <w:vAlign w:val="bottom"/>
          </w:tcPr>
          <w:p w14:paraId="5FE335E8"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CA9D822" w14:textId="566AF26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[142]</w:t>
            </w:r>
            <w:r w:rsidRPr="005A7A0A">
              <w:rPr>
                <w:color w:val="auto"/>
                <w:sz w:val="18"/>
                <w:szCs w:val="18"/>
                <w:lang w:eastAsia="en-GB" w:bidi="ar-SA"/>
              </w:rPr>
              <w:fldChar w:fldCharType="end"/>
            </w:r>
          </w:p>
        </w:tc>
      </w:tr>
      <w:tr w:rsidR="005A7A0A" w:rsidRPr="005A7A0A" w14:paraId="5388B77A" w14:textId="305AFC1A"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F1D09C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33</w:t>
            </w:r>
          </w:p>
        </w:tc>
        <w:tc>
          <w:tcPr>
            <w:tcW w:w="4204" w:type="dxa"/>
            <w:tcBorders>
              <w:top w:val="nil"/>
              <w:left w:val="nil"/>
              <w:bottom w:val="single" w:sz="4" w:space="0" w:color="auto"/>
              <w:right w:val="single" w:sz="4" w:space="0" w:color="auto"/>
            </w:tcBorders>
            <w:shd w:val="clear" w:color="auto" w:fill="auto"/>
            <w:noWrap/>
            <w:vAlign w:val="center"/>
            <w:hideMark/>
          </w:tcPr>
          <w:p w14:paraId="180CA42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Pine nut shells</w:t>
            </w:r>
          </w:p>
        </w:tc>
        <w:tc>
          <w:tcPr>
            <w:tcW w:w="1055" w:type="dxa"/>
            <w:tcBorders>
              <w:top w:val="nil"/>
              <w:left w:val="nil"/>
              <w:bottom w:val="single" w:sz="4" w:space="0" w:color="auto"/>
              <w:right w:val="single" w:sz="4" w:space="0" w:color="auto"/>
            </w:tcBorders>
            <w:shd w:val="clear" w:color="auto" w:fill="auto"/>
            <w:noWrap/>
            <w:vAlign w:val="bottom"/>
          </w:tcPr>
          <w:p w14:paraId="38035BD8" w14:textId="54269DE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8.9</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73E72CDB" w14:textId="2ACD69D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61.0</w:t>
            </w:r>
          </w:p>
        </w:tc>
        <w:tc>
          <w:tcPr>
            <w:tcW w:w="1335" w:type="dxa"/>
            <w:tcBorders>
              <w:top w:val="nil"/>
              <w:left w:val="nil"/>
              <w:bottom w:val="single" w:sz="4" w:space="0" w:color="auto"/>
              <w:right w:val="single" w:sz="4" w:space="0" w:color="auto"/>
            </w:tcBorders>
            <w:shd w:val="clear" w:color="auto" w:fill="auto"/>
            <w:noWrap/>
            <w:vAlign w:val="bottom"/>
          </w:tcPr>
          <w:p w14:paraId="06B0C107" w14:textId="3FB563B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224.7</w:t>
            </w:r>
          </w:p>
        </w:tc>
        <w:tc>
          <w:tcPr>
            <w:tcW w:w="931" w:type="dxa"/>
            <w:tcBorders>
              <w:top w:val="nil"/>
              <w:left w:val="nil"/>
              <w:bottom w:val="single" w:sz="4" w:space="0" w:color="auto"/>
              <w:right w:val="single" w:sz="4" w:space="0" w:color="auto"/>
            </w:tcBorders>
            <w:shd w:val="clear" w:color="auto" w:fill="auto"/>
            <w:noWrap/>
            <w:vAlign w:val="bottom"/>
          </w:tcPr>
          <w:p w14:paraId="45E9D992" w14:textId="2296D2E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74CA070" w14:textId="2F8551D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1B3BFD5" w14:textId="622C15D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7D30B5F" w14:textId="504F95D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4006444"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58CCB38" w14:textId="2A97FE38"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{"citationItems":[{"id":"ITEM-1","itemData":{"author":[{"dropping-particle":"","family":"Sattar","given":"Hamed","non-dropping-particle":"","parse-names":false,"suffix":""},{"dropping-particle":"","family":"Phylaktou","given":"Herodotos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M.","non-dropping-particle":"","parse-names":false,"suffix":""}],"container-title":"ISHPMIE","id":"ITEM-1","issued":{"date-parts":[["2012"]]},"publisher-place":"Krakow","title":"Explosions and Flame Propagation in Nut-shell Biomass Powders","type":"paper-conference"},"uris":["http://www.mendeley.com/documents/?uuid=ac2f9135-c048-4366-9ea5-0066f9cbf002"]}],"mendeley":{"formattedCitation":"[109]","plainTextFormattedCitation":"[109]","previouslyFormattedCitation":"[109]"},"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[109]</w:t>
            </w:r>
            <w:r w:rsidRPr="005A7A0A">
              <w:rPr>
                <w:color w:val="auto"/>
                <w:sz w:val="18"/>
                <w:szCs w:val="18"/>
                <w:lang w:eastAsia="en-GB" w:bidi="ar-SA"/>
              </w:rPr>
              <w:fldChar w:fldCharType="end"/>
            </w:r>
          </w:p>
        </w:tc>
      </w:tr>
      <w:tr w:rsidR="005A7A0A" w:rsidRPr="005A7A0A" w14:paraId="4634808C" w14:textId="109648A4"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EF3B4F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34</w:t>
            </w:r>
          </w:p>
        </w:tc>
        <w:tc>
          <w:tcPr>
            <w:tcW w:w="4204" w:type="dxa"/>
            <w:tcBorders>
              <w:top w:val="nil"/>
              <w:left w:val="nil"/>
              <w:bottom w:val="single" w:sz="4" w:space="0" w:color="auto"/>
              <w:right w:val="single" w:sz="4" w:space="0" w:color="auto"/>
            </w:tcBorders>
            <w:shd w:val="clear" w:color="auto" w:fill="auto"/>
            <w:noWrap/>
            <w:vAlign w:val="center"/>
            <w:hideMark/>
          </w:tcPr>
          <w:p w14:paraId="2673167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pine sawdust</w:t>
            </w:r>
          </w:p>
        </w:tc>
        <w:tc>
          <w:tcPr>
            <w:tcW w:w="1055" w:type="dxa"/>
            <w:tcBorders>
              <w:top w:val="nil"/>
              <w:left w:val="nil"/>
              <w:bottom w:val="single" w:sz="4" w:space="0" w:color="auto"/>
              <w:right w:val="single" w:sz="4" w:space="0" w:color="auto"/>
            </w:tcBorders>
            <w:shd w:val="clear" w:color="auto" w:fill="auto"/>
            <w:noWrap/>
            <w:vAlign w:val="bottom"/>
          </w:tcPr>
          <w:p w14:paraId="2830C04C" w14:textId="132633D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w:t>
            </w:r>
          </w:p>
        </w:tc>
        <w:tc>
          <w:tcPr>
            <w:tcW w:w="1006" w:type="dxa"/>
            <w:tcBorders>
              <w:top w:val="nil"/>
              <w:left w:val="nil"/>
              <w:bottom w:val="single" w:sz="4" w:space="0" w:color="auto"/>
              <w:right w:val="single" w:sz="4" w:space="0" w:color="auto"/>
            </w:tcBorders>
            <w:shd w:val="clear" w:color="auto" w:fill="auto"/>
            <w:noWrap/>
            <w:vAlign w:val="bottom"/>
          </w:tcPr>
          <w:p w14:paraId="714DF5E1" w14:textId="48472D9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194.4</w:t>
            </w:r>
          </w:p>
        </w:tc>
        <w:tc>
          <w:tcPr>
            <w:tcW w:w="1335" w:type="dxa"/>
            <w:tcBorders>
              <w:top w:val="nil"/>
              <w:left w:val="nil"/>
              <w:bottom w:val="single" w:sz="4" w:space="0" w:color="auto"/>
              <w:right w:val="single" w:sz="4" w:space="0" w:color="auto"/>
            </w:tcBorders>
            <w:shd w:val="clear" w:color="auto" w:fill="auto"/>
            <w:noWrap/>
            <w:vAlign w:val="bottom"/>
          </w:tcPr>
          <w:p w14:paraId="56DEA383" w14:textId="1611F59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716.3</w:t>
            </w:r>
          </w:p>
        </w:tc>
        <w:tc>
          <w:tcPr>
            <w:tcW w:w="931" w:type="dxa"/>
            <w:tcBorders>
              <w:top w:val="nil"/>
              <w:left w:val="nil"/>
              <w:bottom w:val="single" w:sz="4" w:space="0" w:color="auto"/>
              <w:right w:val="single" w:sz="4" w:space="0" w:color="auto"/>
            </w:tcBorders>
            <w:shd w:val="clear" w:color="auto" w:fill="auto"/>
            <w:noWrap/>
            <w:vAlign w:val="bottom"/>
          </w:tcPr>
          <w:p w14:paraId="3633AC49" w14:textId="0578725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765423C" w14:textId="6D1B7CE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420-430</w:t>
            </w:r>
          </w:p>
        </w:tc>
        <w:tc>
          <w:tcPr>
            <w:tcW w:w="1134" w:type="dxa"/>
            <w:tcBorders>
              <w:top w:val="nil"/>
              <w:left w:val="nil"/>
              <w:bottom w:val="single" w:sz="4" w:space="0" w:color="auto"/>
              <w:right w:val="single" w:sz="4" w:space="0" w:color="auto"/>
            </w:tcBorders>
            <w:shd w:val="clear" w:color="auto" w:fill="auto"/>
            <w:noWrap/>
            <w:vAlign w:val="bottom"/>
          </w:tcPr>
          <w:p w14:paraId="02AAF036" w14:textId="7406876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300-310</w:t>
            </w:r>
          </w:p>
        </w:tc>
        <w:tc>
          <w:tcPr>
            <w:tcW w:w="851" w:type="dxa"/>
            <w:tcBorders>
              <w:top w:val="nil"/>
              <w:left w:val="nil"/>
              <w:bottom w:val="single" w:sz="4" w:space="0" w:color="auto"/>
              <w:right w:val="single" w:sz="4" w:space="0" w:color="auto"/>
            </w:tcBorders>
            <w:shd w:val="clear" w:color="auto" w:fill="auto"/>
            <w:noWrap/>
            <w:vAlign w:val="bottom"/>
          </w:tcPr>
          <w:p w14:paraId="72CDF732" w14:textId="3985B89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110</w:t>
            </w:r>
          </w:p>
        </w:tc>
        <w:tc>
          <w:tcPr>
            <w:tcW w:w="709" w:type="dxa"/>
            <w:tcBorders>
              <w:top w:val="single" w:sz="4" w:space="0" w:color="auto"/>
              <w:left w:val="nil"/>
              <w:bottom w:val="single" w:sz="4" w:space="0" w:color="auto"/>
              <w:right w:val="single" w:sz="4" w:space="0" w:color="auto"/>
            </w:tcBorders>
            <w:vAlign w:val="bottom"/>
          </w:tcPr>
          <w:p w14:paraId="04B7D35C"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C6BDBDC" w14:textId="3E1347D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{"citationItems":[{"id":"ITEM-1","itemData":{"DOI":"10.1016/j.biortech.2019.122168","ISSN":"0960-8524","abstract":"In this study, a 20-L spherical explosion vessel, hot plate apparatus, Godbert-Greenwald furnace apparatus, and TG-FTIR were used to investigate the explosion and combustion characteristics of three biomass dusts: dalbergia cochinchinensis (DC), pine sawdust (PS), and cupressus funebris (CF). DC with lower minimum explosible concentration (70–80 g/m3), larger maximum explosion pressure (0.742 MPa) and larger maximum explosion pressure rise rate (80.14 MPa/s) had the greatest explosion hazard in three biomass dusts. The apparent activation energy of DC and CF were lower than that of PS, and the main gas products of three samples included CO2, CO, CH3COOH, and H2O. The volatile matter content of DC characterized by the weight loss and the number of gas products of combustion process was higher than those of PS and CF, showing that the volatile matter content of biomass dust was one of the main factors affecting combustion and explosion hazard.","author":[{"dropping-particle":"","family":"Liu","given":"Aihua","non-dropping-particle":"","parse-names":false,"suffix":""},{"dropping-particle":"","family":"Chen","given":"Jieyun","non-dropping-particle":"","parse-names":false,"suffix":""},{"dropping-particle":"","family":"Huang","given":"Xiaofei","non-dropping-particle":"","parse-names":false,"suffix":""},{"dropping-particle":"","family":"Lin","given":"Junjiang","non-dropping-particle":"","parse-names":false,"suffix":""},{"dropping-particle":"","family":"Zhang","given":"Xiaochun","non-dropping-particle":"","parse-names":false,"suffix":""},{"dropping-particle":"","family":"Xu","given":"Wenbin","non-dropping-particle":"","parse-names":false,"suffix":""}],"container-title":"Bioresource Technology","id":"ITEM-1","issued":{"date-parts":[["2019"]]},"page":"122168","title":"Explosion parameters and combustion kinetics of biomass dust","type":"article-journal","volume":"294"},"uris":["http://www.mendeley.com/documents/?uuid=215e7a2c-b1cb-4f2c-a642-9b17d2f32d2e"]}],"mendeley":{"formattedCitation":"[145]","plainTextFormattedCitation":"[145]","previouslyFormattedCitation":"[145]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[145]</w:t>
            </w:r>
            <w:r w:rsidRPr="005A7A0A">
              <w:rPr>
                <w:color w:val="auto"/>
                <w:sz w:val="18"/>
                <w:szCs w:val="18"/>
                <w:lang w:eastAsia="en-GB" w:bidi="ar-SA"/>
              </w:rPr>
              <w:fldChar w:fldCharType="end"/>
            </w:r>
          </w:p>
        </w:tc>
      </w:tr>
      <w:tr w:rsidR="005A7A0A" w:rsidRPr="005A7A0A" w14:paraId="0B20E42B" w14:textId="2FDD2E2F" w:rsidTr="00845E0C">
        <w:trPr>
          <w:trHeight w:val="300"/>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7345E2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35</w:t>
            </w:r>
          </w:p>
        </w:tc>
        <w:tc>
          <w:tcPr>
            <w:tcW w:w="4204" w:type="dxa"/>
            <w:tcBorders>
              <w:top w:val="nil"/>
              <w:left w:val="nil"/>
              <w:bottom w:val="single" w:sz="4" w:space="0" w:color="auto"/>
              <w:right w:val="single" w:sz="4" w:space="0" w:color="auto"/>
            </w:tcBorders>
            <w:shd w:val="clear" w:color="auto" w:fill="auto"/>
            <w:noWrap/>
            <w:vAlign w:val="center"/>
            <w:hideMark/>
          </w:tcPr>
          <w:p w14:paraId="5F0C586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Pinus massoniana, fraction 0-63 μm</w:t>
            </w:r>
          </w:p>
        </w:tc>
        <w:tc>
          <w:tcPr>
            <w:tcW w:w="1055" w:type="dxa"/>
            <w:tcBorders>
              <w:top w:val="nil"/>
              <w:left w:val="nil"/>
              <w:bottom w:val="single" w:sz="4" w:space="0" w:color="auto"/>
              <w:right w:val="single" w:sz="4" w:space="0" w:color="auto"/>
            </w:tcBorders>
            <w:shd w:val="clear" w:color="auto" w:fill="auto"/>
            <w:noWrap/>
            <w:vAlign w:val="bottom"/>
          </w:tcPr>
          <w:p w14:paraId="77A852A3" w14:textId="60480A0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7.5</w:t>
            </w:r>
          </w:p>
        </w:tc>
        <w:tc>
          <w:tcPr>
            <w:tcW w:w="1006" w:type="dxa"/>
            <w:tcBorders>
              <w:top w:val="nil"/>
              <w:left w:val="nil"/>
              <w:bottom w:val="single" w:sz="4" w:space="0" w:color="auto"/>
              <w:right w:val="single" w:sz="4" w:space="0" w:color="auto"/>
            </w:tcBorders>
            <w:shd w:val="clear" w:color="auto" w:fill="auto"/>
            <w:noWrap/>
            <w:vAlign w:val="bottom"/>
          </w:tcPr>
          <w:p w14:paraId="0F7734A6" w14:textId="4633C21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129.0</w:t>
            </w:r>
          </w:p>
        </w:tc>
        <w:tc>
          <w:tcPr>
            <w:tcW w:w="1335" w:type="dxa"/>
            <w:tcBorders>
              <w:top w:val="nil"/>
              <w:left w:val="nil"/>
              <w:bottom w:val="single" w:sz="4" w:space="0" w:color="auto"/>
              <w:right w:val="single" w:sz="4" w:space="0" w:color="auto"/>
            </w:tcBorders>
            <w:shd w:val="clear" w:color="auto" w:fill="auto"/>
            <w:noWrap/>
            <w:vAlign w:val="bottom"/>
          </w:tcPr>
          <w:p w14:paraId="6B2B7A7A" w14:textId="52ED775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475.2</w:t>
            </w:r>
          </w:p>
        </w:tc>
        <w:tc>
          <w:tcPr>
            <w:tcW w:w="931" w:type="dxa"/>
            <w:tcBorders>
              <w:top w:val="nil"/>
              <w:left w:val="nil"/>
              <w:bottom w:val="single" w:sz="4" w:space="0" w:color="auto"/>
              <w:right w:val="single" w:sz="4" w:space="0" w:color="auto"/>
            </w:tcBorders>
            <w:shd w:val="clear" w:color="auto" w:fill="auto"/>
            <w:noWrap/>
            <w:vAlign w:val="bottom"/>
          </w:tcPr>
          <w:p w14:paraId="7E0680AB" w14:textId="66F3BF1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A83251E" w14:textId="09C7A41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433D99F" w14:textId="3C997FE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4308DEB" w14:textId="67CCB3E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37A8BEE1"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F9B7AA8" w14:textId="1B341224"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047F77B1" w14:textId="14C46CFF"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7DE0B8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36</w:t>
            </w:r>
          </w:p>
        </w:tc>
        <w:tc>
          <w:tcPr>
            <w:tcW w:w="4204" w:type="dxa"/>
            <w:tcBorders>
              <w:top w:val="nil"/>
              <w:left w:val="nil"/>
              <w:bottom w:val="single" w:sz="4" w:space="0" w:color="auto"/>
              <w:right w:val="single" w:sz="4" w:space="0" w:color="auto"/>
            </w:tcBorders>
            <w:shd w:val="clear" w:color="auto" w:fill="auto"/>
            <w:noWrap/>
            <w:vAlign w:val="center"/>
            <w:hideMark/>
          </w:tcPr>
          <w:p w14:paraId="6C6D25F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Pinus massoniana, fraction 125-250 μm</w:t>
            </w:r>
          </w:p>
        </w:tc>
        <w:tc>
          <w:tcPr>
            <w:tcW w:w="1055" w:type="dxa"/>
            <w:tcBorders>
              <w:top w:val="nil"/>
              <w:left w:val="nil"/>
              <w:bottom w:val="single" w:sz="4" w:space="0" w:color="auto"/>
              <w:right w:val="single" w:sz="4" w:space="0" w:color="auto"/>
            </w:tcBorders>
            <w:shd w:val="clear" w:color="auto" w:fill="auto"/>
            <w:noWrap/>
            <w:vAlign w:val="bottom"/>
          </w:tcPr>
          <w:p w14:paraId="3255579B" w14:textId="60E4447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7.2</w:t>
            </w:r>
          </w:p>
        </w:tc>
        <w:tc>
          <w:tcPr>
            <w:tcW w:w="1006" w:type="dxa"/>
            <w:tcBorders>
              <w:top w:val="nil"/>
              <w:left w:val="nil"/>
              <w:bottom w:val="single" w:sz="4" w:space="0" w:color="auto"/>
              <w:right w:val="single" w:sz="4" w:space="0" w:color="auto"/>
            </w:tcBorders>
            <w:shd w:val="clear" w:color="auto" w:fill="auto"/>
            <w:noWrap/>
            <w:vAlign w:val="bottom"/>
          </w:tcPr>
          <w:p w14:paraId="0F0EB30C" w14:textId="4CFD611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89.0</w:t>
            </w:r>
          </w:p>
        </w:tc>
        <w:tc>
          <w:tcPr>
            <w:tcW w:w="1335" w:type="dxa"/>
            <w:tcBorders>
              <w:top w:val="nil"/>
              <w:left w:val="nil"/>
              <w:bottom w:val="single" w:sz="4" w:space="0" w:color="auto"/>
              <w:right w:val="single" w:sz="4" w:space="0" w:color="auto"/>
            </w:tcBorders>
            <w:shd w:val="clear" w:color="auto" w:fill="auto"/>
            <w:noWrap/>
            <w:vAlign w:val="bottom"/>
          </w:tcPr>
          <w:p w14:paraId="41F78FC0" w14:textId="1691F91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327.9</w:t>
            </w:r>
          </w:p>
        </w:tc>
        <w:tc>
          <w:tcPr>
            <w:tcW w:w="931" w:type="dxa"/>
            <w:tcBorders>
              <w:top w:val="nil"/>
              <w:left w:val="nil"/>
              <w:bottom w:val="single" w:sz="4" w:space="0" w:color="auto"/>
              <w:right w:val="single" w:sz="4" w:space="0" w:color="auto"/>
            </w:tcBorders>
            <w:shd w:val="clear" w:color="auto" w:fill="auto"/>
            <w:noWrap/>
            <w:vAlign w:val="bottom"/>
          </w:tcPr>
          <w:p w14:paraId="5152A206" w14:textId="1DAB648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A1EA1E2" w14:textId="2B0C9C5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343555E9" w14:textId="4D27049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7D2D9A51" w14:textId="6CE9013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B295F09"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985192C" w14:textId="5FAF825F"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538615C7" w14:textId="724F2C0C"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91F6C5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37</w:t>
            </w:r>
          </w:p>
        </w:tc>
        <w:tc>
          <w:tcPr>
            <w:tcW w:w="4204" w:type="dxa"/>
            <w:tcBorders>
              <w:top w:val="nil"/>
              <w:left w:val="nil"/>
              <w:bottom w:val="single" w:sz="4" w:space="0" w:color="auto"/>
              <w:right w:val="single" w:sz="4" w:space="0" w:color="auto"/>
            </w:tcBorders>
            <w:shd w:val="clear" w:color="auto" w:fill="auto"/>
            <w:noWrap/>
            <w:vAlign w:val="center"/>
            <w:hideMark/>
          </w:tcPr>
          <w:p w14:paraId="358AF69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Pinus massoniana, fraction 250-500 μm</w:t>
            </w:r>
          </w:p>
        </w:tc>
        <w:tc>
          <w:tcPr>
            <w:tcW w:w="1055" w:type="dxa"/>
            <w:tcBorders>
              <w:top w:val="nil"/>
              <w:left w:val="nil"/>
              <w:bottom w:val="single" w:sz="4" w:space="0" w:color="auto"/>
              <w:right w:val="single" w:sz="4" w:space="0" w:color="auto"/>
            </w:tcBorders>
            <w:shd w:val="clear" w:color="auto" w:fill="auto"/>
            <w:noWrap/>
            <w:vAlign w:val="bottom"/>
          </w:tcPr>
          <w:p w14:paraId="2F226A7A" w14:textId="73C1F02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6.8</w:t>
            </w:r>
          </w:p>
        </w:tc>
        <w:tc>
          <w:tcPr>
            <w:tcW w:w="1006" w:type="dxa"/>
            <w:tcBorders>
              <w:top w:val="nil"/>
              <w:left w:val="nil"/>
              <w:bottom w:val="single" w:sz="4" w:space="0" w:color="auto"/>
              <w:right w:val="single" w:sz="4" w:space="0" w:color="auto"/>
            </w:tcBorders>
            <w:shd w:val="clear" w:color="auto" w:fill="auto"/>
            <w:noWrap/>
            <w:vAlign w:val="bottom"/>
          </w:tcPr>
          <w:p w14:paraId="565B9493" w14:textId="748F17F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58.0</w:t>
            </w:r>
          </w:p>
        </w:tc>
        <w:tc>
          <w:tcPr>
            <w:tcW w:w="1335" w:type="dxa"/>
            <w:tcBorders>
              <w:top w:val="nil"/>
              <w:left w:val="nil"/>
              <w:bottom w:val="single" w:sz="4" w:space="0" w:color="auto"/>
              <w:right w:val="single" w:sz="4" w:space="0" w:color="auto"/>
            </w:tcBorders>
            <w:shd w:val="clear" w:color="auto" w:fill="auto"/>
            <w:noWrap/>
            <w:vAlign w:val="bottom"/>
          </w:tcPr>
          <w:p w14:paraId="125FA578" w14:textId="1DB3900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213.7</w:t>
            </w:r>
          </w:p>
        </w:tc>
        <w:tc>
          <w:tcPr>
            <w:tcW w:w="931" w:type="dxa"/>
            <w:tcBorders>
              <w:top w:val="nil"/>
              <w:left w:val="nil"/>
              <w:bottom w:val="single" w:sz="4" w:space="0" w:color="auto"/>
              <w:right w:val="single" w:sz="4" w:space="0" w:color="auto"/>
            </w:tcBorders>
            <w:shd w:val="clear" w:color="auto" w:fill="auto"/>
            <w:noWrap/>
            <w:vAlign w:val="bottom"/>
          </w:tcPr>
          <w:p w14:paraId="7A5BACCE" w14:textId="4DC6F6C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A014E3A" w14:textId="2BDB748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0F22D66C" w14:textId="5F3126D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688AE6C" w14:textId="7BACF58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1CA62843"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2302D9C" w14:textId="2D2FC50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3132370A" w14:textId="28CF154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9FE58D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38</w:t>
            </w:r>
          </w:p>
        </w:tc>
        <w:tc>
          <w:tcPr>
            <w:tcW w:w="4204" w:type="dxa"/>
            <w:tcBorders>
              <w:top w:val="nil"/>
              <w:left w:val="nil"/>
              <w:bottom w:val="single" w:sz="4" w:space="0" w:color="auto"/>
              <w:right w:val="single" w:sz="4" w:space="0" w:color="auto"/>
            </w:tcBorders>
            <w:shd w:val="clear" w:color="auto" w:fill="auto"/>
            <w:noWrap/>
            <w:vAlign w:val="center"/>
            <w:hideMark/>
          </w:tcPr>
          <w:p w14:paraId="0DA24ED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Pinus massoniana, fraction 63-125 μm</w:t>
            </w:r>
          </w:p>
        </w:tc>
        <w:tc>
          <w:tcPr>
            <w:tcW w:w="1055" w:type="dxa"/>
            <w:tcBorders>
              <w:top w:val="nil"/>
              <w:left w:val="nil"/>
              <w:bottom w:val="single" w:sz="4" w:space="0" w:color="auto"/>
              <w:right w:val="single" w:sz="4" w:space="0" w:color="auto"/>
            </w:tcBorders>
            <w:shd w:val="clear" w:color="auto" w:fill="auto"/>
            <w:noWrap/>
            <w:vAlign w:val="bottom"/>
          </w:tcPr>
          <w:p w14:paraId="26B7BD84" w14:textId="1CBD90D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7.6</w:t>
            </w:r>
          </w:p>
        </w:tc>
        <w:tc>
          <w:tcPr>
            <w:tcW w:w="1006" w:type="dxa"/>
            <w:tcBorders>
              <w:top w:val="nil"/>
              <w:left w:val="nil"/>
              <w:bottom w:val="single" w:sz="4" w:space="0" w:color="auto"/>
              <w:right w:val="single" w:sz="4" w:space="0" w:color="auto"/>
            </w:tcBorders>
            <w:shd w:val="clear" w:color="auto" w:fill="auto"/>
            <w:noWrap/>
            <w:vAlign w:val="bottom"/>
          </w:tcPr>
          <w:p w14:paraId="71EE2CE5" w14:textId="4213E14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118.0</w:t>
            </w:r>
          </w:p>
        </w:tc>
        <w:tc>
          <w:tcPr>
            <w:tcW w:w="1335" w:type="dxa"/>
            <w:tcBorders>
              <w:top w:val="nil"/>
              <w:left w:val="nil"/>
              <w:bottom w:val="single" w:sz="4" w:space="0" w:color="auto"/>
              <w:right w:val="single" w:sz="4" w:space="0" w:color="auto"/>
            </w:tcBorders>
            <w:shd w:val="clear" w:color="auto" w:fill="auto"/>
            <w:noWrap/>
            <w:vAlign w:val="bottom"/>
          </w:tcPr>
          <w:p w14:paraId="593D3305" w14:textId="6C3C5A8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434.7</w:t>
            </w:r>
          </w:p>
        </w:tc>
        <w:tc>
          <w:tcPr>
            <w:tcW w:w="931" w:type="dxa"/>
            <w:tcBorders>
              <w:top w:val="nil"/>
              <w:left w:val="nil"/>
              <w:bottom w:val="single" w:sz="4" w:space="0" w:color="auto"/>
              <w:right w:val="single" w:sz="4" w:space="0" w:color="auto"/>
            </w:tcBorders>
            <w:shd w:val="clear" w:color="auto" w:fill="auto"/>
            <w:noWrap/>
            <w:vAlign w:val="bottom"/>
          </w:tcPr>
          <w:p w14:paraId="1BDB1AF7" w14:textId="76C754E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FA62888" w14:textId="7C71BC9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646DC916" w14:textId="1B1FD1B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2C84F78" w14:textId="2EBCED1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5454D647"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7881488" w14:textId="2D6344D8"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0C0872AF" w14:textId="2AE384F3"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E764DC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39</w:t>
            </w:r>
          </w:p>
        </w:tc>
        <w:tc>
          <w:tcPr>
            <w:tcW w:w="4204" w:type="dxa"/>
            <w:tcBorders>
              <w:top w:val="nil"/>
              <w:left w:val="nil"/>
              <w:bottom w:val="single" w:sz="4" w:space="0" w:color="auto"/>
              <w:right w:val="single" w:sz="4" w:space="0" w:color="auto"/>
            </w:tcBorders>
            <w:shd w:val="clear" w:color="auto" w:fill="auto"/>
            <w:noWrap/>
            <w:vAlign w:val="center"/>
            <w:hideMark/>
          </w:tcPr>
          <w:p w14:paraId="4B93A32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Pistachio nut shells</w:t>
            </w:r>
          </w:p>
        </w:tc>
        <w:tc>
          <w:tcPr>
            <w:tcW w:w="1055" w:type="dxa"/>
            <w:tcBorders>
              <w:top w:val="nil"/>
              <w:left w:val="nil"/>
              <w:bottom w:val="single" w:sz="4" w:space="0" w:color="auto"/>
              <w:right w:val="single" w:sz="4" w:space="0" w:color="auto"/>
            </w:tcBorders>
            <w:shd w:val="clear" w:color="auto" w:fill="auto"/>
            <w:noWrap/>
            <w:vAlign w:val="bottom"/>
          </w:tcPr>
          <w:p w14:paraId="79E664AE" w14:textId="6D52C68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9.3</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16B167CA" w14:textId="68FCE9F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82.0</w:t>
            </w:r>
          </w:p>
        </w:tc>
        <w:tc>
          <w:tcPr>
            <w:tcW w:w="1335" w:type="dxa"/>
            <w:tcBorders>
              <w:top w:val="nil"/>
              <w:left w:val="nil"/>
              <w:bottom w:val="single" w:sz="4" w:space="0" w:color="auto"/>
              <w:right w:val="single" w:sz="4" w:space="0" w:color="auto"/>
            </w:tcBorders>
            <w:shd w:val="clear" w:color="auto" w:fill="auto"/>
            <w:noWrap/>
            <w:vAlign w:val="bottom"/>
          </w:tcPr>
          <w:p w14:paraId="2EE77E89" w14:textId="66ECC46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302.1</w:t>
            </w:r>
          </w:p>
        </w:tc>
        <w:tc>
          <w:tcPr>
            <w:tcW w:w="931" w:type="dxa"/>
            <w:tcBorders>
              <w:top w:val="nil"/>
              <w:left w:val="nil"/>
              <w:bottom w:val="single" w:sz="4" w:space="0" w:color="auto"/>
              <w:right w:val="single" w:sz="4" w:space="0" w:color="auto"/>
            </w:tcBorders>
            <w:shd w:val="clear" w:color="auto" w:fill="auto"/>
            <w:noWrap/>
            <w:vAlign w:val="bottom"/>
          </w:tcPr>
          <w:p w14:paraId="01EE128F" w14:textId="1672F9C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54AA1B0" w14:textId="36C826D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3B299716" w14:textId="7748896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595EFAC" w14:textId="34CBDB3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740BCE0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EB3FA1D" w14:textId="55AD4A64"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{"citationItems":[{"id":"ITEM-1","itemData":{"author":[{"dropping-particle":"","family":"Sattar","given":"Hamed","non-dropping-particle":"","parse-names":false,"suffix":""},{"dropping-particle":"","family":"Phylaktou","given":"Herodotos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M.","non-dropping-particle":"","parse-names":false,"suffix":""}],"container-title":"ISHPMIE","id":"ITEM-1","issued":{"date-parts":[["2012"]]},"publisher-place":"Krakow","title":"Explosions and Flame Propagation in Nut-shell Biomass Powders","type":"paper-conference"},"uris":["http://www.mendeley.com/documents/?uuid=ac2f9135-c048-4366-9ea5-0066f9cbf002"]}],"mendeley":{"formattedCitation":"[109]","plainTextFormattedCitation":"[109]","previouslyFormattedCitation":"[109]"},"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[109]</w:t>
            </w:r>
            <w:r w:rsidRPr="005A7A0A">
              <w:rPr>
                <w:color w:val="auto"/>
                <w:sz w:val="18"/>
                <w:szCs w:val="18"/>
                <w:lang w:eastAsia="en-GB" w:bidi="ar-SA"/>
              </w:rPr>
              <w:fldChar w:fldCharType="end"/>
            </w:r>
          </w:p>
        </w:tc>
      </w:tr>
      <w:tr w:rsidR="005A7A0A" w:rsidRPr="005A7A0A" w14:paraId="70727D1A" w14:textId="6BE696EC"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B244BD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40</w:t>
            </w:r>
          </w:p>
        </w:tc>
        <w:tc>
          <w:tcPr>
            <w:tcW w:w="4204" w:type="dxa"/>
            <w:tcBorders>
              <w:top w:val="nil"/>
              <w:left w:val="nil"/>
              <w:bottom w:val="single" w:sz="4" w:space="0" w:color="auto"/>
              <w:right w:val="single" w:sz="4" w:space="0" w:color="auto"/>
            </w:tcBorders>
            <w:shd w:val="clear" w:color="auto" w:fill="auto"/>
            <w:noWrap/>
            <w:vAlign w:val="center"/>
            <w:hideMark/>
          </w:tcPr>
          <w:p w14:paraId="7A7D32C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Poplar</w:t>
            </w:r>
          </w:p>
        </w:tc>
        <w:tc>
          <w:tcPr>
            <w:tcW w:w="1055" w:type="dxa"/>
            <w:tcBorders>
              <w:top w:val="nil"/>
              <w:left w:val="nil"/>
              <w:bottom w:val="single" w:sz="4" w:space="0" w:color="auto"/>
              <w:right w:val="single" w:sz="4" w:space="0" w:color="auto"/>
            </w:tcBorders>
            <w:shd w:val="clear" w:color="auto" w:fill="auto"/>
            <w:noWrap/>
            <w:vAlign w:val="bottom"/>
          </w:tcPr>
          <w:p w14:paraId="3012737C" w14:textId="048688E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4EE51883" w14:textId="52A436B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45EA49D5" w14:textId="4639695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481F4DF7" w14:textId="085984E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26</w:t>
            </w:r>
          </w:p>
        </w:tc>
        <w:tc>
          <w:tcPr>
            <w:tcW w:w="992" w:type="dxa"/>
            <w:tcBorders>
              <w:top w:val="nil"/>
              <w:left w:val="nil"/>
              <w:bottom w:val="single" w:sz="4" w:space="0" w:color="auto"/>
              <w:right w:val="single" w:sz="4" w:space="0" w:color="auto"/>
            </w:tcBorders>
            <w:shd w:val="clear" w:color="auto" w:fill="auto"/>
            <w:noWrap/>
            <w:vAlign w:val="bottom"/>
          </w:tcPr>
          <w:p w14:paraId="73FED18C" w14:textId="4342E6F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1B9D961" w14:textId="159DC60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21D518E9" w14:textId="571E0A1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0.46</w:t>
            </w:r>
            <w:r w:rsidRPr="005A7A0A">
              <w:rPr>
                <w:color w:val="auto"/>
                <w:vertAlign w:val="superscript"/>
              </w:rPr>
              <w:t xml:space="preserve"> </w:t>
            </w:r>
            <w:r w:rsidR="00DC6265" w:rsidRPr="005A7A0A">
              <w:rPr>
                <w:color w:val="auto"/>
                <w:vertAlign w:val="superscript"/>
              </w:rPr>
              <w:t>f</w:t>
            </w:r>
          </w:p>
        </w:tc>
        <w:tc>
          <w:tcPr>
            <w:tcW w:w="709" w:type="dxa"/>
            <w:tcBorders>
              <w:top w:val="single" w:sz="4" w:space="0" w:color="auto"/>
              <w:left w:val="nil"/>
              <w:bottom w:val="single" w:sz="4" w:space="0" w:color="auto"/>
              <w:right w:val="single" w:sz="4" w:space="0" w:color="auto"/>
            </w:tcBorders>
            <w:vAlign w:val="bottom"/>
          </w:tcPr>
          <w:p w14:paraId="2165ADDC"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CE2B464" w14:textId="03EC758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[106]</w:t>
            </w:r>
            <w:r w:rsidRPr="005A7A0A">
              <w:rPr>
                <w:color w:val="auto"/>
                <w:sz w:val="18"/>
                <w:szCs w:val="18"/>
                <w:lang w:eastAsia="en-GB" w:bidi="ar-SA"/>
              </w:rPr>
              <w:fldChar w:fldCharType="end"/>
            </w:r>
          </w:p>
        </w:tc>
      </w:tr>
      <w:tr w:rsidR="005A7A0A" w:rsidRPr="005A7A0A" w14:paraId="3799B8AE" w14:textId="07DBDDA1"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33650A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41</w:t>
            </w:r>
          </w:p>
        </w:tc>
        <w:tc>
          <w:tcPr>
            <w:tcW w:w="4204" w:type="dxa"/>
            <w:tcBorders>
              <w:top w:val="nil"/>
              <w:left w:val="nil"/>
              <w:bottom w:val="single" w:sz="4" w:space="0" w:color="auto"/>
              <w:right w:val="single" w:sz="4" w:space="0" w:color="auto"/>
            </w:tcBorders>
            <w:shd w:val="clear" w:color="auto" w:fill="auto"/>
            <w:noWrap/>
            <w:vAlign w:val="center"/>
            <w:hideMark/>
          </w:tcPr>
          <w:p w14:paraId="05C1A4A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Populus alba, fraction 0-63 μm</w:t>
            </w:r>
          </w:p>
        </w:tc>
        <w:tc>
          <w:tcPr>
            <w:tcW w:w="1055" w:type="dxa"/>
            <w:tcBorders>
              <w:top w:val="nil"/>
              <w:left w:val="nil"/>
              <w:bottom w:val="single" w:sz="4" w:space="0" w:color="auto"/>
              <w:right w:val="single" w:sz="4" w:space="0" w:color="auto"/>
            </w:tcBorders>
            <w:shd w:val="clear" w:color="auto" w:fill="auto"/>
            <w:noWrap/>
            <w:vAlign w:val="bottom"/>
          </w:tcPr>
          <w:p w14:paraId="70D5C612" w14:textId="6BFE12F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8.9</w:t>
            </w:r>
          </w:p>
        </w:tc>
        <w:tc>
          <w:tcPr>
            <w:tcW w:w="1006" w:type="dxa"/>
            <w:tcBorders>
              <w:top w:val="nil"/>
              <w:left w:val="nil"/>
              <w:bottom w:val="single" w:sz="4" w:space="0" w:color="auto"/>
              <w:right w:val="single" w:sz="4" w:space="0" w:color="auto"/>
            </w:tcBorders>
            <w:shd w:val="clear" w:color="auto" w:fill="auto"/>
            <w:noWrap/>
            <w:vAlign w:val="bottom"/>
          </w:tcPr>
          <w:p w14:paraId="541C9DF8" w14:textId="520D680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247.0</w:t>
            </w:r>
          </w:p>
        </w:tc>
        <w:tc>
          <w:tcPr>
            <w:tcW w:w="1335" w:type="dxa"/>
            <w:tcBorders>
              <w:top w:val="nil"/>
              <w:left w:val="nil"/>
              <w:bottom w:val="single" w:sz="4" w:space="0" w:color="auto"/>
              <w:right w:val="single" w:sz="4" w:space="0" w:color="auto"/>
            </w:tcBorders>
            <w:shd w:val="clear" w:color="auto" w:fill="auto"/>
            <w:noWrap/>
            <w:vAlign w:val="bottom"/>
          </w:tcPr>
          <w:p w14:paraId="68E50FA1" w14:textId="58641D8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910.0</w:t>
            </w:r>
          </w:p>
        </w:tc>
        <w:tc>
          <w:tcPr>
            <w:tcW w:w="931" w:type="dxa"/>
            <w:tcBorders>
              <w:top w:val="nil"/>
              <w:left w:val="nil"/>
              <w:bottom w:val="single" w:sz="4" w:space="0" w:color="auto"/>
              <w:right w:val="single" w:sz="4" w:space="0" w:color="auto"/>
            </w:tcBorders>
            <w:shd w:val="clear" w:color="auto" w:fill="auto"/>
            <w:noWrap/>
            <w:vAlign w:val="bottom"/>
          </w:tcPr>
          <w:p w14:paraId="369579D7" w14:textId="5602ECA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F700B98" w14:textId="7A76B62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28797B92" w14:textId="547C365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786501A" w14:textId="3C3D07F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3E1725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73A11E9" w14:textId="54CBA763"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7A89528B" w14:textId="4F15A842"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F4EB35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w:t>
            </w:r>
          </w:p>
        </w:tc>
        <w:tc>
          <w:tcPr>
            <w:tcW w:w="4204" w:type="dxa"/>
            <w:tcBorders>
              <w:top w:val="nil"/>
              <w:left w:val="nil"/>
              <w:bottom w:val="single" w:sz="4" w:space="0" w:color="auto"/>
              <w:right w:val="single" w:sz="4" w:space="0" w:color="auto"/>
            </w:tcBorders>
            <w:shd w:val="clear" w:color="auto" w:fill="auto"/>
            <w:noWrap/>
            <w:vAlign w:val="center"/>
            <w:hideMark/>
          </w:tcPr>
          <w:p w14:paraId="2943F3E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Populus alba, fraction 125-250 μm</w:t>
            </w:r>
          </w:p>
        </w:tc>
        <w:tc>
          <w:tcPr>
            <w:tcW w:w="1055" w:type="dxa"/>
            <w:tcBorders>
              <w:top w:val="nil"/>
              <w:left w:val="nil"/>
              <w:bottom w:val="single" w:sz="4" w:space="0" w:color="auto"/>
              <w:right w:val="single" w:sz="4" w:space="0" w:color="auto"/>
            </w:tcBorders>
            <w:shd w:val="clear" w:color="auto" w:fill="auto"/>
            <w:noWrap/>
            <w:vAlign w:val="bottom"/>
          </w:tcPr>
          <w:p w14:paraId="2EF13EE3" w14:textId="14E1D89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8.8</w:t>
            </w:r>
          </w:p>
        </w:tc>
        <w:tc>
          <w:tcPr>
            <w:tcW w:w="1006" w:type="dxa"/>
            <w:tcBorders>
              <w:top w:val="nil"/>
              <w:left w:val="nil"/>
              <w:bottom w:val="single" w:sz="4" w:space="0" w:color="auto"/>
              <w:right w:val="single" w:sz="4" w:space="0" w:color="auto"/>
            </w:tcBorders>
            <w:shd w:val="clear" w:color="auto" w:fill="auto"/>
            <w:noWrap/>
            <w:vAlign w:val="bottom"/>
          </w:tcPr>
          <w:p w14:paraId="78064D00" w14:textId="2C6C21A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184.0</w:t>
            </w:r>
          </w:p>
        </w:tc>
        <w:tc>
          <w:tcPr>
            <w:tcW w:w="1335" w:type="dxa"/>
            <w:tcBorders>
              <w:top w:val="nil"/>
              <w:left w:val="nil"/>
              <w:bottom w:val="single" w:sz="4" w:space="0" w:color="auto"/>
              <w:right w:val="single" w:sz="4" w:space="0" w:color="auto"/>
            </w:tcBorders>
            <w:shd w:val="clear" w:color="auto" w:fill="auto"/>
            <w:noWrap/>
            <w:vAlign w:val="bottom"/>
          </w:tcPr>
          <w:p w14:paraId="24C4DE3B" w14:textId="44D6920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677.9</w:t>
            </w:r>
          </w:p>
        </w:tc>
        <w:tc>
          <w:tcPr>
            <w:tcW w:w="931" w:type="dxa"/>
            <w:tcBorders>
              <w:top w:val="nil"/>
              <w:left w:val="nil"/>
              <w:bottom w:val="single" w:sz="4" w:space="0" w:color="auto"/>
              <w:right w:val="single" w:sz="4" w:space="0" w:color="auto"/>
            </w:tcBorders>
            <w:shd w:val="clear" w:color="auto" w:fill="auto"/>
            <w:noWrap/>
            <w:vAlign w:val="bottom"/>
          </w:tcPr>
          <w:p w14:paraId="2F8E4032" w14:textId="405846D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F4191EE" w14:textId="154FC16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1885A84" w14:textId="227F7D8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7052197" w14:textId="0FFFEC2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9DED048"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5298855" w14:textId="1AEBF9E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397D92D3" w14:textId="3DB129A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130A05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43</w:t>
            </w:r>
          </w:p>
        </w:tc>
        <w:tc>
          <w:tcPr>
            <w:tcW w:w="4204" w:type="dxa"/>
            <w:tcBorders>
              <w:top w:val="nil"/>
              <w:left w:val="nil"/>
              <w:bottom w:val="single" w:sz="4" w:space="0" w:color="auto"/>
              <w:right w:val="single" w:sz="4" w:space="0" w:color="auto"/>
            </w:tcBorders>
            <w:shd w:val="clear" w:color="auto" w:fill="auto"/>
            <w:noWrap/>
            <w:vAlign w:val="center"/>
            <w:hideMark/>
          </w:tcPr>
          <w:p w14:paraId="418447E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Populus alba, fraction 250-500 μm</w:t>
            </w:r>
          </w:p>
        </w:tc>
        <w:tc>
          <w:tcPr>
            <w:tcW w:w="1055" w:type="dxa"/>
            <w:tcBorders>
              <w:top w:val="nil"/>
              <w:left w:val="nil"/>
              <w:bottom w:val="single" w:sz="4" w:space="0" w:color="auto"/>
              <w:right w:val="single" w:sz="4" w:space="0" w:color="auto"/>
            </w:tcBorders>
            <w:shd w:val="clear" w:color="auto" w:fill="auto"/>
            <w:noWrap/>
            <w:vAlign w:val="bottom"/>
          </w:tcPr>
          <w:p w14:paraId="0AC847E3" w14:textId="6FDD1C5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7.8</w:t>
            </w:r>
          </w:p>
        </w:tc>
        <w:tc>
          <w:tcPr>
            <w:tcW w:w="1006" w:type="dxa"/>
            <w:tcBorders>
              <w:top w:val="nil"/>
              <w:left w:val="nil"/>
              <w:bottom w:val="single" w:sz="4" w:space="0" w:color="auto"/>
              <w:right w:val="single" w:sz="4" w:space="0" w:color="auto"/>
            </w:tcBorders>
            <w:shd w:val="clear" w:color="auto" w:fill="auto"/>
            <w:noWrap/>
            <w:vAlign w:val="bottom"/>
          </w:tcPr>
          <w:p w14:paraId="407A86E9" w14:textId="75A6615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86.0</w:t>
            </w:r>
          </w:p>
        </w:tc>
        <w:tc>
          <w:tcPr>
            <w:tcW w:w="1335" w:type="dxa"/>
            <w:tcBorders>
              <w:top w:val="nil"/>
              <w:left w:val="nil"/>
              <w:bottom w:val="single" w:sz="4" w:space="0" w:color="auto"/>
              <w:right w:val="single" w:sz="4" w:space="0" w:color="auto"/>
            </w:tcBorders>
            <w:shd w:val="clear" w:color="auto" w:fill="auto"/>
            <w:noWrap/>
            <w:vAlign w:val="bottom"/>
          </w:tcPr>
          <w:p w14:paraId="3796825F" w14:textId="07C8D6D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316.8</w:t>
            </w:r>
          </w:p>
        </w:tc>
        <w:tc>
          <w:tcPr>
            <w:tcW w:w="931" w:type="dxa"/>
            <w:tcBorders>
              <w:top w:val="nil"/>
              <w:left w:val="nil"/>
              <w:bottom w:val="single" w:sz="4" w:space="0" w:color="auto"/>
              <w:right w:val="single" w:sz="4" w:space="0" w:color="auto"/>
            </w:tcBorders>
            <w:shd w:val="clear" w:color="auto" w:fill="auto"/>
            <w:noWrap/>
            <w:vAlign w:val="bottom"/>
          </w:tcPr>
          <w:p w14:paraId="2414354E" w14:textId="2437C9B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64DAD0E" w14:textId="319CEA5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CF4C302" w14:textId="02C72BE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4EA0429" w14:textId="2DED2A0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48E07CB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1783940" w14:textId="23E9514B"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0C4BD0C5" w14:textId="0EDC4FA2"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176865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w:t>
            </w:r>
          </w:p>
        </w:tc>
        <w:tc>
          <w:tcPr>
            <w:tcW w:w="4204" w:type="dxa"/>
            <w:tcBorders>
              <w:top w:val="nil"/>
              <w:left w:val="nil"/>
              <w:bottom w:val="single" w:sz="4" w:space="0" w:color="auto"/>
              <w:right w:val="single" w:sz="4" w:space="0" w:color="auto"/>
            </w:tcBorders>
            <w:shd w:val="clear" w:color="auto" w:fill="auto"/>
            <w:noWrap/>
            <w:vAlign w:val="center"/>
            <w:hideMark/>
          </w:tcPr>
          <w:p w14:paraId="5B0B86D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Populus alba, fraction 63-125 μm</w:t>
            </w:r>
          </w:p>
        </w:tc>
        <w:tc>
          <w:tcPr>
            <w:tcW w:w="1055" w:type="dxa"/>
            <w:tcBorders>
              <w:top w:val="nil"/>
              <w:left w:val="nil"/>
              <w:bottom w:val="single" w:sz="4" w:space="0" w:color="auto"/>
              <w:right w:val="single" w:sz="4" w:space="0" w:color="auto"/>
            </w:tcBorders>
            <w:shd w:val="clear" w:color="auto" w:fill="auto"/>
            <w:noWrap/>
            <w:vAlign w:val="bottom"/>
          </w:tcPr>
          <w:p w14:paraId="6441203A" w14:textId="14496E7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8.9</w:t>
            </w:r>
          </w:p>
        </w:tc>
        <w:tc>
          <w:tcPr>
            <w:tcW w:w="1006" w:type="dxa"/>
            <w:tcBorders>
              <w:top w:val="nil"/>
              <w:left w:val="nil"/>
              <w:bottom w:val="single" w:sz="4" w:space="0" w:color="auto"/>
              <w:right w:val="single" w:sz="4" w:space="0" w:color="auto"/>
            </w:tcBorders>
            <w:shd w:val="clear" w:color="auto" w:fill="auto"/>
            <w:noWrap/>
            <w:vAlign w:val="bottom"/>
          </w:tcPr>
          <w:p w14:paraId="317E3267" w14:textId="63448EF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158.0</w:t>
            </w:r>
          </w:p>
        </w:tc>
        <w:tc>
          <w:tcPr>
            <w:tcW w:w="1335" w:type="dxa"/>
            <w:tcBorders>
              <w:top w:val="nil"/>
              <w:left w:val="nil"/>
              <w:bottom w:val="single" w:sz="4" w:space="0" w:color="auto"/>
              <w:right w:val="single" w:sz="4" w:space="0" w:color="auto"/>
            </w:tcBorders>
            <w:shd w:val="clear" w:color="auto" w:fill="auto"/>
            <w:noWrap/>
            <w:vAlign w:val="bottom"/>
          </w:tcPr>
          <w:p w14:paraId="51607162" w14:textId="46717F5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582.1</w:t>
            </w:r>
          </w:p>
        </w:tc>
        <w:tc>
          <w:tcPr>
            <w:tcW w:w="931" w:type="dxa"/>
            <w:tcBorders>
              <w:top w:val="nil"/>
              <w:left w:val="nil"/>
              <w:bottom w:val="single" w:sz="4" w:space="0" w:color="auto"/>
              <w:right w:val="single" w:sz="4" w:space="0" w:color="auto"/>
            </w:tcBorders>
            <w:shd w:val="clear" w:color="auto" w:fill="auto"/>
            <w:noWrap/>
            <w:vAlign w:val="bottom"/>
          </w:tcPr>
          <w:p w14:paraId="7BEA9FE1" w14:textId="3A13AEE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3046E6D" w14:textId="61B514C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0C0D36D3" w14:textId="7B25DA0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71FCED6E" w14:textId="76295C7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1315F6D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AEBC0A2" w14:textId="671E5E56"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[112]</w:t>
            </w:r>
            <w:r w:rsidRPr="005A7A0A">
              <w:rPr>
                <w:color w:val="auto"/>
                <w:sz w:val="18"/>
                <w:szCs w:val="18"/>
                <w:lang w:eastAsia="en-GB" w:bidi="ar-SA"/>
              </w:rPr>
              <w:fldChar w:fldCharType="end"/>
            </w:r>
          </w:p>
        </w:tc>
      </w:tr>
      <w:tr w:rsidR="005A7A0A" w:rsidRPr="005A7A0A" w14:paraId="394EBA18" w14:textId="3A5DF9B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394C58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45</w:t>
            </w:r>
          </w:p>
        </w:tc>
        <w:tc>
          <w:tcPr>
            <w:tcW w:w="4204" w:type="dxa"/>
            <w:tcBorders>
              <w:top w:val="nil"/>
              <w:left w:val="nil"/>
              <w:bottom w:val="single" w:sz="4" w:space="0" w:color="auto"/>
              <w:right w:val="single" w:sz="4" w:space="0" w:color="auto"/>
            </w:tcBorders>
            <w:shd w:val="clear" w:color="auto" w:fill="auto"/>
            <w:noWrap/>
            <w:vAlign w:val="center"/>
            <w:hideMark/>
          </w:tcPr>
          <w:p w14:paraId="0D6A62C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Radiata Pine</w:t>
            </w:r>
          </w:p>
        </w:tc>
        <w:tc>
          <w:tcPr>
            <w:tcW w:w="1055" w:type="dxa"/>
            <w:tcBorders>
              <w:top w:val="nil"/>
              <w:left w:val="nil"/>
              <w:bottom w:val="single" w:sz="4" w:space="0" w:color="auto"/>
              <w:right w:val="single" w:sz="4" w:space="0" w:color="auto"/>
            </w:tcBorders>
            <w:shd w:val="clear" w:color="auto" w:fill="auto"/>
            <w:noWrap/>
            <w:vAlign w:val="bottom"/>
          </w:tcPr>
          <w:p w14:paraId="455B14A6" w14:textId="79E4554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8.4</w:t>
            </w:r>
            <w:r w:rsidRPr="005A7A0A">
              <w:rPr>
                <w:color w:val="auto"/>
                <w:vertAlign w:val="superscript"/>
              </w:rPr>
              <w:t xml:space="preserve"> f</w:t>
            </w:r>
          </w:p>
        </w:tc>
        <w:tc>
          <w:tcPr>
            <w:tcW w:w="1006" w:type="dxa"/>
            <w:tcBorders>
              <w:top w:val="nil"/>
              <w:left w:val="nil"/>
              <w:bottom w:val="single" w:sz="4" w:space="0" w:color="auto"/>
              <w:right w:val="single" w:sz="4" w:space="0" w:color="auto"/>
            </w:tcBorders>
            <w:shd w:val="clear" w:color="auto" w:fill="auto"/>
            <w:noWrap/>
            <w:vAlign w:val="bottom"/>
          </w:tcPr>
          <w:p w14:paraId="52340749" w14:textId="77966D8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103.1</w:t>
            </w:r>
          </w:p>
        </w:tc>
        <w:tc>
          <w:tcPr>
            <w:tcW w:w="1335" w:type="dxa"/>
            <w:tcBorders>
              <w:top w:val="nil"/>
              <w:left w:val="nil"/>
              <w:bottom w:val="single" w:sz="4" w:space="0" w:color="auto"/>
              <w:right w:val="single" w:sz="4" w:space="0" w:color="auto"/>
            </w:tcBorders>
            <w:shd w:val="clear" w:color="auto" w:fill="auto"/>
            <w:noWrap/>
            <w:vAlign w:val="bottom"/>
          </w:tcPr>
          <w:p w14:paraId="31085356" w14:textId="08F274A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380.0</w:t>
            </w:r>
          </w:p>
        </w:tc>
        <w:tc>
          <w:tcPr>
            <w:tcW w:w="931" w:type="dxa"/>
            <w:tcBorders>
              <w:top w:val="nil"/>
              <w:left w:val="nil"/>
              <w:bottom w:val="single" w:sz="4" w:space="0" w:color="auto"/>
              <w:right w:val="single" w:sz="4" w:space="0" w:color="auto"/>
            </w:tcBorders>
            <w:shd w:val="clear" w:color="auto" w:fill="auto"/>
            <w:noWrap/>
            <w:vAlign w:val="bottom"/>
          </w:tcPr>
          <w:p w14:paraId="2771DF96" w14:textId="1D006CB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69B530F" w14:textId="05D436F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FCE50ED" w14:textId="54C5137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9034BD8" w14:textId="2789B1F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08F28C80"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DBFFC09" w14:textId="4CAC4C2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{"citationItems":[{"id":"ITEM-1","itemData":{"DOI":"10.1016/j.applthermaleng.2016.08.010","ISSN":"1359-4311","abstract":"In this study, dust explosion experiments were conducted to investigate the explosion characteristics of three samples of dust from wood particleboard that had exploded in the manufacturing process. Explosion tests were conducted by utilizing a standardized Siwek 20L apparatus according to the standardized test procedures in the European Standard CEN EN 14034 series and CEN EN 13821. To understand the physiochemical properties of the tested dust samples, the element composition, particle size distribution, and heat release rate were obtained by utilizing an element analyzer, particle-size analyzer, and cone calorimeter, respectively. Explosion pressure and rising explosion pressure featured log-linearly increasing trends in dust concentration and equivalence ratios until the maximum. They then decreased linearly as the dust concentration and equivalence ratios increased. Dust particles of smaller sizes and non-spherical shapes achieved higher maximum explosion pressure and maximum explosion pressure rising rates. The dust concentration at maximum explosion pressure decreased as the dust particle size decreased. Thermal decomposition rates and mass loss rates of dusts, which were calculated from the results of the cone calorimeter test, were mainly affected by the content of noncombustible materials such as nitrogen and inorganic residuals. To suggest a proper method to analyze dust explosion characteristics, the correlations among the tested dust samples were calculated with four variables: dust concentration, equivalence ratio, equivalence ratio based on thermal decomposition rate, and mass loss rate. The results showed that the latter two variables were considered to be more proper methods than the dust concentration and showed slightly better correlation than the equivalence ratio. A bubble graph and a contour diagram of the explosion pressure were also utilized to visualize the degree of explosion risk and to determine a safe region of operation. The test results and analytical methods proposed in this study could be utilized to design methods for the prediction, prevention, and protection of dust explosions.","author":[{"dropping-particle":"","family":"Lee","given":"Min Chul","non-dropping-particle":"","parse-names":false,"suffix":""},{"dropping-particle":"","family":"Kim","given":"Yun Seok","non-dropping-particle":"","parse-names":false,"suffix":""},{"dropping-particle":"","family":"Rie","given":"Dong Ho","non-dropping-particle":"","parse-names":false,"suffix":""}],"container-title":"Applied Thermal Engineering","id":"ITEM-1","issued":{"date-parts":[["2016"]]},"page":"432-439","title":"Analysis of explosion characteristics of combustible wood dust in confined system using the thermal decomposition rate and mass loss rate","type":"article-journal","volume":"109"},"uris":["http://www.mendeley.com/documents/?uuid=1296ab87-201a-405b-a652-25c8c68d5653"]}],"mendeley":{"formattedCitation":"[149]","plainTextFormattedCitation":"[149]","previouslyFormattedCitation":"[149]"},"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[149]</w:t>
            </w:r>
            <w:r w:rsidRPr="005A7A0A">
              <w:rPr>
                <w:color w:val="auto"/>
                <w:sz w:val="18"/>
                <w:szCs w:val="18"/>
                <w:lang w:eastAsia="en-GB" w:bidi="ar-SA"/>
              </w:rPr>
              <w:fldChar w:fldCharType="end"/>
            </w:r>
          </w:p>
        </w:tc>
      </w:tr>
      <w:tr w:rsidR="005A7A0A" w:rsidRPr="005A7A0A" w14:paraId="30A4B248" w14:textId="1844CC1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C45EA5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46</w:t>
            </w:r>
          </w:p>
        </w:tc>
        <w:tc>
          <w:tcPr>
            <w:tcW w:w="4204" w:type="dxa"/>
            <w:tcBorders>
              <w:top w:val="nil"/>
              <w:left w:val="nil"/>
              <w:bottom w:val="single" w:sz="4" w:space="0" w:color="auto"/>
              <w:right w:val="single" w:sz="4" w:space="0" w:color="auto"/>
            </w:tcBorders>
            <w:shd w:val="clear" w:color="auto" w:fill="auto"/>
            <w:noWrap/>
            <w:vAlign w:val="center"/>
            <w:hideMark/>
          </w:tcPr>
          <w:p w14:paraId="413BA0E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Rape seed straw</w:t>
            </w:r>
          </w:p>
        </w:tc>
        <w:tc>
          <w:tcPr>
            <w:tcW w:w="1055" w:type="dxa"/>
            <w:tcBorders>
              <w:top w:val="nil"/>
              <w:left w:val="nil"/>
              <w:bottom w:val="single" w:sz="4" w:space="0" w:color="auto"/>
              <w:right w:val="single" w:sz="4" w:space="0" w:color="auto"/>
            </w:tcBorders>
            <w:shd w:val="clear" w:color="auto" w:fill="auto"/>
            <w:noWrap/>
            <w:vAlign w:val="bottom"/>
          </w:tcPr>
          <w:p w14:paraId="2797EE6C" w14:textId="4A707DC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7.3</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0AA2636E" w14:textId="710BB28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w:t>
            </w:r>
          </w:p>
        </w:tc>
        <w:tc>
          <w:tcPr>
            <w:tcW w:w="1335" w:type="dxa"/>
            <w:tcBorders>
              <w:top w:val="nil"/>
              <w:left w:val="nil"/>
              <w:bottom w:val="single" w:sz="4" w:space="0" w:color="auto"/>
              <w:right w:val="single" w:sz="4" w:space="0" w:color="auto"/>
            </w:tcBorders>
            <w:shd w:val="clear" w:color="auto" w:fill="auto"/>
            <w:noWrap/>
            <w:vAlign w:val="bottom"/>
          </w:tcPr>
          <w:p w14:paraId="12CD1D4C" w14:textId="0392595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117.9</w:t>
            </w:r>
          </w:p>
        </w:tc>
        <w:tc>
          <w:tcPr>
            <w:tcW w:w="931" w:type="dxa"/>
            <w:tcBorders>
              <w:top w:val="nil"/>
              <w:left w:val="nil"/>
              <w:bottom w:val="single" w:sz="4" w:space="0" w:color="auto"/>
              <w:right w:val="single" w:sz="4" w:space="0" w:color="auto"/>
            </w:tcBorders>
            <w:shd w:val="clear" w:color="auto" w:fill="auto"/>
            <w:noWrap/>
            <w:vAlign w:val="bottom"/>
          </w:tcPr>
          <w:p w14:paraId="61E9B823" w14:textId="690DEF9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&gt;1000</w:t>
            </w:r>
          </w:p>
        </w:tc>
        <w:tc>
          <w:tcPr>
            <w:tcW w:w="992" w:type="dxa"/>
            <w:tcBorders>
              <w:top w:val="nil"/>
              <w:left w:val="nil"/>
              <w:bottom w:val="single" w:sz="4" w:space="0" w:color="auto"/>
              <w:right w:val="single" w:sz="4" w:space="0" w:color="auto"/>
            </w:tcBorders>
            <w:shd w:val="clear" w:color="auto" w:fill="auto"/>
            <w:noWrap/>
            <w:vAlign w:val="bottom"/>
          </w:tcPr>
          <w:p w14:paraId="5E49F426" w14:textId="6C6921D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330</w:t>
            </w:r>
          </w:p>
        </w:tc>
        <w:tc>
          <w:tcPr>
            <w:tcW w:w="1134" w:type="dxa"/>
            <w:tcBorders>
              <w:top w:val="nil"/>
              <w:left w:val="nil"/>
              <w:bottom w:val="single" w:sz="4" w:space="0" w:color="auto"/>
              <w:right w:val="single" w:sz="4" w:space="0" w:color="auto"/>
            </w:tcBorders>
            <w:shd w:val="clear" w:color="auto" w:fill="auto"/>
            <w:noWrap/>
            <w:vAlign w:val="bottom"/>
          </w:tcPr>
          <w:p w14:paraId="5628430D" w14:textId="2252857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w:t>
            </w:r>
          </w:p>
        </w:tc>
        <w:tc>
          <w:tcPr>
            <w:tcW w:w="851" w:type="dxa"/>
            <w:tcBorders>
              <w:top w:val="nil"/>
              <w:left w:val="nil"/>
              <w:bottom w:val="single" w:sz="4" w:space="0" w:color="auto"/>
              <w:right w:val="single" w:sz="4" w:space="0" w:color="auto"/>
            </w:tcBorders>
            <w:shd w:val="clear" w:color="auto" w:fill="auto"/>
            <w:noWrap/>
            <w:vAlign w:val="bottom"/>
          </w:tcPr>
          <w:p w14:paraId="61A11D1E" w14:textId="52D64CC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210</w:t>
            </w:r>
          </w:p>
        </w:tc>
        <w:tc>
          <w:tcPr>
            <w:tcW w:w="709" w:type="dxa"/>
            <w:tcBorders>
              <w:top w:val="single" w:sz="4" w:space="0" w:color="auto"/>
              <w:left w:val="nil"/>
              <w:bottom w:val="single" w:sz="4" w:space="0" w:color="auto"/>
              <w:right w:val="single" w:sz="4" w:space="0" w:color="auto"/>
            </w:tcBorders>
            <w:vAlign w:val="bottom"/>
          </w:tcPr>
          <w:p w14:paraId="3E8E3F42" w14:textId="72B47B08" w:rsidR="00AF5FF8" w:rsidRPr="005A7A0A" w:rsidRDefault="00386C99"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20.0</w:t>
            </w:r>
          </w:p>
        </w:tc>
        <w:tc>
          <w:tcPr>
            <w:tcW w:w="992" w:type="dxa"/>
            <w:tcBorders>
              <w:top w:val="single" w:sz="4" w:space="0" w:color="auto"/>
              <w:left w:val="single" w:sz="4" w:space="0" w:color="auto"/>
              <w:bottom w:val="single" w:sz="4" w:space="0" w:color="auto"/>
              <w:right w:val="single" w:sz="4" w:space="0" w:color="auto"/>
            </w:tcBorders>
            <w:vAlign w:val="bottom"/>
          </w:tcPr>
          <w:p w14:paraId="5CC6EDC8" w14:textId="5C04C88A"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5A7A0A" w:rsidRPr="005A7A0A" w14:paraId="15DCAC21" w14:textId="600ED23C"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958414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47</w:t>
            </w:r>
          </w:p>
        </w:tc>
        <w:tc>
          <w:tcPr>
            <w:tcW w:w="4204" w:type="dxa"/>
            <w:tcBorders>
              <w:top w:val="nil"/>
              <w:left w:val="nil"/>
              <w:bottom w:val="single" w:sz="4" w:space="0" w:color="auto"/>
              <w:right w:val="single" w:sz="4" w:space="0" w:color="auto"/>
            </w:tcBorders>
            <w:shd w:val="clear" w:color="auto" w:fill="auto"/>
            <w:noWrap/>
            <w:vAlign w:val="center"/>
            <w:hideMark/>
          </w:tcPr>
          <w:p w14:paraId="09CC574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Sewage sludge (Catalonia)</w:t>
            </w:r>
          </w:p>
        </w:tc>
        <w:tc>
          <w:tcPr>
            <w:tcW w:w="1055" w:type="dxa"/>
            <w:tcBorders>
              <w:top w:val="nil"/>
              <w:left w:val="nil"/>
              <w:bottom w:val="single" w:sz="4" w:space="0" w:color="auto"/>
              <w:right w:val="single" w:sz="4" w:space="0" w:color="auto"/>
            </w:tcBorders>
            <w:shd w:val="clear" w:color="auto" w:fill="auto"/>
            <w:noWrap/>
            <w:vAlign w:val="bottom"/>
          </w:tcPr>
          <w:p w14:paraId="7F3DBBAC" w14:textId="32EB10A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7E55B71B" w14:textId="08A5806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395E904E" w14:textId="0DB654B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7BD2BFCC" w14:textId="5D61840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F14EF8A" w14:textId="47E11AD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310</w:t>
            </w:r>
          </w:p>
        </w:tc>
        <w:tc>
          <w:tcPr>
            <w:tcW w:w="1134" w:type="dxa"/>
            <w:tcBorders>
              <w:top w:val="nil"/>
              <w:left w:val="nil"/>
              <w:bottom w:val="single" w:sz="4" w:space="0" w:color="auto"/>
              <w:right w:val="single" w:sz="4" w:space="0" w:color="auto"/>
            </w:tcBorders>
            <w:shd w:val="clear" w:color="auto" w:fill="auto"/>
            <w:noWrap/>
            <w:vAlign w:val="bottom"/>
          </w:tcPr>
          <w:p w14:paraId="413679D8" w14:textId="3BB63CE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1ED1ED8" w14:textId="594C640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74C66E12"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BBFB265" w14:textId="721D9ABE"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6979D2B6" w14:textId="3B1B56D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DC4347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48</w:t>
            </w:r>
          </w:p>
        </w:tc>
        <w:tc>
          <w:tcPr>
            <w:tcW w:w="4204" w:type="dxa"/>
            <w:tcBorders>
              <w:top w:val="nil"/>
              <w:left w:val="nil"/>
              <w:bottom w:val="single" w:sz="4" w:space="0" w:color="auto"/>
              <w:right w:val="single" w:sz="4" w:space="0" w:color="auto"/>
            </w:tcBorders>
            <w:shd w:val="clear" w:color="auto" w:fill="auto"/>
            <w:noWrap/>
            <w:vAlign w:val="center"/>
            <w:hideMark/>
          </w:tcPr>
          <w:p w14:paraId="7B1EC30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Sewage sludge (Catalonia)</w:t>
            </w:r>
          </w:p>
        </w:tc>
        <w:tc>
          <w:tcPr>
            <w:tcW w:w="1055" w:type="dxa"/>
            <w:tcBorders>
              <w:top w:val="nil"/>
              <w:left w:val="nil"/>
              <w:bottom w:val="single" w:sz="4" w:space="0" w:color="auto"/>
              <w:right w:val="single" w:sz="4" w:space="0" w:color="auto"/>
            </w:tcBorders>
            <w:shd w:val="clear" w:color="auto" w:fill="auto"/>
            <w:noWrap/>
            <w:vAlign w:val="bottom"/>
          </w:tcPr>
          <w:p w14:paraId="662DBE89" w14:textId="7ED23B9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03F36E82" w14:textId="734E1AA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2CE31172" w14:textId="5A1E426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1E21204D" w14:textId="232CFCD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7E0F44C" w14:textId="73F830E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&gt;400</w:t>
            </w:r>
          </w:p>
        </w:tc>
        <w:tc>
          <w:tcPr>
            <w:tcW w:w="1134" w:type="dxa"/>
            <w:tcBorders>
              <w:top w:val="nil"/>
              <w:left w:val="nil"/>
              <w:bottom w:val="single" w:sz="4" w:space="0" w:color="auto"/>
              <w:right w:val="single" w:sz="4" w:space="0" w:color="auto"/>
            </w:tcBorders>
            <w:shd w:val="clear" w:color="auto" w:fill="auto"/>
            <w:noWrap/>
            <w:vAlign w:val="bottom"/>
          </w:tcPr>
          <w:p w14:paraId="0C090F02" w14:textId="439359D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2917BE5" w14:textId="06EB3D2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0385273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B3FF9AC" w14:textId="7B799CE6"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641EC0CC" w14:textId="70A273B0"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1958D8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49</w:t>
            </w:r>
          </w:p>
        </w:tc>
        <w:tc>
          <w:tcPr>
            <w:tcW w:w="4204" w:type="dxa"/>
            <w:tcBorders>
              <w:top w:val="nil"/>
              <w:left w:val="nil"/>
              <w:bottom w:val="single" w:sz="4" w:space="0" w:color="auto"/>
              <w:right w:val="single" w:sz="4" w:space="0" w:color="auto"/>
            </w:tcBorders>
            <w:shd w:val="clear" w:color="auto" w:fill="auto"/>
            <w:noWrap/>
            <w:vAlign w:val="center"/>
            <w:hideMark/>
          </w:tcPr>
          <w:p w14:paraId="6164103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Sewage sludge (Madrid)</w:t>
            </w:r>
          </w:p>
        </w:tc>
        <w:tc>
          <w:tcPr>
            <w:tcW w:w="1055" w:type="dxa"/>
            <w:tcBorders>
              <w:top w:val="nil"/>
              <w:left w:val="nil"/>
              <w:bottom w:val="single" w:sz="4" w:space="0" w:color="auto"/>
              <w:right w:val="single" w:sz="4" w:space="0" w:color="auto"/>
            </w:tcBorders>
            <w:shd w:val="clear" w:color="auto" w:fill="auto"/>
            <w:noWrap/>
            <w:vAlign w:val="bottom"/>
          </w:tcPr>
          <w:p w14:paraId="56D0194D" w14:textId="66CEA04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0867912B" w14:textId="22A2F43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0838CB35" w14:textId="30D3AF7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05D866A8" w14:textId="3BEE129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9E6E98F" w14:textId="1AA23EA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280</w:t>
            </w:r>
          </w:p>
        </w:tc>
        <w:tc>
          <w:tcPr>
            <w:tcW w:w="1134" w:type="dxa"/>
            <w:tcBorders>
              <w:top w:val="nil"/>
              <w:left w:val="nil"/>
              <w:bottom w:val="single" w:sz="4" w:space="0" w:color="auto"/>
              <w:right w:val="single" w:sz="4" w:space="0" w:color="auto"/>
            </w:tcBorders>
            <w:shd w:val="clear" w:color="auto" w:fill="auto"/>
            <w:noWrap/>
            <w:vAlign w:val="bottom"/>
          </w:tcPr>
          <w:p w14:paraId="0A9B0B70" w14:textId="0BC6C9D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79127E28" w14:textId="64399C8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D2BC109"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0C0361F" w14:textId="263DD54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3D6AF0F2" w14:textId="7C60FE6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AD73AD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50</w:t>
            </w:r>
          </w:p>
        </w:tc>
        <w:tc>
          <w:tcPr>
            <w:tcW w:w="4204" w:type="dxa"/>
            <w:tcBorders>
              <w:top w:val="nil"/>
              <w:left w:val="nil"/>
              <w:bottom w:val="single" w:sz="4" w:space="0" w:color="auto"/>
              <w:right w:val="single" w:sz="4" w:space="0" w:color="auto"/>
            </w:tcBorders>
            <w:shd w:val="clear" w:color="auto" w:fill="auto"/>
            <w:noWrap/>
            <w:vAlign w:val="center"/>
            <w:hideMark/>
          </w:tcPr>
          <w:p w14:paraId="7DF9E13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Sewage sludge (Madrid)</w:t>
            </w:r>
          </w:p>
        </w:tc>
        <w:tc>
          <w:tcPr>
            <w:tcW w:w="1055" w:type="dxa"/>
            <w:tcBorders>
              <w:top w:val="nil"/>
              <w:left w:val="nil"/>
              <w:bottom w:val="single" w:sz="4" w:space="0" w:color="auto"/>
              <w:right w:val="single" w:sz="4" w:space="0" w:color="auto"/>
            </w:tcBorders>
            <w:shd w:val="clear" w:color="auto" w:fill="auto"/>
            <w:noWrap/>
            <w:vAlign w:val="bottom"/>
          </w:tcPr>
          <w:p w14:paraId="7641C5E8" w14:textId="657F598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545247B2" w14:textId="0B9DBF5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73955F96" w14:textId="516B697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4480FB39" w14:textId="411EA0F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3328BC1" w14:textId="04304E1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260</w:t>
            </w:r>
          </w:p>
        </w:tc>
        <w:tc>
          <w:tcPr>
            <w:tcW w:w="1134" w:type="dxa"/>
            <w:tcBorders>
              <w:top w:val="nil"/>
              <w:left w:val="nil"/>
              <w:bottom w:val="single" w:sz="4" w:space="0" w:color="auto"/>
              <w:right w:val="single" w:sz="4" w:space="0" w:color="auto"/>
            </w:tcBorders>
            <w:shd w:val="clear" w:color="auto" w:fill="auto"/>
            <w:noWrap/>
            <w:vAlign w:val="bottom"/>
          </w:tcPr>
          <w:p w14:paraId="652840FB" w14:textId="5331D70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451BD2A" w14:textId="3A130A2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4EDC9142"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2425B95" w14:textId="0299519C"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614648D2" w14:textId="753868B5"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AAA400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51</w:t>
            </w:r>
          </w:p>
        </w:tc>
        <w:tc>
          <w:tcPr>
            <w:tcW w:w="4204" w:type="dxa"/>
            <w:tcBorders>
              <w:top w:val="nil"/>
              <w:left w:val="nil"/>
              <w:bottom w:val="single" w:sz="4" w:space="0" w:color="auto"/>
              <w:right w:val="single" w:sz="4" w:space="0" w:color="auto"/>
            </w:tcBorders>
            <w:shd w:val="clear" w:color="auto" w:fill="auto"/>
            <w:noWrap/>
            <w:vAlign w:val="center"/>
            <w:hideMark/>
          </w:tcPr>
          <w:p w14:paraId="0067AE7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Sewage sludge (Madrid)</w:t>
            </w:r>
          </w:p>
        </w:tc>
        <w:tc>
          <w:tcPr>
            <w:tcW w:w="1055" w:type="dxa"/>
            <w:tcBorders>
              <w:top w:val="nil"/>
              <w:left w:val="nil"/>
              <w:bottom w:val="single" w:sz="4" w:space="0" w:color="auto"/>
              <w:right w:val="single" w:sz="4" w:space="0" w:color="auto"/>
            </w:tcBorders>
            <w:shd w:val="clear" w:color="auto" w:fill="auto"/>
            <w:noWrap/>
            <w:vAlign w:val="bottom"/>
          </w:tcPr>
          <w:p w14:paraId="249C646B" w14:textId="4F12620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1EC53344" w14:textId="44294BE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0E4C8A21" w14:textId="59339CE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295BBFF9" w14:textId="78B6192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FE07ED6" w14:textId="09FF303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&gt;400</w:t>
            </w:r>
          </w:p>
        </w:tc>
        <w:tc>
          <w:tcPr>
            <w:tcW w:w="1134" w:type="dxa"/>
            <w:tcBorders>
              <w:top w:val="nil"/>
              <w:left w:val="nil"/>
              <w:bottom w:val="single" w:sz="4" w:space="0" w:color="auto"/>
              <w:right w:val="single" w:sz="4" w:space="0" w:color="auto"/>
            </w:tcBorders>
            <w:shd w:val="clear" w:color="auto" w:fill="auto"/>
            <w:noWrap/>
            <w:vAlign w:val="bottom"/>
          </w:tcPr>
          <w:p w14:paraId="226EA73E" w14:textId="3AA6851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A12C4A7" w14:textId="214DB0E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42CC073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4BCFFC7" w14:textId="7EBD64AC"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703B53CE" w14:textId="30C7327A"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064951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52</w:t>
            </w:r>
          </w:p>
        </w:tc>
        <w:tc>
          <w:tcPr>
            <w:tcW w:w="4204" w:type="dxa"/>
            <w:tcBorders>
              <w:top w:val="nil"/>
              <w:left w:val="nil"/>
              <w:bottom w:val="single" w:sz="4" w:space="0" w:color="auto"/>
              <w:right w:val="single" w:sz="4" w:space="0" w:color="auto"/>
            </w:tcBorders>
            <w:shd w:val="clear" w:color="auto" w:fill="auto"/>
            <w:noWrap/>
            <w:vAlign w:val="center"/>
            <w:hideMark/>
          </w:tcPr>
          <w:p w14:paraId="0DB8E71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Softwood pellets - white dust (British Columbia, Canada)</w:t>
            </w:r>
          </w:p>
        </w:tc>
        <w:tc>
          <w:tcPr>
            <w:tcW w:w="1055" w:type="dxa"/>
            <w:tcBorders>
              <w:top w:val="nil"/>
              <w:left w:val="nil"/>
              <w:bottom w:val="single" w:sz="4" w:space="0" w:color="auto"/>
              <w:right w:val="single" w:sz="4" w:space="0" w:color="auto"/>
            </w:tcBorders>
            <w:shd w:val="clear" w:color="auto" w:fill="auto"/>
            <w:noWrap/>
            <w:vAlign w:val="bottom"/>
          </w:tcPr>
          <w:p w14:paraId="0986B66D" w14:textId="018A10C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8.1</w:t>
            </w:r>
          </w:p>
        </w:tc>
        <w:tc>
          <w:tcPr>
            <w:tcW w:w="1006" w:type="dxa"/>
            <w:tcBorders>
              <w:top w:val="nil"/>
              <w:left w:val="nil"/>
              <w:bottom w:val="single" w:sz="4" w:space="0" w:color="auto"/>
              <w:right w:val="single" w:sz="4" w:space="0" w:color="auto"/>
            </w:tcBorders>
            <w:shd w:val="clear" w:color="auto" w:fill="auto"/>
            <w:noWrap/>
            <w:vAlign w:val="bottom"/>
          </w:tcPr>
          <w:p w14:paraId="10112F3E" w14:textId="5A77B06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146.0</w:t>
            </w:r>
          </w:p>
        </w:tc>
        <w:tc>
          <w:tcPr>
            <w:tcW w:w="1335" w:type="dxa"/>
            <w:tcBorders>
              <w:top w:val="nil"/>
              <w:left w:val="nil"/>
              <w:bottom w:val="single" w:sz="4" w:space="0" w:color="auto"/>
              <w:right w:val="single" w:sz="4" w:space="0" w:color="auto"/>
            </w:tcBorders>
            <w:shd w:val="clear" w:color="auto" w:fill="auto"/>
            <w:noWrap/>
            <w:vAlign w:val="bottom"/>
          </w:tcPr>
          <w:p w14:paraId="7E4E2779" w14:textId="7B0476A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537.0</w:t>
            </w:r>
          </w:p>
        </w:tc>
        <w:tc>
          <w:tcPr>
            <w:tcW w:w="931" w:type="dxa"/>
            <w:tcBorders>
              <w:top w:val="nil"/>
              <w:left w:val="nil"/>
              <w:bottom w:val="single" w:sz="4" w:space="0" w:color="auto"/>
              <w:right w:val="single" w:sz="4" w:space="0" w:color="auto"/>
            </w:tcBorders>
            <w:shd w:val="clear" w:color="auto" w:fill="auto"/>
            <w:noWrap/>
            <w:vAlign w:val="bottom"/>
          </w:tcPr>
          <w:p w14:paraId="174D57E0" w14:textId="72C40B2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17</w:t>
            </w:r>
          </w:p>
        </w:tc>
        <w:tc>
          <w:tcPr>
            <w:tcW w:w="992" w:type="dxa"/>
            <w:tcBorders>
              <w:top w:val="nil"/>
              <w:left w:val="nil"/>
              <w:bottom w:val="single" w:sz="4" w:space="0" w:color="auto"/>
              <w:right w:val="single" w:sz="4" w:space="0" w:color="auto"/>
            </w:tcBorders>
            <w:shd w:val="clear" w:color="auto" w:fill="auto"/>
            <w:noWrap/>
            <w:vAlign w:val="bottom"/>
          </w:tcPr>
          <w:p w14:paraId="0D30FD3A" w14:textId="285FAD3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w:t>
            </w:r>
          </w:p>
        </w:tc>
        <w:tc>
          <w:tcPr>
            <w:tcW w:w="1134" w:type="dxa"/>
            <w:tcBorders>
              <w:top w:val="nil"/>
              <w:left w:val="nil"/>
              <w:bottom w:val="single" w:sz="4" w:space="0" w:color="auto"/>
              <w:right w:val="single" w:sz="4" w:space="0" w:color="auto"/>
            </w:tcBorders>
            <w:shd w:val="clear" w:color="auto" w:fill="auto"/>
            <w:noWrap/>
            <w:vAlign w:val="bottom"/>
          </w:tcPr>
          <w:p w14:paraId="2B6F4D2C" w14:textId="1B57320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450</w:t>
            </w:r>
          </w:p>
        </w:tc>
        <w:tc>
          <w:tcPr>
            <w:tcW w:w="851" w:type="dxa"/>
            <w:tcBorders>
              <w:top w:val="nil"/>
              <w:left w:val="nil"/>
              <w:bottom w:val="single" w:sz="4" w:space="0" w:color="auto"/>
              <w:right w:val="single" w:sz="4" w:space="0" w:color="auto"/>
            </w:tcBorders>
            <w:shd w:val="clear" w:color="auto" w:fill="auto"/>
            <w:noWrap/>
            <w:vAlign w:val="bottom"/>
          </w:tcPr>
          <w:p w14:paraId="67F0662D" w14:textId="7B27D18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70</w:t>
            </w:r>
          </w:p>
        </w:tc>
        <w:tc>
          <w:tcPr>
            <w:tcW w:w="709" w:type="dxa"/>
            <w:tcBorders>
              <w:top w:val="single" w:sz="4" w:space="0" w:color="auto"/>
              <w:left w:val="nil"/>
              <w:bottom w:val="single" w:sz="4" w:space="0" w:color="auto"/>
              <w:right w:val="single" w:sz="4" w:space="0" w:color="auto"/>
            </w:tcBorders>
            <w:vAlign w:val="bottom"/>
          </w:tcPr>
          <w:p w14:paraId="5198C55C" w14:textId="11B7438A" w:rsidR="00AF5FF8" w:rsidRPr="005A7A0A" w:rsidRDefault="00845E0C"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10.5</w:t>
            </w:r>
          </w:p>
        </w:tc>
        <w:tc>
          <w:tcPr>
            <w:tcW w:w="992" w:type="dxa"/>
            <w:tcBorders>
              <w:top w:val="single" w:sz="4" w:space="0" w:color="auto"/>
              <w:left w:val="single" w:sz="4" w:space="0" w:color="auto"/>
              <w:bottom w:val="single" w:sz="4" w:space="0" w:color="auto"/>
              <w:right w:val="single" w:sz="4" w:space="0" w:color="auto"/>
            </w:tcBorders>
            <w:vAlign w:val="bottom"/>
          </w:tcPr>
          <w:p w14:paraId="1C16D7AD" w14:textId="283D4550"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{"citationItems":[{"id":"ITEM-1","itemData":{"author":[{"dropping-particle":"","family":"Melin","given":"Staffan","non-dropping-particle":"","parse-names":false,"suffix":""}],"container-title":"Wood Pellet Association of Canada","id":"ITEM-1","issued":{"date-parts":[["2008"]]},"page":"1-19","title":"Testing of Explosibility and Flammability of Airborne Dust from Wood Pellets","type":"article-journal"},"uris":["http://www.mendeley.com/documents/?uuid=f8a065d7-e91a-41fa-b9ce-5a0bf751276a"]}],"mendeley":{"formattedCitation":"[147]","plainTextFormattedCitation":"[147]","previouslyFormattedCitation":"[147]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[147]</w:t>
            </w:r>
            <w:r w:rsidRPr="005A7A0A">
              <w:rPr>
                <w:color w:val="auto"/>
                <w:sz w:val="18"/>
                <w:szCs w:val="18"/>
                <w:lang w:eastAsia="en-GB" w:bidi="ar-SA"/>
              </w:rPr>
              <w:fldChar w:fldCharType="end"/>
            </w:r>
          </w:p>
        </w:tc>
      </w:tr>
      <w:tr w:rsidR="005A7A0A" w:rsidRPr="005A7A0A" w14:paraId="017BBDDC" w14:textId="3DA7BF1D"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F0AFFF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53</w:t>
            </w:r>
          </w:p>
        </w:tc>
        <w:tc>
          <w:tcPr>
            <w:tcW w:w="4204" w:type="dxa"/>
            <w:tcBorders>
              <w:top w:val="nil"/>
              <w:left w:val="nil"/>
              <w:bottom w:val="single" w:sz="4" w:space="0" w:color="auto"/>
              <w:right w:val="single" w:sz="4" w:space="0" w:color="auto"/>
            </w:tcBorders>
            <w:shd w:val="clear" w:color="auto" w:fill="auto"/>
            <w:noWrap/>
            <w:vAlign w:val="center"/>
            <w:hideMark/>
          </w:tcPr>
          <w:p w14:paraId="540AA9E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Sorghum</w:t>
            </w:r>
          </w:p>
        </w:tc>
        <w:tc>
          <w:tcPr>
            <w:tcW w:w="1055" w:type="dxa"/>
            <w:tcBorders>
              <w:top w:val="nil"/>
              <w:left w:val="nil"/>
              <w:bottom w:val="single" w:sz="4" w:space="0" w:color="auto"/>
              <w:right w:val="single" w:sz="4" w:space="0" w:color="auto"/>
            </w:tcBorders>
            <w:shd w:val="clear" w:color="auto" w:fill="auto"/>
            <w:noWrap/>
            <w:vAlign w:val="bottom"/>
          </w:tcPr>
          <w:p w14:paraId="3825EB53" w14:textId="6CE6C77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7.2</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21C19D28" w14:textId="0FC8F1F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28.0</w:t>
            </w:r>
          </w:p>
        </w:tc>
        <w:tc>
          <w:tcPr>
            <w:tcW w:w="1335" w:type="dxa"/>
            <w:tcBorders>
              <w:top w:val="nil"/>
              <w:left w:val="nil"/>
              <w:bottom w:val="single" w:sz="4" w:space="0" w:color="auto"/>
              <w:right w:val="single" w:sz="4" w:space="0" w:color="auto"/>
            </w:tcBorders>
            <w:shd w:val="clear" w:color="auto" w:fill="auto"/>
            <w:noWrap/>
            <w:vAlign w:val="bottom"/>
          </w:tcPr>
          <w:p w14:paraId="1BB6BE62" w14:textId="0546C84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103.2</w:t>
            </w:r>
          </w:p>
        </w:tc>
        <w:tc>
          <w:tcPr>
            <w:tcW w:w="931" w:type="dxa"/>
            <w:tcBorders>
              <w:top w:val="nil"/>
              <w:left w:val="nil"/>
              <w:bottom w:val="single" w:sz="4" w:space="0" w:color="auto"/>
              <w:right w:val="single" w:sz="4" w:space="0" w:color="auto"/>
            </w:tcBorders>
            <w:shd w:val="clear" w:color="auto" w:fill="auto"/>
            <w:noWrap/>
            <w:vAlign w:val="bottom"/>
          </w:tcPr>
          <w:p w14:paraId="4CB26794" w14:textId="3387131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1400</w:t>
            </w:r>
          </w:p>
        </w:tc>
        <w:tc>
          <w:tcPr>
            <w:tcW w:w="992" w:type="dxa"/>
            <w:tcBorders>
              <w:top w:val="nil"/>
              <w:left w:val="nil"/>
              <w:bottom w:val="single" w:sz="4" w:space="0" w:color="auto"/>
              <w:right w:val="single" w:sz="4" w:space="0" w:color="auto"/>
            </w:tcBorders>
            <w:shd w:val="clear" w:color="auto" w:fill="auto"/>
            <w:noWrap/>
            <w:vAlign w:val="bottom"/>
          </w:tcPr>
          <w:p w14:paraId="733C7885" w14:textId="521E972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w:t>
            </w:r>
          </w:p>
        </w:tc>
        <w:tc>
          <w:tcPr>
            <w:tcW w:w="1134" w:type="dxa"/>
            <w:tcBorders>
              <w:top w:val="nil"/>
              <w:left w:val="nil"/>
              <w:bottom w:val="single" w:sz="4" w:space="0" w:color="auto"/>
              <w:right w:val="single" w:sz="4" w:space="0" w:color="auto"/>
            </w:tcBorders>
            <w:shd w:val="clear" w:color="auto" w:fill="auto"/>
            <w:noWrap/>
            <w:vAlign w:val="bottom"/>
          </w:tcPr>
          <w:p w14:paraId="71E88BC3" w14:textId="610DC0D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440</w:t>
            </w:r>
          </w:p>
        </w:tc>
        <w:tc>
          <w:tcPr>
            <w:tcW w:w="851" w:type="dxa"/>
            <w:tcBorders>
              <w:top w:val="nil"/>
              <w:left w:val="nil"/>
              <w:bottom w:val="single" w:sz="4" w:space="0" w:color="auto"/>
              <w:right w:val="single" w:sz="4" w:space="0" w:color="auto"/>
            </w:tcBorders>
            <w:shd w:val="clear" w:color="auto" w:fill="auto"/>
            <w:noWrap/>
            <w:vAlign w:val="bottom"/>
          </w:tcPr>
          <w:p w14:paraId="0146A504" w14:textId="67AAE0A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120</w:t>
            </w:r>
          </w:p>
        </w:tc>
        <w:tc>
          <w:tcPr>
            <w:tcW w:w="709" w:type="dxa"/>
            <w:tcBorders>
              <w:top w:val="single" w:sz="4" w:space="0" w:color="auto"/>
              <w:left w:val="nil"/>
              <w:bottom w:val="single" w:sz="4" w:space="0" w:color="auto"/>
              <w:right w:val="single" w:sz="4" w:space="0" w:color="auto"/>
            </w:tcBorders>
            <w:vAlign w:val="bottom"/>
          </w:tcPr>
          <w:p w14:paraId="3DA47CA6" w14:textId="1F95C5AC" w:rsidR="00AF5FF8" w:rsidRPr="005A7A0A" w:rsidRDefault="00386C99"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20.0</w:t>
            </w:r>
          </w:p>
        </w:tc>
        <w:tc>
          <w:tcPr>
            <w:tcW w:w="992" w:type="dxa"/>
            <w:tcBorders>
              <w:top w:val="single" w:sz="4" w:space="0" w:color="auto"/>
              <w:left w:val="single" w:sz="4" w:space="0" w:color="auto"/>
              <w:bottom w:val="single" w:sz="4" w:space="0" w:color="auto"/>
              <w:right w:val="single" w:sz="4" w:space="0" w:color="auto"/>
            </w:tcBorders>
            <w:vAlign w:val="bottom"/>
          </w:tcPr>
          <w:p w14:paraId="6D0BA182" w14:textId="6CD8363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5A7A0A" w:rsidRPr="005A7A0A" w14:paraId="0EBE48AE" w14:textId="3C175CBC"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32F627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54</w:t>
            </w:r>
          </w:p>
        </w:tc>
        <w:tc>
          <w:tcPr>
            <w:tcW w:w="4204" w:type="dxa"/>
            <w:tcBorders>
              <w:top w:val="nil"/>
              <w:left w:val="nil"/>
              <w:bottom w:val="single" w:sz="4" w:space="0" w:color="auto"/>
              <w:right w:val="single" w:sz="4" w:space="0" w:color="auto"/>
            </w:tcBorders>
            <w:shd w:val="clear" w:color="auto" w:fill="auto"/>
            <w:noWrap/>
            <w:vAlign w:val="center"/>
            <w:hideMark/>
          </w:tcPr>
          <w:p w14:paraId="4BE2066A" w14:textId="721105F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Southern pine</w:t>
            </w:r>
          </w:p>
        </w:tc>
        <w:tc>
          <w:tcPr>
            <w:tcW w:w="1055" w:type="dxa"/>
            <w:tcBorders>
              <w:top w:val="nil"/>
              <w:left w:val="nil"/>
              <w:bottom w:val="single" w:sz="4" w:space="0" w:color="auto"/>
              <w:right w:val="single" w:sz="4" w:space="0" w:color="auto"/>
            </w:tcBorders>
            <w:shd w:val="clear" w:color="auto" w:fill="auto"/>
            <w:noWrap/>
            <w:vAlign w:val="bottom"/>
          </w:tcPr>
          <w:p w14:paraId="391CEDE8" w14:textId="11B160A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25DF9CE6" w14:textId="6D3E231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105.0</w:t>
            </w:r>
          </w:p>
        </w:tc>
        <w:tc>
          <w:tcPr>
            <w:tcW w:w="1335" w:type="dxa"/>
            <w:tcBorders>
              <w:top w:val="nil"/>
              <w:left w:val="nil"/>
              <w:bottom w:val="single" w:sz="4" w:space="0" w:color="auto"/>
              <w:right w:val="single" w:sz="4" w:space="0" w:color="auto"/>
            </w:tcBorders>
            <w:shd w:val="clear" w:color="auto" w:fill="auto"/>
            <w:noWrap/>
            <w:vAlign w:val="bottom"/>
          </w:tcPr>
          <w:p w14:paraId="0E92DF33" w14:textId="2FEB177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386.8</w:t>
            </w:r>
          </w:p>
        </w:tc>
        <w:tc>
          <w:tcPr>
            <w:tcW w:w="931" w:type="dxa"/>
            <w:tcBorders>
              <w:top w:val="nil"/>
              <w:left w:val="nil"/>
              <w:bottom w:val="single" w:sz="4" w:space="0" w:color="auto"/>
              <w:right w:val="single" w:sz="4" w:space="0" w:color="auto"/>
            </w:tcBorders>
            <w:shd w:val="clear" w:color="auto" w:fill="auto"/>
            <w:noWrap/>
            <w:vAlign w:val="bottom"/>
          </w:tcPr>
          <w:p w14:paraId="3389717C" w14:textId="66784AB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AD3603D" w14:textId="5D40AF9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A1FD4DB" w14:textId="4AB2175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1235C774" w14:textId="2D35778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C33BE2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C4AF502" w14:textId="6A4ECDA2"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{"citationItems":[{"id":"ITEM-1","itemData":{"DOI":"10.1016/J.FUEL.2015.01.009","ISSN":"0016-2361","abstract":"Pulverised coal has been known to pose explosion risks since the 19th century, with the advent of biomass use in coal fired power generation boilers the explosion risk may need revision. The objective of the present work was to compare the explosibility of two samples of bituminous coal used in UK power stations with two biomass fuels and to review available explosion data in the literature for pulverised coal and biomass. The 1 m3 ISO explosion vessel was used to determine the explosion characteristics: deflagration index (KSt), maximum explosion pressure (Pmax) and minimum explosible concentration (MEC). Flame speeds were also measured and these are relevant to understanding the mechanism of turbulent flame propagation in power station burners, which is related to the problem of flame flashback or blow-off. Despite the similarities in composition of both coals, the explosion reactivity of Colombian coal was much higher, with a KSt value of 129 bar m/s compared to 78 bar m/s for Kellingley coal. The main difference between the two fuels was the surface area of particles which was higher for Colombian coal. It was shown that the char burn out rate at 900 °C in air was higher for Colombian coal, due to the greater oxygen diffusion in the higher porosity of the char. Results for two biomass fuels are also presented with similar values for KSt and the literature review shows that both coal and biomass have very variable flame reactivities. There is no general trend that coal is less reactive than biomass, although this could be the case for specific coals and biomass.","author":[{"dropping-particle":"","family":"Huéscar Medina","given":"Clara","non-dropping-particle":"","parse-names":false,"suffix":""},{"dropping-particle":"","family":"Maccoitir","given":"Brian","non-dropping-particle":"","parse-names":false,"suffix":""},{"dropping-particle":"","family":"Sattar","given":"Hamed","non-dropping-particle":"","parse-names":false,"suffix":""},{"dropping-particle":"","family":"Slatter","given":"David J.F.","non-dropping-particle":"","parse-names":false,"suffix":""},{"dropping-particle":"","family":"Phylaktou","given":"Herodotos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M.","non-dropping-particle":"","parse-names":false,"suffix":""}],"container-title":"Fuel","id":"ITEM-1","issued":{"date-parts":[["2015","7","1"]]},"page":"91-101","publisher":"Elsevier","title":"Comparison of the explosion characteristics and flame speeds of pulverised coals and biomass in the ISO standard 1 m3 dust explosion equipment","type":"article-journal","volume":"151"},"uris":["http://www.mendeley.com/documents/?uuid=16e63468-cc45-4b29-81a4-483ec09b97cc"]}],"mendeley":{"formattedCitation":"[108]","plainTextFormattedCitation":"[108]","previouslyFormattedCitation":"[108]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[108]</w:t>
            </w:r>
            <w:r w:rsidRPr="005A7A0A">
              <w:rPr>
                <w:color w:val="auto"/>
                <w:sz w:val="18"/>
                <w:szCs w:val="18"/>
                <w:lang w:eastAsia="en-GB" w:bidi="ar-SA"/>
              </w:rPr>
              <w:fldChar w:fldCharType="end"/>
            </w:r>
          </w:p>
        </w:tc>
      </w:tr>
      <w:tr w:rsidR="005A7A0A" w:rsidRPr="005A7A0A" w14:paraId="14E81858" w14:textId="1E77390A"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4F6EE1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55</w:t>
            </w:r>
          </w:p>
        </w:tc>
        <w:tc>
          <w:tcPr>
            <w:tcW w:w="4204" w:type="dxa"/>
            <w:tcBorders>
              <w:top w:val="nil"/>
              <w:left w:val="nil"/>
              <w:bottom w:val="single" w:sz="4" w:space="0" w:color="auto"/>
              <w:right w:val="single" w:sz="4" w:space="0" w:color="auto"/>
            </w:tcBorders>
            <w:shd w:val="clear" w:color="auto" w:fill="auto"/>
            <w:noWrap/>
            <w:vAlign w:val="center"/>
            <w:hideMark/>
          </w:tcPr>
          <w:p w14:paraId="0018A8A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Southern pine (Pinus palustris)</w:t>
            </w:r>
          </w:p>
        </w:tc>
        <w:tc>
          <w:tcPr>
            <w:tcW w:w="1055" w:type="dxa"/>
            <w:tcBorders>
              <w:top w:val="nil"/>
              <w:left w:val="nil"/>
              <w:bottom w:val="single" w:sz="4" w:space="0" w:color="auto"/>
              <w:right w:val="single" w:sz="4" w:space="0" w:color="auto"/>
            </w:tcBorders>
            <w:shd w:val="clear" w:color="auto" w:fill="auto"/>
            <w:noWrap/>
            <w:vAlign w:val="bottom"/>
          </w:tcPr>
          <w:p w14:paraId="4D0A95F0" w14:textId="0BA696A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2A26E36B" w14:textId="55E94AD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105.0</w:t>
            </w:r>
          </w:p>
        </w:tc>
        <w:tc>
          <w:tcPr>
            <w:tcW w:w="1335" w:type="dxa"/>
            <w:tcBorders>
              <w:top w:val="nil"/>
              <w:left w:val="nil"/>
              <w:bottom w:val="single" w:sz="4" w:space="0" w:color="auto"/>
              <w:right w:val="single" w:sz="4" w:space="0" w:color="auto"/>
            </w:tcBorders>
            <w:shd w:val="clear" w:color="auto" w:fill="auto"/>
            <w:noWrap/>
            <w:vAlign w:val="bottom"/>
          </w:tcPr>
          <w:p w14:paraId="30EF4F12" w14:textId="7C7987B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386.8</w:t>
            </w:r>
          </w:p>
        </w:tc>
        <w:tc>
          <w:tcPr>
            <w:tcW w:w="931" w:type="dxa"/>
            <w:tcBorders>
              <w:top w:val="nil"/>
              <w:left w:val="nil"/>
              <w:bottom w:val="single" w:sz="4" w:space="0" w:color="auto"/>
              <w:right w:val="single" w:sz="4" w:space="0" w:color="auto"/>
            </w:tcBorders>
            <w:shd w:val="clear" w:color="auto" w:fill="auto"/>
            <w:noWrap/>
            <w:vAlign w:val="bottom"/>
          </w:tcPr>
          <w:p w14:paraId="67B93F27" w14:textId="0AD37EC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8B89E4C" w14:textId="6DB6CA0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6D9DAF5C" w14:textId="49A58F5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55D4FE3" w14:textId="6F79FFD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4AD256AD"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7EFC6DD" w14:textId="1813CDFE"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{"citationItems":[{"id":"ITEM-1","itemData":{"DOI":"10.1016/j.biombioe.2013.03.008","ISSN":"0961-9534","abstract":"Biomass powders, in both raw and thermally treated (torrefied) form, are used in 100% biomass fired or in coal co-fired plants for power generation. They pose significant fire and explosion risks during storage, handling, processing and combustion, and therefore their explosibility characteristics need to be assessed for the design of safe systems and operations. Wood biomass powders are difficult to characterise for explosibility through standard methods because of their bulky and fibrous nature. This has resulted in the lack of reliable data on the explosibility of these materials. In this study we present a new methodology – with example measurements – for the determination of the minimum explosible concentrations (MECs) of raw and torrefied wood biomass powders, using a modified Hartmann tube. This equipment can also be used as a fast screening tool for the determination of other reactivity parameters, such as flame speeds and rates of pressure rise, through which the most reactive mixture can be identified for more detailed measurements in the larger ISO 1 m3 vessel. MEC measurements reported in this paper showed that both raw and torrefied pulverised wood biomass, were explosible at equivalence ratios as low as 0.2. This was one-third (1/3) the corresponding concentration for Kellingley coal (measured with the same method). Flame speeds 5–10 times higher than those of coal were measured for biomass. Flame speed differences will also have a direct effect on burner performance and flame stability for systems originally designed to burn coal and now firing biomass without modifications.","author":[{"dropping-particle":"","family":"Huéscar Medina","given":"C","non-dropping-particle":"","parse-names":false,"suffix":""},{"dropping-particle":"","family":"Phylaktou","given":"H N","non-dropping-particle":"","parse-names":false,"suffix":""},{"dropping-particle":"","family":"Sattar","given":"H","non-dropping-particle":"","parse-names":false,"suffix":""},{"dropping-particle":"","family":"Andrews","given":"G E","non-dropping-particle":"","parse-names":false,"suffix":""},{"dropping-particle":"","family":"Gibbs","given":"B M","non-dropping-particle":"","parse-names":false,"suffix":""}],"container-title":"Biomass and Bioenergy","id":"ITEM-1","issued":{"date-parts":[["2013"]]},"note":"20th European Biomass Conference","page":"95-104","title":"The development of an experimental method for the determination of the minimum explosible concentration of biomass powders","type":"article-journal","volume":"53"},"uris":["http://www.mendeley.com/documents/?uuid=e460354a-e41e-4af9-ad5f-439bb23b9ee3"]}],"mendeley":{"formattedCitation":"[128]","plainTextFormattedCitation":"[128]","previouslyFormattedCitation":"[128]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[128]</w:t>
            </w:r>
            <w:r w:rsidRPr="005A7A0A">
              <w:rPr>
                <w:color w:val="auto"/>
                <w:sz w:val="18"/>
                <w:szCs w:val="18"/>
                <w:lang w:eastAsia="en-GB" w:bidi="ar-SA"/>
              </w:rPr>
              <w:fldChar w:fldCharType="end"/>
            </w:r>
          </w:p>
        </w:tc>
      </w:tr>
      <w:tr w:rsidR="005A7A0A" w:rsidRPr="005A7A0A" w14:paraId="2000F9F5" w14:textId="050E8E3B"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6FAABC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lastRenderedPageBreak/>
              <w:t>56</w:t>
            </w:r>
          </w:p>
        </w:tc>
        <w:tc>
          <w:tcPr>
            <w:tcW w:w="4204" w:type="dxa"/>
            <w:tcBorders>
              <w:top w:val="nil"/>
              <w:left w:val="nil"/>
              <w:bottom w:val="single" w:sz="4" w:space="0" w:color="auto"/>
              <w:right w:val="single" w:sz="4" w:space="0" w:color="auto"/>
            </w:tcBorders>
            <w:shd w:val="clear" w:color="auto" w:fill="auto"/>
            <w:noWrap/>
            <w:vAlign w:val="center"/>
            <w:hideMark/>
          </w:tcPr>
          <w:p w14:paraId="799CD9E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Southern yellow pine wood pellets (USA)</w:t>
            </w:r>
          </w:p>
        </w:tc>
        <w:tc>
          <w:tcPr>
            <w:tcW w:w="1055" w:type="dxa"/>
            <w:tcBorders>
              <w:top w:val="nil"/>
              <w:left w:val="nil"/>
              <w:bottom w:val="single" w:sz="4" w:space="0" w:color="auto"/>
              <w:right w:val="single" w:sz="4" w:space="0" w:color="auto"/>
            </w:tcBorders>
            <w:shd w:val="clear" w:color="auto" w:fill="auto"/>
            <w:noWrap/>
            <w:vAlign w:val="bottom"/>
          </w:tcPr>
          <w:p w14:paraId="115FEF8D" w14:textId="7CC4CE7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7.7</w:t>
            </w:r>
          </w:p>
        </w:tc>
        <w:tc>
          <w:tcPr>
            <w:tcW w:w="1006" w:type="dxa"/>
            <w:tcBorders>
              <w:top w:val="nil"/>
              <w:left w:val="nil"/>
              <w:bottom w:val="single" w:sz="4" w:space="0" w:color="auto"/>
              <w:right w:val="single" w:sz="4" w:space="0" w:color="auto"/>
            </w:tcBorders>
            <w:shd w:val="clear" w:color="auto" w:fill="auto"/>
            <w:noWrap/>
            <w:vAlign w:val="bottom"/>
          </w:tcPr>
          <w:p w14:paraId="2875A11B" w14:textId="2974B95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98.0</w:t>
            </w:r>
          </w:p>
        </w:tc>
        <w:tc>
          <w:tcPr>
            <w:tcW w:w="1335" w:type="dxa"/>
            <w:tcBorders>
              <w:top w:val="nil"/>
              <w:left w:val="nil"/>
              <w:bottom w:val="single" w:sz="4" w:space="0" w:color="auto"/>
              <w:right w:val="single" w:sz="4" w:space="0" w:color="auto"/>
            </w:tcBorders>
            <w:shd w:val="clear" w:color="auto" w:fill="auto"/>
            <w:noWrap/>
            <w:vAlign w:val="bottom"/>
          </w:tcPr>
          <w:p w14:paraId="43B25B14" w14:textId="1DFB699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360.0</w:t>
            </w:r>
          </w:p>
        </w:tc>
        <w:tc>
          <w:tcPr>
            <w:tcW w:w="931" w:type="dxa"/>
            <w:tcBorders>
              <w:top w:val="nil"/>
              <w:left w:val="nil"/>
              <w:bottom w:val="single" w:sz="4" w:space="0" w:color="auto"/>
              <w:right w:val="single" w:sz="4" w:space="0" w:color="auto"/>
            </w:tcBorders>
            <w:shd w:val="clear" w:color="auto" w:fill="auto"/>
            <w:noWrap/>
            <w:vAlign w:val="bottom"/>
          </w:tcPr>
          <w:p w14:paraId="2C5CF90A" w14:textId="1A3BE47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20</w:t>
            </w:r>
          </w:p>
        </w:tc>
        <w:tc>
          <w:tcPr>
            <w:tcW w:w="992" w:type="dxa"/>
            <w:tcBorders>
              <w:top w:val="nil"/>
              <w:left w:val="nil"/>
              <w:bottom w:val="single" w:sz="4" w:space="0" w:color="auto"/>
              <w:right w:val="single" w:sz="4" w:space="0" w:color="auto"/>
            </w:tcBorders>
            <w:shd w:val="clear" w:color="auto" w:fill="auto"/>
            <w:noWrap/>
            <w:vAlign w:val="bottom"/>
          </w:tcPr>
          <w:p w14:paraId="05CAC842" w14:textId="6F5B1D4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w:t>
            </w:r>
          </w:p>
        </w:tc>
        <w:tc>
          <w:tcPr>
            <w:tcW w:w="1134" w:type="dxa"/>
            <w:tcBorders>
              <w:top w:val="nil"/>
              <w:left w:val="nil"/>
              <w:bottom w:val="single" w:sz="4" w:space="0" w:color="auto"/>
              <w:right w:val="single" w:sz="4" w:space="0" w:color="auto"/>
            </w:tcBorders>
            <w:shd w:val="clear" w:color="auto" w:fill="auto"/>
            <w:noWrap/>
            <w:vAlign w:val="bottom"/>
          </w:tcPr>
          <w:p w14:paraId="4F71345D" w14:textId="493ED7C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455</w:t>
            </w:r>
          </w:p>
        </w:tc>
        <w:tc>
          <w:tcPr>
            <w:tcW w:w="851" w:type="dxa"/>
            <w:tcBorders>
              <w:top w:val="nil"/>
              <w:left w:val="nil"/>
              <w:bottom w:val="single" w:sz="4" w:space="0" w:color="auto"/>
              <w:right w:val="single" w:sz="4" w:space="0" w:color="auto"/>
            </w:tcBorders>
            <w:shd w:val="clear" w:color="auto" w:fill="auto"/>
            <w:noWrap/>
            <w:vAlign w:val="bottom"/>
          </w:tcPr>
          <w:p w14:paraId="44F2A9F4" w14:textId="0AE8F85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25</w:t>
            </w:r>
          </w:p>
        </w:tc>
        <w:tc>
          <w:tcPr>
            <w:tcW w:w="709" w:type="dxa"/>
            <w:tcBorders>
              <w:top w:val="single" w:sz="4" w:space="0" w:color="auto"/>
              <w:left w:val="nil"/>
              <w:bottom w:val="single" w:sz="4" w:space="0" w:color="auto"/>
              <w:right w:val="single" w:sz="4" w:space="0" w:color="auto"/>
            </w:tcBorders>
            <w:vAlign w:val="bottom"/>
          </w:tcPr>
          <w:p w14:paraId="6A2B1DCB" w14:textId="595A7F91" w:rsidR="00AF5FF8" w:rsidRPr="005A7A0A" w:rsidRDefault="00845E0C"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13.5</w:t>
            </w:r>
          </w:p>
        </w:tc>
        <w:tc>
          <w:tcPr>
            <w:tcW w:w="992" w:type="dxa"/>
            <w:tcBorders>
              <w:top w:val="single" w:sz="4" w:space="0" w:color="auto"/>
              <w:left w:val="single" w:sz="4" w:space="0" w:color="auto"/>
              <w:bottom w:val="single" w:sz="4" w:space="0" w:color="auto"/>
              <w:right w:val="single" w:sz="4" w:space="0" w:color="auto"/>
            </w:tcBorders>
            <w:vAlign w:val="bottom"/>
          </w:tcPr>
          <w:p w14:paraId="74E287F9" w14:textId="0253F6AE"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{"citationItems":[{"id":"ITEM-1","itemData":{"author":[{"dropping-particle":"","family":"Melin","given":"Staffan","non-dropping-particle":"","parse-names":false,"suffix":""}],"container-title":"Wood Pellet Association of Canada","id":"ITEM-1","issued":{"date-parts":[["2008"]]},"page":"1-19","title":"Testing of Explosibility and Flammability of Airborne Dust from Wood Pellets","type":"article-journal"},"uris":["http://www.mendeley.com/documents/?uuid=f8a065d7-e91a-41fa-b9ce-5a0bf751276a"]}],"mendeley":{"formattedCitation":"[147]","plainTextFormattedCitation":"[147]","previouslyFormattedCitation":"[147]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[147]</w:t>
            </w:r>
            <w:r w:rsidRPr="005A7A0A">
              <w:rPr>
                <w:color w:val="auto"/>
                <w:sz w:val="18"/>
                <w:szCs w:val="18"/>
                <w:lang w:eastAsia="en-GB" w:bidi="ar-SA"/>
              </w:rPr>
              <w:fldChar w:fldCharType="end"/>
            </w:r>
          </w:p>
        </w:tc>
      </w:tr>
      <w:tr w:rsidR="005A7A0A" w:rsidRPr="005A7A0A" w14:paraId="506745C9" w14:textId="4FFE6294"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081F8A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57</w:t>
            </w:r>
          </w:p>
        </w:tc>
        <w:tc>
          <w:tcPr>
            <w:tcW w:w="4204" w:type="dxa"/>
            <w:tcBorders>
              <w:top w:val="nil"/>
              <w:left w:val="nil"/>
              <w:bottom w:val="single" w:sz="4" w:space="0" w:color="auto"/>
              <w:right w:val="single" w:sz="4" w:space="0" w:color="auto"/>
            </w:tcBorders>
            <w:shd w:val="clear" w:color="auto" w:fill="auto"/>
            <w:noWrap/>
            <w:vAlign w:val="center"/>
            <w:hideMark/>
          </w:tcPr>
          <w:p w14:paraId="752D17E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Spanish pine</w:t>
            </w:r>
          </w:p>
        </w:tc>
        <w:tc>
          <w:tcPr>
            <w:tcW w:w="1055" w:type="dxa"/>
            <w:tcBorders>
              <w:top w:val="nil"/>
              <w:left w:val="nil"/>
              <w:bottom w:val="single" w:sz="4" w:space="0" w:color="auto"/>
              <w:right w:val="single" w:sz="4" w:space="0" w:color="auto"/>
            </w:tcBorders>
            <w:shd w:val="clear" w:color="auto" w:fill="auto"/>
            <w:noWrap/>
            <w:vAlign w:val="bottom"/>
          </w:tcPr>
          <w:p w14:paraId="5DFACEB6" w14:textId="3F011EA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7.2</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79D8F534" w14:textId="588648E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23.0</w:t>
            </w:r>
          </w:p>
        </w:tc>
        <w:tc>
          <w:tcPr>
            <w:tcW w:w="1335" w:type="dxa"/>
            <w:tcBorders>
              <w:top w:val="nil"/>
              <w:left w:val="nil"/>
              <w:bottom w:val="single" w:sz="4" w:space="0" w:color="auto"/>
              <w:right w:val="single" w:sz="4" w:space="0" w:color="auto"/>
            </w:tcBorders>
            <w:shd w:val="clear" w:color="auto" w:fill="auto"/>
            <w:noWrap/>
            <w:vAlign w:val="bottom"/>
          </w:tcPr>
          <w:p w14:paraId="1343CAF9" w14:textId="4CFE7C3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84.7</w:t>
            </w:r>
          </w:p>
        </w:tc>
        <w:tc>
          <w:tcPr>
            <w:tcW w:w="931" w:type="dxa"/>
            <w:tcBorders>
              <w:top w:val="nil"/>
              <w:left w:val="nil"/>
              <w:bottom w:val="single" w:sz="4" w:space="0" w:color="auto"/>
              <w:right w:val="single" w:sz="4" w:space="0" w:color="auto"/>
            </w:tcBorders>
            <w:shd w:val="clear" w:color="auto" w:fill="auto"/>
            <w:noWrap/>
            <w:vAlign w:val="bottom"/>
          </w:tcPr>
          <w:p w14:paraId="2ACE6855" w14:textId="0315BE0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450</w:t>
            </w:r>
          </w:p>
        </w:tc>
        <w:tc>
          <w:tcPr>
            <w:tcW w:w="992" w:type="dxa"/>
            <w:tcBorders>
              <w:top w:val="nil"/>
              <w:left w:val="nil"/>
              <w:bottom w:val="single" w:sz="4" w:space="0" w:color="auto"/>
              <w:right w:val="single" w:sz="4" w:space="0" w:color="auto"/>
            </w:tcBorders>
            <w:shd w:val="clear" w:color="auto" w:fill="auto"/>
            <w:noWrap/>
            <w:vAlign w:val="bottom"/>
          </w:tcPr>
          <w:p w14:paraId="4B854F5B" w14:textId="5CBB34A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350</w:t>
            </w:r>
          </w:p>
        </w:tc>
        <w:tc>
          <w:tcPr>
            <w:tcW w:w="1134" w:type="dxa"/>
            <w:tcBorders>
              <w:top w:val="nil"/>
              <w:left w:val="nil"/>
              <w:bottom w:val="single" w:sz="4" w:space="0" w:color="auto"/>
              <w:right w:val="single" w:sz="4" w:space="0" w:color="auto"/>
            </w:tcBorders>
            <w:shd w:val="clear" w:color="auto" w:fill="auto"/>
            <w:noWrap/>
            <w:vAlign w:val="bottom"/>
          </w:tcPr>
          <w:p w14:paraId="54424507" w14:textId="58E3E94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460</w:t>
            </w:r>
          </w:p>
        </w:tc>
        <w:tc>
          <w:tcPr>
            <w:tcW w:w="851" w:type="dxa"/>
            <w:tcBorders>
              <w:top w:val="nil"/>
              <w:left w:val="nil"/>
              <w:bottom w:val="single" w:sz="4" w:space="0" w:color="auto"/>
              <w:right w:val="single" w:sz="4" w:space="0" w:color="auto"/>
            </w:tcBorders>
            <w:shd w:val="clear" w:color="auto" w:fill="auto"/>
            <w:noWrap/>
            <w:vAlign w:val="bottom"/>
          </w:tcPr>
          <w:p w14:paraId="0D5EF7C3" w14:textId="3A79434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90</w:t>
            </w:r>
          </w:p>
        </w:tc>
        <w:tc>
          <w:tcPr>
            <w:tcW w:w="709" w:type="dxa"/>
            <w:tcBorders>
              <w:top w:val="single" w:sz="4" w:space="0" w:color="auto"/>
              <w:left w:val="nil"/>
              <w:bottom w:val="single" w:sz="4" w:space="0" w:color="auto"/>
              <w:right w:val="single" w:sz="4" w:space="0" w:color="auto"/>
            </w:tcBorders>
            <w:vAlign w:val="bottom"/>
          </w:tcPr>
          <w:p w14:paraId="39CC5420" w14:textId="3A1361F6" w:rsidR="00AF5FF8" w:rsidRPr="005A7A0A" w:rsidRDefault="00386C99"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17.0</w:t>
            </w:r>
          </w:p>
        </w:tc>
        <w:tc>
          <w:tcPr>
            <w:tcW w:w="992" w:type="dxa"/>
            <w:tcBorders>
              <w:top w:val="single" w:sz="4" w:space="0" w:color="auto"/>
              <w:left w:val="single" w:sz="4" w:space="0" w:color="auto"/>
              <w:bottom w:val="single" w:sz="4" w:space="0" w:color="auto"/>
              <w:right w:val="single" w:sz="4" w:space="0" w:color="auto"/>
            </w:tcBorders>
            <w:vAlign w:val="bottom"/>
          </w:tcPr>
          <w:p w14:paraId="41E68CD8" w14:textId="1322D183"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5A7A0A" w:rsidRPr="005A7A0A" w14:paraId="018BDB1E" w14:textId="68804080"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4ED21B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58</w:t>
            </w:r>
          </w:p>
        </w:tc>
        <w:tc>
          <w:tcPr>
            <w:tcW w:w="4204" w:type="dxa"/>
            <w:tcBorders>
              <w:top w:val="nil"/>
              <w:left w:val="nil"/>
              <w:bottom w:val="single" w:sz="4" w:space="0" w:color="auto"/>
              <w:right w:val="single" w:sz="4" w:space="0" w:color="auto"/>
            </w:tcBorders>
            <w:shd w:val="clear" w:color="auto" w:fill="auto"/>
            <w:noWrap/>
            <w:vAlign w:val="center"/>
            <w:hideMark/>
          </w:tcPr>
          <w:p w14:paraId="3832257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Spruce</w:t>
            </w:r>
          </w:p>
        </w:tc>
        <w:tc>
          <w:tcPr>
            <w:tcW w:w="1055" w:type="dxa"/>
            <w:tcBorders>
              <w:top w:val="nil"/>
              <w:left w:val="nil"/>
              <w:bottom w:val="single" w:sz="4" w:space="0" w:color="auto"/>
              <w:right w:val="single" w:sz="4" w:space="0" w:color="auto"/>
            </w:tcBorders>
            <w:shd w:val="clear" w:color="auto" w:fill="auto"/>
            <w:noWrap/>
            <w:vAlign w:val="bottom"/>
          </w:tcPr>
          <w:p w14:paraId="76D43FD6" w14:textId="7E4CB06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47A1ED60" w14:textId="39578FD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2A1C66CD" w14:textId="034C4D6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1EA081AB" w14:textId="0FFE7C0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w:t>
            </w:r>
          </w:p>
        </w:tc>
        <w:tc>
          <w:tcPr>
            <w:tcW w:w="992" w:type="dxa"/>
            <w:tcBorders>
              <w:top w:val="nil"/>
              <w:left w:val="nil"/>
              <w:bottom w:val="single" w:sz="4" w:space="0" w:color="auto"/>
              <w:right w:val="single" w:sz="4" w:space="0" w:color="auto"/>
            </w:tcBorders>
            <w:shd w:val="clear" w:color="auto" w:fill="auto"/>
            <w:noWrap/>
            <w:vAlign w:val="bottom"/>
          </w:tcPr>
          <w:p w14:paraId="0E9B43A2" w14:textId="7C94A47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57E4E67" w14:textId="64D998B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992BA3C" w14:textId="0AC4712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0.52</w:t>
            </w:r>
          </w:p>
        </w:tc>
        <w:tc>
          <w:tcPr>
            <w:tcW w:w="709" w:type="dxa"/>
            <w:tcBorders>
              <w:top w:val="single" w:sz="4" w:space="0" w:color="auto"/>
              <w:left w:val="nil"/>
              <w:bottom w:val="single" w:sz="4" w:space="0" w:color="auto"/>
              <w:right w:val="single" w:sz="4" w:space="0" w:color="auto"/>
            </w:tcBorders>
            <w:vAlign w:val="bottom"/>
          </w:tcPr>
          <w:p w14:paraId="73F3A8D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A9A1F94" w14:textId="6EC418A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[106]</w:t>
            </w:r>
            <w:r w:rsidRPr="005A7A0A">
              <w:rPr>
                <w:color w:val="auto"/>
                <w:sz w:val="18"/>
                <w:szCs w:val="18"/>
                <w:lang w:eastAsia="en-GB" w:bidi="ar-SA"/>
              </w:rPr>
              <w:fldChar w:fldCharType="end"/>
            </w:r>
          </w:p>
        </w:tc>
      </w:tr>
      <w:tr w:rsidR="005A7A0A" w:rsidRPr="005A7A0A" w14:paraId="74D2E6E7" w14:textId="34FB6AF7"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D61C8C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59</w:t>
            </w:r>
          </w:p>
        </w:tc>
        <w:tc>
          <w:tcPr>
            <w:tcW w:w="4204" w:type="dxa"/>
            <w:tcBorders>
              <w:top w:val="nil"/>
              <w:left w:val="nil"/>
              <w:bottom w:val="single" w:sz="4" w:space="0" w:color="auto"/>
              <w:right w:val="single" w:sz="4" w:space="0" w:color="auto"/>
            </w:tcBorders>
            <w:shd w:val="clear" w:color="auto" w:fill="auto"/>
            <w:noWrap/>
            <w:vAlign w:val="center"/>
            <w:hideMark/>
          </w:tcPr>
          <w:p w14:paraId="5B60E4B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Straw</w:t>
            </w:r>
          </w:p>
        </w:tc>
        <w:tc>
          <w:tcPr>
            <w:tcW w:w="1055" w:type="dxa"/>
            <w:tcBorders>
              <w:top w:val="nil"/>
              <w:left w:val="nil"/>
              <w:bottom w:val="single" w:sz="4" w:space="0" w:color="auto"/>
              <w:right w:val="single" w:sz="4" w:space="0" w:color="auto"/>
            </w:tcBorders>
            <w:shd w:val="clear" w:color="auto" w:fill="auto"/>
            <w:noWrap/>
            <w:vAlign w:val="bottom"/>
          </w:tcPr>
          <w:p w14:paraId="2F34400A" w14:textId="6423787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7.2</w:t>
            </w:r>
          </w:p>
        </w:tc>
        <w:tc>
          <w:tcPr>
            <w:tcW w:w="1006" w:type="dxa"/>
            <w:tcBorders>
              <w:top w:val="nil"/>
              <w:left w:val="nil"/>
              <w:bottom w:val="single" w:sz="4" w:space="0" w:color="auto"/>
              <w:right w:val="single" w:sz="4" w:space="0" w:color="auto"/>
            </w:tcBorders>
            <w:shd w:val="clear" w:color="auto" w:fill="auto"/>
            <w:noWrap/>
            <w:vAlign w:val="bottom"/>
          </w:tcPr>
          <w:p w14:paraId="02899282" w14:textId="0E3E5CB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157.0</w:t>
            </w:r>
          </w:p>
        </w:tc>
        <w:tc>
          <w:tcPr>
            <w:tcW w:w="1335" w:type="dxa"/>
            <w:tcBorders>
              <w:top w:val="nil"/>
              <w:left w:val="nil"/>
              <w:bottom w:val="single" w:sz="4" w:space="0" w:color="auto"/>
              <w:right w:val="single" w:sz="4" w:space="0" w:color="auto"/>
            </w:tcBorders>
            <w:shd w:val="clear" w:color="auto" w:fill="auto"/>
            <w:noWrap/>
            <w:vAlign w:val="bottom"/>
          </w:tcPr>
          <w:p w14:paraId="72C634A7" w14:textId="39FBE31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579.0</w:t>
            </w:r>
          </w:p>
        </w:tc>
        <w:tc>
          <w:tcPr>
            <w:tcW w:w="931" w:type="dxa"/>
            <w:tcBorders>
              <w:top w:val="nil"/>
              <w:left w:val="nil"/>
              <w:bottom w:val="single" w:sz="4" w:space="0" w:color="auto"/>
              <w:right w:val="single" w:sz="4" w:space="0" w:color="auto"/>
            </w:tcBorders>
            <w:shd w:val="clear" w:color="auto" w:fill="auto"/>
            <w:noWrap/>
            <w:vAlign w:val="bottom"/>
          </w:tcPr>
          <w:p w14:paraId="38DEEA0D" w14:textId="16D7699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440</w:t>
            </w:r>
          </w:p>
        </w:tc>
        <w:tc>
          <w:tcPr>
            <w:tcW w:w="992" w:type="dxa"/>
            <w:tcBorders>
              <w:top w:val="nil"/>
              <w:left w:val="nil"/>
              <w:bottom w:val="single" w:sz="4" w:space="0" w:color="auto"/>
              <w:right w:val="single" w:sz="4" w:space="0" w:color="auto"/>
            </w:tcBorders>
            <w:shd w:val="clear" w:color="auto" w:fill="auto"/>
            <w:noWrap/>
            <w:vAlign w:val="bottom"/>
          </w:tcPr>
          <w:p w14:paraId="5AC5B72F" w14:textId="7685BF6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w:t>
            </w:r>
          </w:p>
        </w:tc>
        <w:tc>
          <w:tcPr>
            <w:tcW w:w="1134" w:type="dxa"/>
            <w:tcBorders>
              <w:top w:val="nil"/>
              <w:left w:val="nil"/>
              <w:bottom w:val="single" w:sz="4" w:space="0" w:color="auto"/>
              <w:right w:val="single" w:sz="4" w:space="0" w:color="auto"/>
            </w:tcBorders>
            <w:shd w:val="clear" w:color="auto" w:fill="auto"/>
            <w:noWrap/>
            <w:vAlign w:val="bottom"/>
          </w:tcPr>
          <w:p w14:paraId="6E116455" w14:textId="60B57DE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w:t>
            </w:r>
          </w:p>
        </w:tc>
        <w:tc>
          <w:tcPr>
            <w:tcW w:w="851" w:type="dxa"/>
            <w:tcBorders>
              <w:top w:val="nil"/>
              <w:left w:val="nil"/>
              <w:bottom w:val="single" w:sz="4" w:space="0" w:color="auto"/>
              <w:right w:val="single" w:sz="4" w:space="0" w:color="auto"/>
            </w:tcBorders>
            <w:shd w:val="clear" w:color="auto" w:fill="auto"/>
            <w:noWrap/>
            <w:vAlign w:val="bottom"/>
          </w:tcPr>
          <w:p w14:paraId="2C42FE0D" w14:textId="2DACD07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709" w:type="dxa"/>
            <w:tcBorders>
              <w:top w:val="single" w:sz="4" w:space="0" w:color="auto"/>
              <w:left w:val="nil"/>
              <w:bottom w:val="single" w:sz="4" w:space="0" w:color="auto"/>
              <w:right w:val="single" w:sz="4" w:space="0" w:color="auto"/>
            </w:tcBorders>
            <w:vAlign w:val="bottom"/>
          </w:tcPr>
          <w:p w14:paraId="1EBB9553"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016BFA6" w14:textId="65A24EF2"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[142]</w:t>
            </w:r>
            <w:r w:rsidRPr="005A7A0A">
              <w:rPr>
                <w:color w:val="auto"/>
                <w:sz w:val="18"/>
                <w:szCs w:val="18"/>
                <w:lang w:eastAsia="en-GB" w:bidi="ar-SA"/>
              </w:rPr>
              <w:fldChar w:fldCharType="end"/>
            </w:r>
          </w:p>
        </w:tc>
      </w:tr>
      <w:tr w:rsidR="005A7A0A" w:rsidRPr="005A7A0A" w14:paraId="1C9C59CD" w14:textId="2E85836C"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9F128F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4204" w:type="dxa"/>
            <w:tcBorders>
              <w:top w:val="nil"/>
              <w:left w:val="nil"/>
              <w:bottom w:val="single" w:sz="4" w:space="0" w:color="auto"/>
              <w:right w:val="single" w:sz="4" w:space="0" w:color="auto"/>
            </w:tcBorders>
            <w:shd w:val="clear" w:color="auto" w:fill="auto"/>
            <w:noWrap/>
            <w:vAlign w:val="center"/>
            <w:hideMark/>
          </w:tcPr>
          <w:p w14:paraId="13BDB87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Torrefied Pine</w:t>
            </w:r>
          </w:p>
        </w:tc>
        <w:tc>
          <w:tcPr>
            <w:tcW w:w="1055" w:type="dxa"/>
            <w:tcBorders>
              <w:top w:val="nil"/>
              <w:left w:val="nil"/>
              <w:bottom w:val="single" w:sz="4" w:space="0" w:color="auto"/>
              <w:right w:val="single" w:sz="4" w:space="0" w:color="auto"/>
            </w:tcBorders>
            <w:shd w:val="clear" w:color="auto" w:fill="auto"/>
            <w:noWrap/>
            <w:vAlign w:val="bottom"/>
          </w:tcPr>
          <w:p w14:paraId="705994AD" w14:textId="135A776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37A99195" w14:textId="0E38208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7F42C7C8" w14:textId="2D50C94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3FF74EE0" w14:textId="3F1461B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w:t>
            </w:r>
          </w:p>
        </w:tc>
        <w:tc>
          <w:tcPr>
            <w:tcW w:w="992" w:type="dxa"/>
            <w:tcBorders>
              <w:top w:val="nil"/>
              <w:left w:val="nil"/>
              <w:bottom w:val="single" w:sz="4" w:space="0" w:color="auto"/>
              <w:right w:val="single" w:sz="4" w:space="0" w:color="auto"/>
            </w:tcBorders>
            <w:shd w:val="clear" w:color="auto" w:fill="auto"/>
            <w:noWrap/>
            <w:vAlign w:val="bottom"/>
          </w:tcPr>
          <w:p w14:paraId="0D99ADBC" w14:textId="3A4FDB0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BAACE47" w14:textId="48EF3E2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2B8507C" w14:textId="458D12E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0.37</w:t>
            </w:r>
            <w:r w:rsidRPr="005A7A0A">
              <w:rPr>
                <w:color w:val="auto"/>
                <w:vertAlign w:val="superscript"/>
              </w:rPr>
              <w:t xml:space="preserve"> </w:t>
            </w:r>
            <w:r w:rsidR="00DC6265" w:rsidRPr="005A7A0A">
              <w:rPr>
                <w:color w:val="auto"/>
                <w:vertAlign w:val="superscript"/>
              </w:rPr>
              <w:t>f</w:t>
            </w:r>
          </w:p>
        </w:tc>
        <w:tc>
          <w:tcPr>
            <w:tcW w:w="709" w:type="dxa"/>
            <w:tcBorders>
              <w:top w:val="single" w:sz="4" w:space="0" w:color="auto"/>
              <w:left w:val="nil"/>
              <w:bottom w:val="single" w:sz="4" w:space="0" w:color="auto"/>
              <w:right w:val="single" w:sz="4" w:space="0" w:color="auto"/>
            </w:tcBorders>
            <w:vAlign w:val="bottom"/>
          </w:tcPr>
          <w:p w14:paraId="78B03B6C"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B8951BA" w14:textId="1D5C4AD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[106]</w:t>
            </w:r>
            <w:r w:rsidRPr="005A7A0A">
              <w:rPr>
                <w:color w:val="auto"/>
                <w:sz w:val="18"/>
                <w:szCs w:val="18"/>
                <w:lang w:eastAsia="en-GB" w:bidi="ar-SA"/>
              </w:rPr>
              <w:fldChar w:fldCharType="end"/>
            </w:r>
          </w:p>
        </w:tc>
      </w:tr>
      <w:tr w:rsidR="005A7A0A" w:rsidRPr="005A7A0A" w14:paraId="1DFE72DF" w14:textId="15E4F3F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52DCED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61</w:t>
            </w:r>
          </w:p>
        </w:tc>
        <w:tc>
          <w:tcPr>
            <w:tcW w:w="4204" w:type="dxa"/>
            <w:tcBorders>
              <w:top w:val="nil"/>
              <w:left w:val="nil"/>
              <w:bottom w:val="single" w:sz="4" w:space="0" w:color="auto"/>
              <w:right w:val="single" w:sz="4" w:space="0" w:color="auto"/>
            </w:tcBorders>
            <w:shd w:val="clear" w:color="auto" w:fill="auto"/>
            <w:noWrap/>
            <w:vAlign w:val="center"/>
            <w:hideMark/>
          </w:tcPr>
          <w:p w14:paraId="3963C40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Torrefied Poplar</w:t>
            </w:r>
          </w:p>
        </w:tc>
        <w:tc>
          <w:tcPr>
            <w:tcW w:w="1055" w:type="dxa"/>
            <w:tcBorders>
              <w:top w:val="nil"/>
              <w:left w:val="nil"/>
              <w:bottom w:val="single" w:sz="4" w:space="0" w:color="auto"/>
              <w:right w:val="single" w:sz="4" w:space="0" w:color="auto"/>
            </w:tcBorders>
            <w:shd w:val="clear" w:color="auto" w:fill="auto"/>
            <w:noWrap/>
            <w:vAlign w:val="bottom"/>
          </w:tcPr>
          <w:p w14:paraId="4363F871" w14:textId="7ADDB3B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6D3ECDDB" w14:textId="24CA3AF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1D6C3D5A" w14:textId="3F72480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5C7A63A9" w14:textId="04CD821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22</w:t>
            </w:r>
          </w:p>
        </w:tc>
        <w:tc>
          <w:tcPr>
            <w:tcW w:w="992" w:type="dxa"/>
            <w:tcBorders>
              <w:top w:val="nil"/>
              <w:left w:val="nil"/>
              <w:bottom w:val="single" w:sz="4" w:space="0" w:color="auto"/>
              <w:right w:val="single" w:sz="4" w:space="0" w:color="auto"/>
            </w:tcBorders>
            <w:shd w:val="clear" w:color="auto" w:fill="auto"/>
            <w:noWrap/>
            <w:vAlign w:val="bottom"/>
          </w:tcPr>
          <w:p w14:paraId="5E4E2C8D" w14:textId="77DC8A6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80FF51C" w14:textId="1974B10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173B35DA" w14:textId="553F862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0.61</w:t>
            </w:r>
            <w:r w:rsidRPr="005A7A0A">
              <w:rPr>
                <w:color w:val="auto"/>
                <w:vertAlign w:val="superscript"/>
              </w:rPr>
              <w:t xml:space="preserve"> </w:t>
            </w:r>
            <w:r w:rsidR="00DC6265" w:rsidRPr="005A7A0A">
              <w:rPr>
                <w:color w:val="auto"/>
                <w:vertAlign w:val="superscript"/>
              </w:rPr>
              <w:t>f</w:t>
            </w:r>
          </w:p>
        </w:tc>
        <w:tc>
          <w:tcPr>
            <w:tcW w:w="709" w:type="dxa"/>
            <w:tcBorders>
              <w:top w:val="single" w:sz="4" w:space="0" w:color="auto"/>
              <w:left w:val="nil"/>
              <w:bottom w:val="single" w:sz="4" w:space="0" w:color="auto"/>
              <w:right w:val="single" w:sz="4" w:space="0" w:color="auto"/>
            </w:tcBorders>
            <w:vAlign w:val="bottom"/>
          </w:tcPr>
          <w:p w14:paraId="2D095B93"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4DBCA78" w14:textId="1BE4A136"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[106]</w:t>
            </w:r>
            <w:r w:rsidRPr="005A7A0A">
              <w:rPr>
                <w:color w:val="auto"/>
                <w:sz w:val="18"/>
                <w:szCs w:val="18"/>
                <w:lang w:eastAsia="en-GB" w:bidi="ar-SA"/>
              </w:rPr>
              <w:fldChar w:fldCharType="end"/>
            </w:r>
          </w:p>
        </w:tc>
      </w:tr>
      <w:tr w:rsidR="005A7A0A" w:rsidRPr="005A7A0A" w14:paraId="582C118D" w14:textId="5ECEF31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5899A0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62</w:t>
            </w:r>
          </w:p>
        </w:tc>
        <w:tc>
          <w:tcPr>
            <w:tcW w:w="4204" w:type="dxa"/>
            <w:tcBorders>
              <w:top w:val="nil"/>
              <w:left w:val="nil"/>
              <w:bottom w:val="single" w:sz="4" w:space="0" w:color="auto"/>
              <w:right w:val="single" w:sz="4" w:space="0" w:color="auto"/>
            </w:tcBorders>
            <w:shd w:val="clear" w:color="auto" w:fill="auto"/>
            <w:noWrap/>
            <w:vAlign w:val="center"/>
            <w:hideMark/>
          </w:tcPr>
          <w:p w14:paraId="4AE696D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Torrefied Spruce</w:t>
            </w:r>
          </w:p>
        </w:tc>
        <w:tc>
          <w:tcPr>
            <w:tcW w:w="1055" w:type="dxa"/>
            <w:tcBorders>
              <w:top w:val="nil"/>
              <w:left w:val="nil"/>
              <w:bottom w:val="single" w:sz="4" w:space="0" w:color="auto"/>
              <w:right w:val="single" w:sz="4" w:space="0" w:color="auto"/>
            </w:tcBorders>
            <w:shd w:val="clear" w:color="auto" w:fill="auto"/>
            <w:noWrap/>
            <w:vAlign w:val="bottom"/>
          </w:tcPr>
          <w:p w14:paraId="0B34CA70" w14:textId="205ECEE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0346DD7E" w14:textId="4D17A82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50ABE418" w14:textId="7BAE01E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6D5A44D6" w14:textId="5E3EE53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w:t>
            </w:r>
          </w:p>
        </w:tc>
        <w:tc>
          <w:tcPr>
            <w:tcW w:w="992" w:type="dxa"/>
            <w:tcBorders>
              <w:top w:val="nil"/>
              <w:left w:val="nil"/>
              <w:bottom w:val="single" w:sz="4" w:space="0" w:color="auto"/>
              <w:right w:val="single" w:sz="4" w:space="0" w:color="auto"/>
            </w:tcBorders>
            <w:shd w:val="clear" w:color="auto" w:fill="auto"/>
            <w:noWrap/>
            <w:vAlign w:val="bottom"/>
          </w:tcPr>
          <w:p w14:paraId="3B0FA799" w14:textId="76B6A64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629D7B1C" w14:textId="0B769DA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E88DBE7" w14:textId="1BC6646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0.57</w:t>
            </w:r>
            <w:r w:rsidRPr="005A7A0A">
              <w:rPr>
                <w:color w:val="auto"/>
                <w:vertAlign w:val="superscript"/>
              </w:rPr>
              <w:t xml:space="preserve"> </w:t>
            </w:r>
            <w:r w:rsidR="00DC6265" w:rsidRPr="005A7A0A">
              <w:rPr>
                <w:color w:val="auto"/>
                <w:vertAlign w:val="superscript"/>
              </w:rPr>
              <w:t>f</w:t>
            </w:r>
          </w:p>
        </w:tc>
        <w:tc>
          <w:tcPr>
            <w:tcW w:w="709" w:type="dxa"/>
            <w:tcBorders>
              <w:top w:val="single" w:sz="4" w:space="0" w:color="auto"/>
              <w:left w:val="nil"/>
              <w:bottom w:val="single" w:sz="4" w:space="0" w:color="auto"/>
              <w:right w:val="single" w:sz="4" w:space="0" w:color="auto"/>
            </w:tcBorders>
            <w:vAlign w:val="bottom"/>
          </w:tcPr>
          <w:p w14:paraId="4DC36B4A"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DF775FA" w14:textId="5B0AF0C4"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[106]</w:t>
            </w:r>
            <w:r w:rsidRPr="005A7A0A">
              <w:rPr>
                <w:color w:val="auto"/>
                <w:sz w:val="18"/>
                <w:szCs w:val="18"/>
                <w:lang w:eastAsia="en-GB" w:bidi="ar-SA"/>
              </w:rPr>
              <w:fldChar w:fldCharType="end"/>
            </w:r>
          </w:p>
        </w:tc>
      </w:tr>
      <w:tr w:rsidR="005A7A0A" w:rsidRPr="005A7A0A" w14:paraId="5EB1C47D" w14:textId="5C77788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DAA2E2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63</w:t>
            </w:r>
          </w:p>
        </w:tc>
        <w:tc>
          <w:tcPr>
            <w:tcW w:w="4204" w:type="dxa"/>
            <w:tcBorders>
              <w:top w:val="nil"/>
              <w:left w:val="nil"/>
              <w:bottom w:val="single" w:sz="4" w:space="0" w:color="auto"/>
              <w:right w:val="single" w:sz="4" w:space="0" w:color="auto"/>
            </w:tcBorders>
            <w:shd w:val="clear" w:color="auto" w:fill="auto"/>
            <w:noWrap/>
            <w:vAlign w:val="center"/>
            <w:hideMark/>
          </w:tcPr>
          <w:p w14:paraId="74BA04F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Torrefied wood pellets</w:t>
            </w:r>
          </w:p>
        </w:tc>
        <w:tc>
          <w:tcPr>
            <w:tcW w:w="1055" w:type="dxa"/>
            <w:tcBorders>
              <w:top w:val="nil"/>
              <w:left w:val="nil"/>
              <w:bottom w:val="single" w:sz="4" w:space="0" w:color="auto"/>
              <w:right w:val="single" w:sz="4" w:space="0" w:color="auto"/>
            </w:tcBorders>
            <w:shd w:val="clear" w:color="auto" w:fill="auto"/>
            <w:noWrap/>
            <w:vAlign w:val="bottom"/>
          </w:tcPr>
          <w:p w14:paraId="1F5DF777" w14:textId="51928B0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72EB4175" w14:textId="7DB01FE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463B0C4E" w14:textId="383E2BD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6253EE44" w14:textId="6F54AD1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8E8900D" w14:textId="055BBE9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w:t>
            </w:r>
          </w:p>
        </w:tc>
        <w:tc>
          <w:tcPr>
            <w:tcW w:w="1134" w:type="dxa"/>
            <w:tcBorders>
              <w:top w:val="nil"/>
              <w:left w:val="nil"/>
              <w:bottom w:val="single" w:sz="4" w:space="0" w:color="auto"/>
              <w:right w:val="single" w:sz="4" w:space="0" w:color="auto"/>
            </w:tcBorders>
            <w:shd w:val="clear" w:color="auto" w:fill="auto"/>
            <w:noWrap/>
            <w:vAlign w:val="bottom"/>
          </w:tcPr>
          <w:p w14:paraId="1CEB2B66" w14:textId="5E9449B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4ECB862" w14:textId="79DBF18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B448E3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3EADD02" w14:textId="5CF7D8C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3DB20947" w14:textId="3D860492"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4CBCC0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64</w:t>
            </w:r>
          </w:p>
        </w:tc>
        <w:tc>
          <w:tcPr>
            <w:tcW w:w="4204" w:type="dxa"/>
            <w:tcBorders>
              <w:top w:val="nil"/>
              <w:left w:val="nil"/>
              <w:bottom w:val="single" w:sz="4" w:space="0" w:color="auto"/>
              <w:right w:val="single" w:sz="4" w:space="0" w:color="auto"/>
            </w:tcBorders>
            <w:shd w:val="clear" w:color="auto" w:fill="auto"/>
            <w:noWrap/>
            <w:vAlign w:val="center"/>
            <w:hideMark/>
          </w:tcPr>
          <w:p w14:paraId="795EC92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Torrefied wood pellets</w:t>
            </w:r>
          </w:p>
        </w:tc>
        <w:tc>
          <w:tcPr>
            <w:tcW w:w="1055" w:type="dxa"/>
            <w:tcBorders>
              <w:top w:val="nil"/>
              <w:left w:val="nil"/>
              <w:bottom w:val="single" w:sz="4" w:space="0" w:color="auto"/>
              <w:right w:val="single" w:sz="4" w:space="0" w:color="auto"/>
            </w:tcBorders>
            <w:shd w:val="clear" w:color="auto" w:fill="auto"/>
            <w:noWrap/>
            <w:vAlign w:val="bottom"/>
          </w:tcPr>
          <w:p w14:paraId="44571E14" w14:textId="18E54A2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5D29C180" w14:textId="607D16D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25F13C58" w14:textId="532E599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32A4C493" w14:textId="4F251CD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616159D" w14:textId="382AB66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w:t>
            </w:r>
          </w:p>
        </w:tc>
        <w:tc>
          <w:tcPr>
            <w:tcW w:w="1134" w:type="dxa"/>
            <w:tcBorders>
              <w:top w:val="nil"/>
              <w:left w:val="nil"/>
              <w:bottom w:val="single" w:sz="4" w:space="0" w:color="auto"/>
              <w:right w:val="single" w:sz="4" w:space="0" w:color="auto"/>
            </w:tcBorders>
            <w:shd w:val="clear" w:color="auto" w:fill="auto"/>
            <w:noWrap/>
            <w:vAlign w:val="bottom"/>
          </w:tcPr>
          <w:p w14:paraId="48481C8C" w14:textId="234E060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117C1216" w14:textId="034A39E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31D9BAC0"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66834A4" w14:textId="001146E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2B2C3EAA" w14:textId="5B1C2DD2"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21AB3D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65</w:t>
            </w:r>
          </w:p>
        </w:tc>
        <w:tc>
          <w:tcPr>
            <w:tcW w:w="4204" w:type="dxa"/>
            <w:tcBorders>
              <w:top w:val="nil"/>
              <w:left w:val="nil"/>
              <w:bottom w:val="single" w:sz="4" w:space="0" w:color="auto"/>
              <w:right w:val="single" w:sz="4" w:space="0" w:color="auto"/>
            </w:tcBorders>
            <w:shd w:val="clear" w:color="auto" w:fill="auto"/>
            <w:noWrap/>
            <w:vAlign w:val="center"/>
            <w:hideMark/>
          </w:tcPr>
          <w:p w14:paraId="0571DC0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Torrified Norway spruce</w:t>
            </w:r>
          </w:p>
        </w:tc>
        <w:tc>
          <w:tcPr>
            <w:tcW w:w="1055" w:type="dxa"/>
            <w:tcBorders>
              <w:top w:val="nil"/>
              <w:left w:val="nil"/>
              <w:bottom w:val="single" w:sz="4" w:space="0" w:color="auto"/>
              <w:right w:val="single" w:sz="4" w:space="0" w:color="auto"/>
            </w:tcBorders>
            <w:shd w:val="clear" w:color="auto" w:fill="auto"/>
            <w:noWrap/>
            <w:vAlign w:val="bottom"/>
          </w:tcPr>
          <w:p w14:paraId="7C12D6E0" w14:textId="3E9C5CA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9.1</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79CA4383" w14:textId="077A54E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122.0</w:t>
            </w:r>
          </w:p>
        </w:tc>
        <w:tc>
          <w:tcPr>
            <w:tcW w:w="1335" w:type="dxa"/>
            <w:tcBorders>
              <w:top w:val="nil"/>
              <w:left w:val="nil"/>
              <w:bottom w:val="single" w:sz="4" w:space="0" w:color="auto"/>
              <w:right w:val="single" w:sz="4" w:space="0" w:color="auto"/>
            </w:tcBorders>
            <w:shd w:val="clear" w:color="auto" w:fill="auto"/>
            <w:noWrap/>
            <w:vAlign w:val="bottom"/>
          </w:tcPr>
          <w:p w14:paraId="5F8CE768" w14:textId="31A8E17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449.5</w:t>
            </w:r>
          </w:p>
        </w:tc>
        <w:tc>
          <w:tcPr>
            <w:tcW w:w="931" w:type="dxa"/>
            <w:tcBorders>
              <w:top w:val="nil"/>
              <w:left w:val="nil"/>
              <w:bottom w:val="single" w:sz="4" w:space="0" w:color="auto"/>
              <w:right w:val="single" w:sz="4" w:space="0" w:color="auto"/>
            </w:tcBorders>
            <w:shd w:val="clear" w:color="auto" w:fill="auto"/>
            <w:noWrap/>
            <w:vAlign w:val="bottom"/>
          </w:tcPr>
          <w:p w14:paraId="3B96737F" w14:textId="75591AE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5D9AC80" w14:textId="6E248CC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ABB6A6A" w14:textId="3BF1320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2EE3C06" w14:textId="2F18FE5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63</w:t>
            </w:r>
          </w:p>
        </w:tc>
        <w:tc>
          <w:tcPr>
            <w:tcW w:w="709" w:type="dxa"/>
            <w:tcBorders>
              <w:top w:val="single" w:sz="4" w:space="0" w:color="auto"/>
              <w:left w:val="nil"/>
              <w:bottom w:val="single" w:sz="4" w:space="0" w:color="auto"/>
              <w:right w:val="single" w:sz="4" w:space="0" w:color="auto"/>
            </w:tcBorders>
            <w:vAlign w:val="bottom"/>
          </w:tcPr>
          <w:p w14:paraId="4C66CC97"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5E62839" w14:textId="08DE1F63"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{"citationItems":[{"id":"ITEM-1","itemData":{"DOI":"10.1016/j.jlp.2014.12.009","ISSN":"0950-4230","abstract":"Pulverised biomass is increasingly being used for power generation in 100% biomass plants or mixed with coal as a way of reducing greenhouse gas emissions. The fire and explosion hazards of pulverised wood and other agricultural waste materials have been recognised for some time. However, safety data for biomass are very scarce in the public literature, and non-existent for upgraded biomass products such as torrefied biomass. This is largely due to the challenges that biomass poses for explosion characterisation in the standard methods (1 m3 ISO vessel or 20 L sphere). The authors have developed and calibrated a new system for the 1 m3 ISO vessel that overcomes these challenges. In this work we present the first data in the open literature for the explosion characteristics of torrefied biomass. Results for untreated Norway spruce wood and Kellingley coal are also included for comparison. Flame speeds and post-explosion residue analysis results are also presented. Torrefied spruce wood was found to be more reactive than Kellingley coal and slightly more reactive than its parent material in terms of KSt, Pmax and flame speed. The differences between coal and biomass samples highlight that it should not be assumed that safety systems for coal can be applied to torrefied or raw wood materials without suitable modifications.","author":[{"dropping-particle":"","family":"Huéscar Medina","given":"Clara","non-dropping-particle":"","parse-names":false,"suffix":""},{"dropping-particle":"","family":"Sattar","given":"Hamed","non-dropping-particle":"","parse-names":false,"suffix":""},{"dropping-particle":"","family":"Phylaktou","given":"Herodotos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M","non-dropping-particle":"","parse-names":false,"suffix":""}],"container-title":"Journal of Loss Prevention in the Process Industries","id":"ITEM-1","issued":{"date-parts":[["2015"]]},"page":"287-295","title":"Explosion reactivity characterisation of pulverised torrefied spruce wood","type":"article-journal","volume":"36"},"uris":["http://www.mendeley.com/documents/?uuid=0f4b7f7c-9c65-4eb5-a48e-d77f7a31cef8"]}],"mendeley":{"formattedCitation":"[148]","plainTextFormattedCitation":"[148]","previouslyFormattedCitation":"[148]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[148]</w:t>
            </w:r>
            <w:r w:rsidRPr="005A7A0A">
              <w:rPr>
                <w:color w:val="auto"/>
                <w:sz w:val="18"/>
                <w:szCs w:val="18"/>
                <w:lang w:eastAsia="en-GB" w:bidi="ar-SA"/>
              </w:rPr>
              <w:fldChar w:fldCharType="end"/>
            </w:r>
          </w:p>
        </w:tc>
      </w:tr>
      <w:tr w:rsidR="005A7A0A" w:rsidRPr="005A7A0A" w14:paraId="38524802" w14:textId="79DD8991"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B6CDB6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66</w:t>
            </w:r>
          </w:p>
        </w:tc>
        <w:tc>
          <w:tcPr>
            <w:tcW w:w="4204" w:type="dxa"/>
            <w:tcBorders>
              <w:top w:val="nil"/>
              <w:left w:val="nil"/>
              <w:bottom w:val="single" w:sz="4" w:space="0" w:color="auto"/>
              <w:right w:val="single" w:sz="4" w:space="0" w:color="auto"/>
            </w:tcBorders>
            <w:shd w:val="clear" w:color="auto" w:fill="auto"/>
            <w:noWrap/>
            <w:vAlign w:val="center"/>
            <w:hideMark/>
          </w:tcPr>
          <w:p w14:paraId="7A29912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Torrified Norway spruce (Picea abies)</w:t>
            </w:r>
          </w:p>
        </w:tc>
        <w:tc>
          <w:tcPr>
            <w:tcW w:w="1055" w:type="dxa"/>
            <w:tcBorders>
              <w:top w:val="nil"/>
              <w:left w:val="nil"/>
              <w:bottom w:val="single" w:sz="4" w:space="0" w:color="auto"/>
              <w:right w:val="single" w:sz="4" w:space="0" w:color="auto"/>
            </w:tcBorders>
            <w:shd w:val="clear" w:color="auto" w:fill="auto"/>
            <w:noWrap/>
            <w:vAlign w:val="bottom"/>
          </w:tcPr>
          <w:p w14:paraId="27B24861" w14:textId="49F43A9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9.1</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7D8F8887" w14:textId="59375CC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110.0</w:t>
            </w:r>
          </w:p>
        </w:tc>
        <w:tc>
          <w:tcPr>
            <w:tcW w:w="1335" w:type="dxa"/>
            <w:tcBorders>
              <w:top w:val="nil"/>
              <w:left w:val="nil"/>
              <w:bottom w:val="single" w:sz="4" w:space="0" w:color="auto"/>
              <w:right w:val="single" w:sz="4" w:space="0" w:color="auto"/>
            </w:tcBorders>
            <w:shd w:val="clear" w:color="auto" w:fill="auto"/>
            <w:noWrap/>
            <w:vAlign w:val="bottom"/>
          </w:tcPr>
          <w:p w14:paraId="06759457" w14:textId="5EF65C9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405.2</w:t>
            </w:r>
          </w:p>
        </w:tc>
        <w:tc>
          <w:tcPr>
            <w:tcW w:w="931" w:type="dxa"/>
            <w:tcBorders>
              <w:top w:val="nil"/>
              <w:left w:val="nil"/>
              <w:bottom w:val="single" w:sz="4" w:space="0" w:color="auto"/>
              <w:right w:val="single" w:sz="4" w:space="0" w:color="auto"/>
            </w:tcBorders>
            <w:shd w:val="clear" w:color="auto" w:fill="auto"/>
            <w:noWrap/>
            <w:vAlign w:val="bottom"/>
          </w:tcPr>
          <w:p w14:paraId="67C8734B" w14:textId="533E6CC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0FFBEC1A" w14:textId="59513E8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E9D4B7B" w14:textId="609204F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36583B5" w14:textId="5CD5555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54</w:t>
            </w:r>
          </w:p>
        </w:tc>
        <w:tc>
          <w:tcPr>
            <w:tcW w:w="709" w:type="dxa"/>
            <w:tcBorders>
              <w:top w:val="single" w:sz="4" w:space="0" w:color="auto"/>
              <w:left w:val="nil"/>
              <w:bottom w:val="single" w:sz="4" w:space="0" w:color="auto"/>
              <w:right w:val="single" w:sz="4" w:space="0" w:color="auto"/>
            </w:tcBorders>
            <w:vAlign w:val="bottom"/>
          </w:tcPr>
          <w:p w14:paraId="51565261"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EDEABBC" w14:textId="1EC39C7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{"citationItems":[{"id":"ITEM-1","itemData":{"DOI":"10.1016/j.biombioe.2013.03.008","ISSN":"0961-9534","abstract":"Biomass powders, in both raw and thermally treated (torrefied) form, are used in 100% biomass fired or in coal co-fired plants for power generation. They pose significant fire and explosion risks during storage, handling, processing and combustion, and therefore their explosibility characteristics need to be assessed for the design of safe systems and operations. Wood biomass powders are difficult to characterise for explosibility through standard methods because of their bulky and fibrous nature. This has resulted in the lack of reliable data on the explosibility of these materials. In this study we present a new methodology – with example measurements – for the determination of the minimum explosible concentrations (MECs) of raw and torrefied wood biomass powders, using a modified Hartmann tube. This equipment can also be used as a fast screening tool for the determination of other reactivity parameters, such as flame speeds and rates of pressure rise, through which the most reactive mixture can be identified for more detailed measurements in the larger ISO 1 m3 vessel. MEC measurements reported in this paper showed that both raw and torrefied pulverised wood biomass, were explosible at equivalence ratios as low as 0.2. This was one-third (1/3) the corresponding concentration for Kellingley coal (measured with the same method). Flame speeds 5–10 times higher than those of coal were measured for biomass. Flame speed differences will also have a direct effect on burner performance and flame stability for systems originally designed to burn coal and now firing biomass without modifications.","author":[{"dropping-particle":"","family":"Huéscar Medina","given":"C","non-dropping-particle":"","parse-names":false,"suffix":""},{"dropping-particle":"","family":"Phylaktou","given":"H N","non-dropping-particle":"","parse-names":false,"suffix":""},{"dropping-particle":"","family":"Sattar","given":"H","non-dropping-particle":"","parse-names":false,"suffix":""},{"dropping-particle":"","family":"Andrews","given":"G E","non-dropping-particle":"","parse-names":false,"suffix":""},{"dropping-particle":"","family":"Gibbs","given":"B M","non-dropping-particle":"","parse-names":false,"suffix":""}],"container-title":"Biomass and Bioenergy","id":"ITEM-1","issued":{"date-parts":[["2013"]]},"note":"20th European Biomass Conference","page":"95-104","title":"The development of an experimental method for the determination of the minimum explosible concentration of biomass powders","type":"article-journal","volume":"53"},"uris":["http://www.mendeley.com/documents/?uuid=e460354a-e41e-4af9-ad5f-439bb23b9ee3"]}],"mendeley":{"formattedCitation":"[128]","plainTextFormattedCitation":"[128]","previouslyFormattedCitation":"[128]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[128]</w:t>
            </w:r>
            <w:r w:rsidRPr="005A7A0A">
              <w:rPr>
                <w:color w:val="auto"/>
                <w:sz w:val="18"/>
                <w:szCs w:val="18"/>
                <w:lang w:eastAsia="en-GB" w:bidi="ar-SA"/>
              </w:rPr>
              <w:fldChar w:fldCharType="end"/>
            </w:r>
          </w:p>
        </w:tc>
      </w:tr>
      <w:tr w:rsidR="005A7A0A" w:rsidRPr="005A7A0A" w14:paraId="62D6F563" w14:textId="135822A9"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7A154D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67</w:t>
            </w:r>
          </w:p>
        </w:tc>
        <w:tc>
          <w:tcPr>
            <w:tcW w:w="4204" w:type="dxa"/>
            <w:tcBorders>
              <w:top w:val="nil"/>
              <w:left w:val="nil"/>
              <w:bottom w:val="single" w:sz="4" w:space="0" w:color="auto"/>
              <w:right w:val="single" w:sz="4" w:space="0" w:color="auto"/>
            </w:tcBorders>
            <w:shd w:val="clear" w:color="auto" w:fill="auto"/>
            <w:noWrap/>
            <w:vAlign w:val="center"/>
            <w:hideMark/>
          </w:tcPr>
          <w:p w14:paraId="1341577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Torrified southern pine</w:t>
            </w:r>
          </w:p>
        </w:tc>
        <w:tc>
          <w:tcPr>
            <w:tcW w:w="1055" w:type="dxa"/>
            <w:tcBorders>
              <w:top w:val="nil"/>
              <w:left w:val="nil"/>
              <w:bottom w:val="single" w:sz="4" w:space="0" w:color="auto"/>
              <w:right w:val="single" w:sz="4" w:space="0" w:color="auto"/>
            </w:tcBorders>
            <w:shd w:val="clear" w:color="auto" w:fill="auto"/>
            <w:noWrap/>
            <w:vAlign w:val="bottom"/>
          </w:tcPr>
          <w:p w14:paraId="4CC60889" w14:textId="4C19E7E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8.8</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64425D76" w14:textId="34FA954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115.0</w:t>
            </w:r>
          </w:p>
        </w:tc>
        <w:tc>
          <w:tcPr>
            <w:tcW w:w="1335" w:type="dxa"/>
            <w:tcBorders>
              <w:top w:val="nil"/>
              <w:left w:val="nil"/>
              <w:bottom w:val="single" w:sz="4" w:space="0" w:color="auto"/>
              <w:right w:val="single" w:sz="4" w:space="0" w:color="auto"/>
            </w:tcBorders>
            <w:shd w:val="clear" w:color="auto" w:fill="auto"/>
            <w:noWrap/>
            <w:vAlign w:val="bottom"/>
          </w:tcPr>
          <w:p w14:paraId="61087512" w14:textId="4368E15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423.7</w:t>
            </w:r>
          </w:p>
        </w:tc>
        <w:tc>
          <w:tcPr>
            <w:tcW w:w="931" w:type="dxa"/>
            <w:tcBorders>
              <w:top w:val="nil"/>
              <w:left w:val="nil"/>
              <w:bottom w:val="single" w:sz="4" w:space="0" w:color="auto"/>
              <w:right w:val="single" w:sz="4" w:space="0" w:color="auto"/>
            </w:tcBorders>
            <w:shd w:val="clear" w:color="auto" w:fill="auto"/>
            <w:noWrap/>
            <w:vAlign w:val="bottom"/>
          </w:tcPr>
          <w:p w14:paraId="1C802163" w14:textId="67F43D6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A8D9160" w14:textId="276B251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240F1BD8" w14:textId="1887693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72ABECA1" w14:textId="1DDB7A8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55</w:t>
            </w:r>
          </w:p>
        </w:tc>
        <w:tc>
          <w:tcPr>
            <w:tcW w:w="709" w:type="dxa"/>
            <w:tcBorders>
              <w:top w:val="single" w:sz="4" w:space="0" w:color="auto"/>
              <w:left w:val="nil"/>
              <w:bottom w:val="single" w:sz="4" w:space="0" w:color="auto"/>
              <w:right w:val="single" w:sz="4" w:space="0" w:color="auto"/>
            </w:tcBorders>
            <w:vAlign w:val="bottom"/>
          </w:tcPr>
          <w:p w14:paraId="48645CB1"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11969F7" w14:textId="77A32236"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{"citationItems":[{"id":"ITEM-1","itemData":{"DOI":"10.1016/j.biombioe.2013.03.008","ISSN":"0961-9534","abstract":"Biomass powders, in both raw and thermally treated (torrefied) form, are used in 100% biomass fired or in coal co-fired plants for power generation. They pose significant fire and explosion risks during storage, handling, processing and combustion, and therefore their explosibility characteristics need to be assessed for the design of safe systems and operations. Wood biomass powders are difficult to characterise for explosibility through standard methods because of their bulky and fibrous nature. This has resulted in the lack of reliable data on the explosibility of these materials. In this study we present a new methodology – with example measurements – for the determination of the minimum explosible concentrations (MECs) of raw and torrefied wood biomass powders, using a modified Hartmann tube. This equipment can also be used as a fast screening tool for the determination of other reactivity parameters, such as flame speeds and rates of pressure rise, through which the most reactive mixture can be identified for more detailed measurements in the larger ISO 1 m3 vessel. MEC measurements reported in this paper showed that both raw and torrefied pulverised wood biomass, were explosible at equivalence ratios as low as 0.2. This was one-third (1/3) the corresponding concentration for Kellingley coal (measured with the same method). Flame speeds 5–10 times higher than those of coal were measured for biomass. Flame speed differences will also have a direct effect on burner performance and flame stability for systems originally designed to burn coal and now firing biomass without modifications.","author":[{"dropping-particle":"","family":"Huéscar Medina","given":"C","non-dropping-particle":"","parse-names":false,"suffix":""},{"dropping-particle":"","family":"Phylaktou","given":"H N","non-dropping-particle":"","parse-names":false,"suffix":""},{"dropping-particle":"","family":"Sattar","given":"H","non-dropping-particle":"","parse-names":false,"suffix":""},{"dropping-particle":"","family":"Andrews","given":"G E","non-dropping-particle":"","parse-names":false,"suffix":""},{"dropping-particle":"","family":"Gibbs","given":"B M","non-dropping-particle":"","parse-names":false,"suffix":""}],"container-title":"Biomass and Bioenergy","id":"ITEM-1","issued":{"date-parts":[["2013"]]},"note":"20th European Biomass Conference","page":"95-104","title":"The development of an experimental method for the determination of the minimum explosible concentration of biomass powders","type":"article-journal","volume":"53"},"uris":["http://www.mendeley.com/documents/?uuid=e460354a-e41e-4af9-ad5f-439bb23b9ee3"]}],"mendeley":{"formattedCitation":"[128]","plainTextFormattedCitation":"[128]","previouslyFormattedCitation":"[128]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[128]</w:t>
            </w:r>
            <w:r w:rsidRPr="005A7A0A">
              <w:rPr>
                <w:color w:val="auto"/>
                <w:sz w:val="18"/>
                <w:szCs w:val="18"/>
                <w:lang w:eastAsia="en-GB" w:bidi="ar-SA"/>
              </w:rPr>
              <w:fldChar w:fldCharType="end"/>
            </w:r>
          </w:p>
        </w:tc>
      </w:tr>
      <w:tr w:rsidR="005A7A0A" w:rsidRPr="005A7A0A" w14:paraId="315EE0E0" w14:textId="3C37BC4C"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B90CED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68</w:t>
            </w:r>
          </w:p>
        </w:tc>
        <w:tc>
          <w:tcPr>
            <w:tcW w:w="4204" w:type="dxa"/>
            <w:tcBorders>
              <w:top w:val="nil"/>
              <w:left w:val="nil"/>
              <w:bottom w:val="single" w:sz="4" w:space="0" w:color="auto"/>
              <w:right w:val="single" w:sz="4" w:space="0" w:color="auto"/>
            </w:tcBorders>
            <w:shd w:val="clear" w:color="auto" w:fill="auto"/>
            <w:noWrap/>
            <w:vAlign w:val="center"/>
            <w:hideMark/>
          </w:tcPr>
          <w:p w14:paraId="2D5C4CA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Vine shoot</w:t>
            </w:r>
          </w:p>
        </w:tc>
        <w:tc>
          <w:tcPr>
            <w:tcW w:w="1055" w:type="dxa"/>
            <w:tcBorders>
              <w:top w:val="nil"/>
              <w:left w:val="nil"/>
              <w:bottom w:val="single" w:sz="4" w:space="0" w:color="auto"/>
              <w:right w:val="single" w:sz="4" w:space="0" w:color="auto"/>
            </w:tcBorders>
            <w:shd w:val="clear" w:color="auto" w:fill="auto"/>
            <w:noWrap/>
            <w:vAlign w:val="bottom"/>
          </w:tcPr>
          <w:p w14:paraId="48F552D9" w14:textId="641EC94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7.2</w:t>
            </w:r>
          </w:p>
        </w:tc>
        <w:tc>
          <w:tcPr>
            <w:tcW w:w="1006" w:type="dxa"/>
            <w:tcBorders>
              <w:top w:val="nil"/>
              <w:left w:val="nil"/>
              <w:bottom w:val="single" w:sz="4" w:space="0" w:color="auto"/>
              <w:right w:val="single" w:sz="4" w:space="0" w:color="auto"/>
            </w:tcBorders>
            <w:shd w:val="clear" w:color="auto" w:fill="auto"/>
            <w:noWrap/>
            <w:vAlign w:val="bottom"/>
          </w:tcPr>
          <w:p w14:paraId="067820CF" w14:textId="2DB5005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136.0</w:t>
            </w:r>
          </w:p>
        </w:tc>
        <w:tc>
          <w:tcPr>
            <w:tcW w:w="1335" w:type="dxa"/>
            <w:tcBorders>
              <w:top w:val="nil"/>
              <w:left w:val="nil"/>
              <w:bottom w:val="single" w:sz="4" w:space="0" w:color="auto"/>
              <w:right w:val="single" w:sz="4" w:space="0" w:color="auto"/>
            </w:tcBorders>
            <w:shd w:val="clear" w:color="auto" w:fill="auto"/>
            <w:noWrap/>
            <w:vAlign w:val="bottom"/>
          </w:tcPr>
          <w:p w14:paraId="498F4DBC" w14:textId="4BAB483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501.0</w:t>
            </w:r>
          </w:p>
        </w:tc>
        <w:tc>
          <w:tcPr>
            <w:tcW w:w="931" w:type="dxa"/>
            <w:tcBorders>
              <w:top w:val="nil"/>
              <w:left w:val="nil"/>
              <w:bottom w:val="single" w:sz="4" w:space="0" w:color="auto"/>
              <w:right w:val="single" w:sz="4" w:space="0" w:color="auto"/>
            </w:tcBorders>
            <w:shd w:val="clear" w:color="auto" w:fill="auto"/>
            <w:noWrap/>
            <w:vAlign w:val="bottom"/>
          </w:tcPr>
          <w:p w14:paraId="19A60967" w14:textId="56EC9AB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260</w:t>
            </w:r>
          </w:p>
        </w:tc>
        <w:tc>
          <w:tcPr>
            <w:tcW w:w="992" w:type="dxa"/>
            <w:tcBorders>
              <w:top w:val="nil"/>
              <w:left w:val="nil"/>
              <w:bottom w:val="single" w:sz="4" w:space="0" w:color="auto"/>
              <w:right w:val="single" w:sz="4" w:space="0" w:color="auto"/>
            </w:tcBorders>
            <w:shd w:val="clear" w:color="auto" w:fill="auto"/>
            <w:noWrap/>
            <w:vAlign w:val="bottom"/>
          </w:tcPr>
          <w:p w14:paraId="11C381AC" w14:textId="554B0A0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w:t>
            </w:r>
          </w:p>
        </w:tc>
        <w:tc>
          <w:tcPr>
            <w:tcW w:w="1134" w:type="dxa"/>
            <w:tcBorders>
              <w:top w:val="nil"/>
              <w:left w:val="nil"/>
              <w:bottom w:val="single" w:sz="4" w:space="0" w:color="auto"/>
              <w:right w:val="single" w:sz="4" w:space="0" w:color="auto"/>
            </w:tcBorders>
            <w:shd w:val="clear" w:color="auto" w:fill="auto"/>
            <w:noWrap/>
            <w:vAlign w:val="bottom"/>
          </w:tcPr>
          <w:p w14:paraId="14526161" w14:textId="6C1ECED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w:t>
            </w:r>
          </w:p>
        </w:tc>
        <w:tc>
          <w:tcPr>
            <w:tcW w:w="851" w:type="dxa"/>
            <w:tcBorders>
              <w:top w:val="nil"/>
              <w:left w:val="nil"/>
              <w:bottom w:val="single" w:sz="4" w:space="0" w:color="auto"/>
              <w:right w:val="single" w:sz="4" w:space="0" w:color="auto"/>
            </w:tcBorders>
            <w:shd w:val="clear" w:color="auto" w:fill="auto"/>
            <w:noWrap/>
            <w:vAlign w:val="bottom"/>
          </w:tcPr>
          <w:p w14:paraId="376E7B10" w14:textId="74F15D0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w:t>
            </w:r>
          </w:p>
        </w:tc>
        <w:tc>
          <w:tcPr>
            <w:tcW w:w="709" w:type="dxa"/>
            <w:tcBorders>
              <w:top w:val="single" w:sz="4" w:space="0" w:color="auto"/>
              <w:left w:val="nil"/>
              <w:bottom w:val="single" w:sz="4" w:space="0" w:color="auto"/>
              <w:right w:val="single" w:sz="4" w:space="0" w:color="auto"/>
            </w:tcBorders>
            <w:vAlign w:val="bottom"/>
          </w:tcPr>
          <w:p w14:paraId="60DA2F7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0D47B5C" w14:textId="4D44BB81"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[142]</w:t>
            </w:r>
            <w:r w:rsidRPr="005A7A0A">
              <w:rPr>
                <w:color w:val="auto"/>
                <w:sz w:val="18"/>
                <w:szCs w:val="18"/>
                <w:lang w:eastAsia="en-GB" w:bidi="ar-SA"/>
              </w:rPr>
              <w:fldChar w:fldCharType="end"/>
            </w:r>
          </w:p>
        </w:tc>
      </w:tr>
      <w:tr w:rsidR="005A7A0A" w:rsidRPr="005A7A0A" w14:paraId="5E150FA9" w14:textId="3B9D4891"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FE5CBA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69</w:t>
            </w:r>
          </w:p>
        </w:tc>
        <w:tc>
          <w:tcPr>
            <w:tcW w:w="4204" w:type="dxa"/>
            <w:tcBorders>
              <w:top w:val="nil"/>
              <w:left w:val="nil"/>
              <w:bottom w:val="single" w:sz="4" w:space="0" w:color="auto"/>
              <w:right w:val="single" w:sz="4" w:space="0" w:color="auto"/>
            </w:tcBorders>
            <w:shd w:val="clear" w:color="auto" w:fill="auto"/>
            <w:noWrap/>
            <w:vAlign w:val="center"/>
            <w:hideMark/>
          </w:tcPr>
          <w:p w14:paraId="4DC30DE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Walnut shells</w:t>
            </w:r>
          </w:p>
        </w:tc>
        <w:tc>
          <w:tcPr>
            <w:tcW w:w="1055" w:type="dxa"/>
            <w:tcBorders>
              <w:top w:val="nil"/>
              <w:left w:val="nil"/>
              <w:bottom w:val="single" w:sz="4" w:space="0" w:color="auto"/>
              <w:right w:val="single" w:sz="4" w:space="0" w:color="auto"/>
            </w:tcBorders>
            <w:shd w:val="clear" w:color="auto" w:fill="auto"/>
            <w:noWrap/>
            <w:vAlign w:val="bottom"/>
          </w:tcPr>
          <w:p w14:paraId="4EF83167" w14:textId="478D869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9.4</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228C0CE5" w14:textId="0620053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98.0</w:t>
            </w:r>
          </w:p>
        </w:tc>
        <w:tc>
          <w:tcPr>
            <w:tcW w:w="1335" w:type="dxa"/>
            <w:tcBorders>
              <w:top w:val="nil"/>
              <w:left w:val="nil"/>
              <w:bottom w:val="single" w:sz="4" w:space="0" w:color="auto"/>
              <w:right w:val="single" w:sz="4" w:space="0" w:color="auto"/>
            </w:tcBorders>
            <w:shd w:val="clear" w:color="auto" w:fill="auto"/>
            <w:noWrap/>
            <w:vAlign w:val="bottom"/>
          </w:tcPr>
          <w:p w14:paraId="71D763D0" w14:textId="6B60CAC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361.0</w:t>
            </w:r>
          </w:p>
        </w:tc>
        <w:tc>
          <w:tcPr>
            <w:tcW w:w="931" w:type="dxa"/>
            <w:tcBorders>
              <w:top w:val="nil"/>
              <w:left w:val="nil"/>
              <w:bottom w:val="single" w:sz="4" w:space="0" w:color="auto"/>
              <w:right w:val="single" w:sz="4" w:space="0" w:color="auto"/>
            </w:tcBorders>
            <w:shd w:val="clear" w:color="auto" w:fill="auto"/>
            <w:noWrap/>
            <w:vAlign w:val="bottom"/>
          </w:tcPr>
          <w:p w14:paraId="6F1D0C5C" w14:textId="5C60038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870118B" w14:textId="7F131BD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0E5DDF89" w14:textId="4255EE3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2553CAC" w14:textId="75A1882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D7FCB4A"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6C7E2FE" w14:textId="2D5B956A"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{"citationItems":[{"id":"ITEM-1","itemData":{"author":[{"dropping-particle":"","family":"Sattar","given":"Hamed","non-dropping-particle":"","parse-names":false,"suffix":""},{"dropping-particle":"","family":"Phylaktou","given":"Herodotos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M.","non-dropping-particle":"","parse-names":false,"suffix":""}],"container-title":"ISHPMIE","id":"ITEM-1","issued":{"date-parts":[["2012"]]},"publisher-place":"Krakow","title":"Explosions and Flame Propagation in Nut-shell Biomass Powders","type":"paper-conference"},"uris":["http://www.mendeley.com/documents/?uuid=ac2f9135-c048-4366-9ea5-0066f9cbf002"]}],"mendeley":{"formattedCitation":"[109]","plainTextFormattedCitation":"[109]","previouslyFormattedCitation":"[109]"},"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[109]</w:t>
            </w:r>
            <w:r w:rsidRPr="005A7A0A">
              <w:rPr>
                <w:color w:val="auto"/>
                <w:sz w:val="18"/>
                <w:szCs w:val="18"/>
                <w:lang w:eastAsia="en-GB" w:bidi="ar-SA"/>
              </w:rPr>
              <w:fldChar w:fldCharType="end"/>
            </w:r>
          </w:p>
        </w:tc>
      </w:tr>
      <w:tr w:rsidR="005A7A0A" w:rsidRPr="005A7A0A" w14:paraId="46ECBF68" w14:textId="399C302D"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9069E5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70</w:t>
            </w:r>
          </w:p>
        </w:tc>
        <w:tc>
          <w:tcPr>
            <w:tcW w:w="4204" w:type="dxa"/>
            <w:tcBorders>
              <w:top w:val="nil"/>
              <w:left w:val="nil"/>
              <w:bottom w:val="single" w:sz="4" w:space="0" w:color="auto"/>
              <w:right w:val="single" w:sz="4" w:space="0" w:color="auto"/>
            </w:tcBorders>
            <w:shd w:val="clear" w:color="auto" w:fill="auto"/>
            <w:noWrap/>
            <w:vAlign w:val="center"/>
            <w:hideMark/>
          </w:tcPr>
          <w:p w14:paraId="3DF612B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Wheat straw</w:t>
            </w:r>
          </w:p>
        </w:tc>
        <w:tc>
          <w:tcPr>
            <w:tcW w:w="1055" w:type="dxa"/>
            <w:tcBorders>
              <w:top w:val="nil"/>
              <w:left w:val="nil"/>
              <w:bottom w:val="single" w:sz="4" w:space="0" w:color="auto"/>
              <w:right w:val="single" w:sz="4" w:space="0" w:color="auto"/>
            </w:tcBorders>
            <w:shd w:val="clear" w:color="auto" w:fill="auto"/>
            <w:noWrap/>
            <w:vAlign w:val="bottom"/>
          </w:tcPr>
          <w:p w14:paraId="243850B8" w14:textId="5039E58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1F7D67B5" w14:textId="0418BAD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29003B76" w14:textId="76461D2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08F5D3E5" w14:textId="0B26F05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9CEAA3E" w14:textId="62D8FEF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w:t>
            </w:r>
          </w:p>
        </w:tc>
        <w:tc>
          <w:tcPr>
            <w:tcW w:w="1134" w:type="dxa"/>
            <w:tcBorders>
              <w:top w:val="nil"/>
              <w:left w:val="nil"/>
              <w:bottom w:val="single" w:sz="4" w:space="0" w:color="auto"/>
              <w:right w:val="single" w:sz="4" w:space="0" w:color="auto"/>
            </w:tcBorders>
            <w:shd w:val="clear" w:color="auto" w:fill="auto"/>
            <w:noWrap/>
            <w:vAlign w:val="bottom"/>
          </w:tcPr>
          <w:p w14:paraId="6865F33F" w14:textId="0E2528A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2A31B937" w14:textId="4295BE6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07C15D1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55BB0DF" w14:textId="1AA6B02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6D60CDD9" w14:textId="30F9F77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377C52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71</w:t>
            </w:r>
          </w:p>
        </w:tc>
        <w:tc>
          <w:tcPr>
            <w:tcW w:w="4204" w:type="dxa"/>
            <w:tcBorders>
              <w:top w:val="nil"/>
              <w:left w:val="nil"/>
              <w:bottom w:val="single" w:sz="4" w:space="0" w:color="auto"/>
              <w:right w:val="single" w:sz="4" w:space="0" w:color="auto"/>
            </w:tcBorders>
            <w:shd w:val="clear" w:color="auto" w:fill="auto"/>
            <w:noWrap/>
            <w:vAlign w:val="center"/>
            <w:hideMark/>
          </w:tcPr>
          <w:p w14:paraId="24D286B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White wood</w:t>
            </w:r>
          </w:p>
        </w:tc>
        <w:tc>
          <w:tcPr>
            <w:tcW w:w="1055" w:type="dxa"/>
            <w:tcBorders>
              <w:top w:val="nil"/>
              <w:left w:val="nil"/>
              <w:bottom w:val="single" w:sz="4" w:space="0" w:color="auto"/>
              <w:right w:val="single" w:sz="4" w:space="0" w:color="auto"/>
            </w:tcBorders>
            <w:shd w:val="clear" w:color="auto" w:fill="auto"/>
            <w:noWrap/>
            <w:vAlign w:val="bottom"/>
          </w:tcPr>
          <w:p w14:paraId="3B86DA65" w14:textId="157F9BA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3F752C35" w14:textId="469F0BB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0D2DCD17" w14:textId="6FC20DF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3121AB0C" w14:textId="013DE2A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21</w:t>
            </w:r>
          </w:p>
        </w:tc>
        <w:tc>
          <w:tcPr>
            <w:tcW w:w="992" w:type="dxa"/>
            <w:tcBorders>
              <w:top w:val="nil"/>
              <w:left w:val="nil"/>
              <w:bottom w:val="single" w:sz="4" w:space="0" w:color="auto"/>
              <w:right w:val="single" w:sz="4" w:space="0" w:color="auto"/>
            </w:tcBorders>
            <w:shd w:val="clear" w:color="auto" w:fill="auto"/>
            <w:noWrap/>
            <w:vAlign w:val="bottom"/>
          </w:tcPr>
          <w:p w14:paraId="73ABADF8" w14:textId="51B7E9F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C3DEF4B" w14:textId="376B379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F11CED1" w14:textId="2740C77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9FC136F"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D0D258E" w14:textId="201D957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[106]</w:t>
            </w:r>
            <w:r w:rsidRPr="005A7A0A">
              <w:rPr>
                <w:color w:val="auto"/>
                <w:sz w:val="18"/>
                <w:szCs w:val="18"/>
                <w:lang w:eastAsia="en-GB" w:bidi="ar-SA"/>
              </w:rPr>
              <w:fldChar w:fldCharType="end"/>
            </w:r>
          </w:p>
        </w:tc>
      </w:tr>
      <w:tr w:rsidR="005A7A0A" w:rsidRPr="005A7A0A" w14:paraId="0D5BD570" w14:textId="50986EFD"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5C5F47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72</w:t>
            </w:r>
          </w:p>
        </w:tc>
        <w:tc>
          <w:tcPr>
            <w:tcW w:w="4204" w:type="dxa"/>
            <w:tcBorders>
              <w:top w:val="nil"/>
              <w:left w:val="nil"/>
              <w:bottom w:val="single" w:sz="4" w:space="0" w:color="auto"/>
              <w:right w:val="single" w:sz="4" w:space="0" w:color="auto"/>
            </w:tcBorders>
            <w:shd w:val="clear" w:color="auto" w:fill="auto"/>
            <w:noWrap/>
            <w:vAlign w:val="center"/>
            <w:hideMark/>
          </w:tcPr>
          <w:p w14:paraId="063F819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(90% birch, 10% spruce)</w:t>
            </w:r>
          </w:p>
        </w:tc>
        <w:tc>
          <w:tcPr>
            <w:tcW w:w="1055" w:type="dxa"/>
            <w:tcBorders>
              <w:top w:val="nil"/>
              <w:left w:val="nil"/>
              <w:bottom w:val="single" w:sz="4" w:space="0" w:color="auto"/>
              <w:right w:val="single" w:sz="4" w:space="0" w:color="auto"/>
            </w:tcBorders>
            <w:shd w:val="clear" w:color="auto" w:fill="auto"/>
            <w:noWrap/>
            <w:vAlign w:val="bottom"/>
          </w:tcPr>
          <w:p w14:paraId="4D5A94CE" w14:textId="3511E8B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7.8</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270B89B7" w14:textId="1A04DAA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87.0</w:t>
            </w:r>
          </w:p>
        </w:tc>
        <w:tc>
          <w:tcPr>
            <w:tcW w:w="1335" w:type="dxa"/>
            <w:tcBorders>
              <w:top w:val="nil"/>
              <w:left w:val="nil"/>
              <w:bottom w:val="single" w:sz="4" w:space="0" w:color="auto"/>
              <w:right w:val="single" w:sz="4" w:space="0" w:color="auto"/>
            </w:tcBorders>
            <w:shd w:val="clear" w:color="auto" w:fill="auto"/>
            <w:noWrap/>
            <w:vAlign w:val="bottom"/>
          </w:tcPr>
          <w:p w14:paraId="00AEF405" w14:textId="55EE790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320.5</w:t>
            </w:r>
          </w:p>
        </w:tc>
        <w:tc>
          <w:tcPr>
            <w:tcW w:w="931" w:type="dxa"/>
            <w:tcBorders>
              <w:top w:val="nil"/>
              <w:left w:val="nil"/>
              <w:bottom w:val="single" w:sz="4" w:space="0" w:color="auto"/>
              <w:right w:val="single" w:sz="4" w:space="0" w:color="auto"/>
            </w:tcBorders>
            <w:shd w:val="clear" w:color="auto" w:fill="auto"/>
            <w:noWrap/>
            <w:vAlign w:val="bottom"/>
          </w:tcPr>
          <w:p w14:paraId="52D422AE" w14:textId="544D262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992" w:type="dxa"/>
            <w:tcBorders>
              <w:top w:val="nil"/>
              <w:left w:val="nil"/>
              <w:bottom w:val="single" w:sz="4" w:space="0" w:color="auto"/>
              <w:right w:val="single" w:sz="4" w:space="0" w:color="auto"/>
            </w:tcBorders>
            <w:shd w:val="clear" w:color="auto" w:fill="auto"/>
            <w:noWrap/>
            <w:vAlign w:val="bottom"/>
          </w:tcPr>
          <w:p w14:paraId="2F435643" w14:textId="506498B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340</w:t>
            </w:r>
          </w:p>
        </w:tc>
        <w:tc>
          <w:tcPr>
            <w:tcW w:w="1134" w:type="dxa"/>
            <w:tcBorders>
              <w:top w:val="nil"/>
              <w:left w:val="nil"/>
              <w:bottom w:val="single" w:sz="4" w:space="0" w:color="auto"/>
              <w:right w:val="single" w:sz="4" w:space="0" w:color="auto"/>
            </w:tcBorders>
            <w:shd w:val="clear" w:color="auto" w:fill="auto"/>
            <w:noWrap/>
            <w:vAlign w:val="bottom"/>
          </w:tcPr>
          <w:p w14:paraId="4551209B" w14:textId="2783C82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w:t>
            </w:r>
          </w:p>
        </w:tc>
        <w:tc>
          <w:tcPr>
            <w:tcW w:w="851" w:type="dxa"/>
            <w:tcBorders>
              <w:top w:val="nil"/>
              <w:left w:val="nil"/>
              <w:bottom w:val="single" w:sz="4" w:space="0" w:color="auto"/>
              <w:right w:val="single" w:sz="4" w:space="0" w:color="auto"/>
            </w:tcBorders>
            <w:shd w:val="clear" w:color="auto" w:fill="auto"/>
            <w:noWrap/>
            <w:vAlign w:val="bottom"/>
          </w:tcPr>
          <w:p w14:paraId="545CB319" w14:textId="05A12D5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w:t>
            </w:r>
          </w:p>
        </w:tc>
        <w:tc>
          <w:tcPr>
            <w:tcW w:w="709" w:type="dxa"/>
            <w:tcBorders>
              <w:top w:val="single" w:sz="4" w:space="0" w:color="auto"/>
              <w:left w:val="nil"/>
              <w:bottom w:val="single" w:sz="4" w:space="0" w:color="auto"/>
              <w:right w:val="single" w:sz="4" w:space="0" w:color="auto"/>
            </w:tcBorders>
            <w:vAlign w:val="bottom"/>
          </w:tcPr>
          <w:p w14:paraId="0DDC10B7" w14:textId="4F5AC214" w:rsidR="00AF5FF8" w:rsidRPr="005A7A0A" w:rsidRDefault="00386C99"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10.0</w:t>
            </w:r>
          </w:p>
        </w:tc>
        <w:tc>
          <w:tcPr>
            <w:tcW w:w="992" w:type="dxa"/>
            <w:tcBorders>
              <w:top w:val="single" w:sz="4" w:space="0" w:color="auto"/>
              <w:left w:val="single" w:sz="4" w:space="0" w:color="auto"/>
              <w:bottom w:val="single" w:sz="4" w:space="0" w:color="auto"/>
              <w:right w:val="single" w:sz="4" w:space="0" w:color="auto"/>
            </w:tcBorders>
            <w:vAlign w:val="bottom"/>
          </w:tcPr>
          <w:p w14:paraId="1CD5531F" w14:textId="46823FF2"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5A7A0A" w:rsidRPr="005A7A0A" w14:paraId="3414E81B" w14:textId="69202FFF"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717E8D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73</w:t>
            </w:r>
          </w:p>
        </w:tc>
        <w:tc>
          <w:tcPr>
            <w:tcW w:w="4204" w:type="dxa"/>
            <w:tcBorders>
              <w:top w:val="nil"/>
              <w:left w:val="nil"/>
              <w:bottom w:val="single" w:sz="4" w:space="0" w:color="auto"/>
              <w:right w:val="single" w:sz="4" w:space="0" w:color="auto"/>
            </w:tcBorders>
            <w:shd w:val="clear" w:color="auto" w:fill="auto"/>
            <w:noWrap/>
            <w:vAlign w:val="center"/>
            <w:hideMark/>
          </w:tcPr>
          <w:p w14:paraId="0B4CD1C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(fibrous sample), as received: 41%  &lt; 500 μm and 0.3%  &lt; 75 μm</w:t>
            </w:r>
          </w:p>
        </w:tc>
        <w:tc>
          <w:tcPr>
            <w:tcW w:w="1055" w:type="dxa"/>
            <w:tcBorders>
              <w:top w:val="nil"/>
              <w:left w:val="nil"/>
              <w:bottom w:val="single" w:sz="4" w:space="0" w:color="auto"/>
              <w:right w:val="single" w:sz="4" w:space="0" w:color="auto"/>
            </w:tcBorders>
            <w:shd w:val="clear" w:color="auto" w:fill="auto"/>
            <w:noWrap/>
            <w:vAlign w:val="bottom"/>
          </w:tcPr>
          <w:p w14:paraId="1D17BBCC" w14:textId="2A74C73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7.2</w:t>
            </w:r>
          </w:p>
        </w:tc>
        <w:tc>
          <w:tcPr>
            <w:tcW w:w="1006" w:type="dxa"/>
            <w:tcBorders>
              <w:top w:val="nil"/>
              <w:left w:val="nil"/>
              <w:bottom w:val="single" w:sz="4" w:space="0" w:color="auto"/>
              <w:right w:val="single" w:sz="4" w:space="0" w:color="auto"/>
            </w:tcBorders>
            <w:shd w:val="clear" w:color="auto" w:fill="auto"/>
            <w:noWrap/>
            <w:vAlign w:val="bottom"/>
          </w:tcPr>
          <w:p w14:paraId="328C3D0E" w14:textId="1606848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41.0</w:t>
            </w:r>
          </w:p>
        </w:tc>
        <w:tc>
          <w:tcPr>
            <w:tcW w:w="1335" w:type="dxa"/>
            <w:tcBorders>
              <w:top w:val="nil"/>
              <w:left w:val="nil"/>
              <w:bottom w:val="single" w:sz="4" w:space="0" w:color="auto"/>
              <w:right w:val="single" w:sz="4" w:space="0" w:color="auto"/>
            </w:tcBorders>
            <w:shd w:val="clear" w:color="auto" w:fill="auto"/>
            <w:noWrap/>
            <w:vAlign w:val="bottom"/>
          </w:tcPr>
          <w:p w14:paraId="490F018D" w14:textId="1891469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151.0</w:t>
            </w:r>
          </w:p>
        </w:tc>
        <w:tc>
          <w:tcPr>
            <w:tcW w:w="931" w:type="dxa"/>
            <w:tcBorders>
              <w:top w:val="nil"/>
              <w:left w:val="nil"/>
              <w:bottom w:val="single" w:sz="4" w:space="0" w:color="auto"/>
              <w:right w:val="single" w:sz="4" w:space="0" w:color="auto"/>
            </w:tcBorders>
            <w:shd w:val="clear" w:color="auto" w:fill="auto"/>
            <w:noWrap/>
            <w:vAlign w:val="bottom"/>
          </w:tcPr>
          <w:p w14:paraId="5FBB524A" w14:textId="340329B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300 - 1000</w:t>
            </w:r>
            <w:r w:rsidRPr="005A7A0A">
              <w:rPr>
                <w:color w:val="auto"/>
                <w:vertAlign w:val="superscript"/>
              </w:rPr>
              <w:t xml:space="preserve"> g</w:t>
            </w:r>
          </w:p>
        </w:tc>
        <w:tc>
          <w:tcPr>
            <w:tcW w:w="992" w:type="dxa"/>
            <w:tcBorders>
              <w:top w:val="nil"/>
              <w:left w:val="nil"/>
              <w:bottom w:val="single" w:sz="4" w:space="0" w:color="auto"/>
              <w:right w:val="single" w:sz="4" w:space="0" w:color="auto"/>
            </w:tcBorders>
            <w:shd w:val="clear" w:color="auto" w:fill="auto"/>
            <w:noWrap/>
            <w:vAlign w:val="bottom"/>
          </w:tcPr>
          <w:p w14:paraId="3050D972" w14:textId="26EFDE0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28B2A7DB" w14:textId="3182FD6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&gt;580</w:t>
            </w:r>
          </w:p>
        </w:tc>
        <w:tc>
          <w:tcPr>
            <w:tcW w:w="851" w:type="dxa"/>
            <w:tcBorders>
              <w:top w:val="nil"/>
              <w:left w:val="nil"/>
              <w:bottom w:val="single" w:sz="4" w:space="0" w:color="auto"/>
              <w:right w:val="single" w:sz="4" w:space="0" w:color="auto"/>
            </w:tcBorders>
            <w:shd w:val="clear" w:color="auto" w:fill="auto"/>
            <w:noWrap/>
            <w:vAlign w:val="bottom"/>
          </w:tcPr>
          <w:p w14:paraId="68DE544C" w14:textId="09408B6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100</w:t>
            </w:r>
          </w:p>
        </w:tc>
        <w:tc>
          <w:tcPr>
            <w:tcW w:w="709" w:type="dxa"/>
            <w:tcBorders>
              <w:top w:val="single" w:sz="4" w:space="0" w:color="auto"/>
              <w:left w:val="nil"/>
              <w:bottom w:val="single" w:sz="4" w:space="0" w:color="auto"/>
              <w:right w:val="single" w:sz="4" w:space="0" w:color="auto"/>
            </w:tcBorders>
            <w:vAlign w:val="bottom"/>
          </w:tcPr>
          <w:p w14:paraId="39B4BC1F"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F913844" w14:textId="4E7A023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{"citationItems":[{"id":"ITEM-1","itemData":{"DOI":"10.1016/j.jlp.2012.05.007","ISSN":"0950-4230","abstract":"The research presented in this paper is focused on dust explosions of coarse and fine flocculent (or fibrous) samples of wood and polyethylene. Hybrid mixtures of fibrous polyethylene and admixed ethylene were also studied. Experimentation was conducted by following standardized test procedures and using standardized apparatus for determination of maximum explosion pressure, size-normalized maximum rate of pressure rise, minimum explosible concentration, minimum ignition energy, and minimum ignition temperature. A general trend was observed of enhanced explosion likelihood and consequence severity with a decrease in material diameter, as well as enhanced consequence severity with admixture of a flammable gas to the combustion atmosphere. The same phenomena are well-established for dusts composed of spherical particles; this highlights the importance of inherently safer design and the principle of moderation in avoiding the generation of fine sizes of flocculent dusts and hybrid mixtures of such materials with flammable gases. In addition to presenting experimental findings, the paper describes phenomenological modelling efforts for the flocculent polyethylene using four geometric equivalence models: radial equivalence, volumetric equivalence, surface area equivalence, and specific surface area equivalence. The surface area equivalence model was found to yield the best estimates of maximum rate of pressure rise for the flocculent polyethylene samples investigated experimentally.","author":[{"dropping-particle":"","family":"Amyotte","given":"Paul R","non-dropping-particle":"","parse-names":false,"suffix":""},{"dropping-particle":"","family":"Cloney","given":"Chris T","non-dropping-particle":"","parse-names":false,"suffix":""},{"dropping-particle":"","family":"Khan","given":"Faisal I","non-dropping-particle":"","parse-names":false,"suffix":""},{"dropping-particle":"","family":"Ripley","given":"Robert C","non-dropping-particle":"","parse-names":false,"suffix":""}],"container-title":"Journal of Loss Prevention in the Process Industries","id":"ITEM-1","issue":"5","issued":{"date-parts":[["2012"]]},"page":"862-869","title":"Dust explosion risk moderation for flocculent dusts","type":"article-journal","volume":"25"},"uris":["http://www.mendeley.com/documents/?uuid=a6655299-e3de-4ddd-a10c-c57f03ade195"]}],"mendeley":{"formattedCitation":"[150]","plainTextFormattedCitation":"[150]","previouslyFormattedCitation":"[150]"},"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[150]</w:t>
            </w:r>
            <w:r w:rsidRPr="005A7A0A">
              <w:rPr>
                <w:color w:val="auto"/>
                <w:sz w:val="18"/>
                <w:szCs w:val="18"/>
                <w:lang w:eastAsia="en-GB" w:bidi="ar-SA"/>
              </w:rPr>
              <w:fldChar w:fldCharType="end"/>
            </w:r>
          </w:p>
        </w:tc>
      </w:tr>
      <w:tr w:rsidR="005A7A0A" w:rsidRPr="005A7A0A" w14:paraId="7272C63B" w14:textId="705158F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119211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74</w:t>
            </w:r>
          </w:p>
        </w:tc>
        <w:tc>
          <w:tcPr>
            <w:tcW w:w="4204" w:type="dxa"/>
            <w:tcBorders>
              <w:top w:val="nil"/>
              <w:left w:val="nil"/>
              <w:bottom w:val="single" w:sz="4" w:space="0" w:color="auto"/>
              <w:right w:val="single" w:sz="4" w:space="0" w:color="auto"/>
            </w:tcBorders>
            <w:shd w:val="clear" w:color="auto" w:fill="auto"/>
            <w:noWrap/>
            <w:vAlign w:val="center"/>
            <w:hideMark/>
          </w:tcPr>
          <w:p w14:paraId="5C1620B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(fibrous sample), fraction &lt; 75 μm</w:t>
            </w:r>
          </w:p>
        </w:tc>
        <w:tc>
          <w:tcPr>
            <w:tcW w:w="1055" w:type="dxa"/>
            <w:tcBorders>
              <w:top w:val="nil"/>
              <w:left w:val="nil"/>
              <w:bottom w:val="single" w:sz="4" w:space="0" w:color="auto"/>
              <w:right w:val="single" w:sz="4" w:space="0" w:color="auto"/>
            </w:tcBorders>
            <w:shd w:val="clear" w:color="auto" w:fill="auto"/>
            <w:noWrap/>
            <w:vAlign w:val="bottom"/>
          </w:tcPr>
          <w:p w14:paraId="57F17494" w14:textId="62E4F69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7.8</w:t>
            </w:r>
          </w:p>
        </w:tc>
        <w:tc>
          <w:tcPr>
            <w:tcW w:w="1006" w:type="dxa"/>
            <w:tcBorders>
              <w:top w:val="nil"/>
              <w:left w:val="nil"/>
              <w:bottom w:val="single" w:sz="4" w:space="0" w:color="auto"/>
              <w:right w:val="single" w:sz="4" w:space="0" w:color="auto"/>
            </w:tcBorders>
            <w:shd w:val="clear" w:color="auto" w:fill="auto"/>
            <w:noWrap/>
            <w:vAlign w:val="bottom"/>
          </w:tcPr>
          <w:p w14:paraId="65122DC7" w14:textId="6ADF05A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80.0</w:t>
            </w:r>
          </w:p>
        </w:tc>
        <w:tc>
          <w:tcPr>
            <w:tcW w:w="1335" w:type="dxa"/>
            <w:tcBorders>
              <w:top w:val="nil"/>
              <w:left w:val="nil"/>
              <w:bottom w:val="single" w:sz="4" w:space="0" w:color="auto"/>
              <w:right w:val="single" w:sz="4" w:space="0" w:color="auto"/>
            </w:tcBorders>
            <w:shd w:val="clear" w:color="auto" w:fill="auto"/>
            <w:noWrap/>
            <w:vAlign w:val="bottom"/>
          </w:tcPr>
          <w:p w14:paraId="0573073C" w14:textId="12ACC87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294.7</w:t>
            </w:r>
          </w:p>
        </w:tc>
        <w:tc>
          <w:tcPr>
            <w:tcW w:w="931" w:type="dxa"/>
            <w:tcBorders>
              <w:top w:val="nil"/>
              <w:left w:val="nil"/>
              <w:bottom w:val="single" w:sz="4" w:space="0" w:color="auto"/>
              <w:right w:val="single" w:sz="4" w:space="0" w:color="auto"/>
            </w:tcBorders>
            <w:shd w:val="clear" w:color="auto" w:fill="auto"/>
            <w:noWrap/>
            <w:vAlign w:val="bottom"/>
          </w:tcPr>
          <w:p w14:paraId="28E93767" w14:textId="6BADE8E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300 - 1000</w:t>
            </w:r>
            <w:r w:rsidRPr="005A7A0A">
              <w:rPr>
                <w:color w:val="auto"/>
                <w:vertAlign w:val="superscript"/>
              </w:rPr>
              <w:t xml:space="preserve"> g</w:t>
            </w:r>
          </w:p>
        </w:tc>
        <w:tc>
          <w:tcPr>
            <w:tcW w:w="992" w:type="dxa"/>
            <w:tcBorders>
              <w:top w:val="nil"/>
              <w:left w:val="nil"/>
              <w:bottom w:val="single" w:sz="4" w:space="0" w:color="auto"/>
              <w:right w:val="single" w:sz="4" w:space="0" w:color="auto"/>
            </w:tcBorders>
            <w:shd w:val="clear" w:color="auto" w:fill="auto"/>
            <w:noWrap/>
            <w:vAlign w:val="bottom"/>
          </w:tcPr>
          <w:p w14:paraId="15FF4383" w14:textId="558C4B3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CCDAAF0" w14:textId="479D1E4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w:t>
            </w:r>
          </w:p>
        </w:tc>
        <w:tc>
          <w:tcPr>
            <w:tcW w:w="851" w:type="dxa"/>
            <w:tcBorders>
              <w:top w:val="nil"/>
              <w:left w:val="nil"/>
              <w:bottom w:val="single" w:sz="4" w:space="0" w:color="auto"/>
              <w:right w:val="single" w:sz="4" w:space="0" w:color="auto"/>
            </w:tcBorders>
            <w:shd w:val="clear" w:color="auto" w:fill="auto"/>
            <w:noWrap/>
            <w:vAlign w:val="bottom"/>
          </w:tcPr>
          <w:p w14:paraId="7923BBC9" w14:textId="719EC78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w:t>
            </w:r>
          </w:p>
        </w:tc>
        <w:tc>
          <w:tcPr>
            <w:tcW w:w="709" w:type="dxa"/>
            <w:tcBorders>
              <w:top w:val="single" w:sz="4" w:space="0" w:color="auto"/>
              <w:left w:val="nil"/>
              <w:bottom w:val="single" w:sz="4" w:space="0" w:color="auto"/>
              <w:right w:val="single" w:sz="4" w:space="0" w:color="auto"/>
            </w:tcBorders>
            <w:vAlign w:val="bottom"/>
          </w:tcPr>
          <w:p w14:paraId="09B1C4DD"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D66624E" w14:textId="65A1C28F"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{"citationItems":[{"id":"ITEM-1","itemData":{"DOI":"10.1016/j.jlp.2012.05.007","ISSN":"0950-4230","abstract":"The research presented in this paper is focused on dust explosions of coarse and fine flocculent (or fibrous) samples of wood and polyethylene. Hybrid mixtures of fibrous polyethylene and admixed ethylene were also studied. Experimentation was conducted by following standardized test procedures and using standardized apparatus for determination of maximum explosion pressure, size-normalized maximum rate of pressure rise, minimum explosible concentration, minimum ignition energy, and minimum ignition temperature. A general trend was observed of enhanced explosion likelihood and consequence severity with a decrease in material diameter, as well as enhanced consequence severity with admixture of a flammable gas to the combustion atmosphere. The same phenomena are well-established for dusts composed of spherical particles; this highlights the importance of inherently safer design and the principle of moderation in avoiding the generation of fine sizes of flocculent dusts and hybrid mixtures of such materials with flammable gases. In addition to presenting experimental findings, the paper describes phenomenological modelling efforts for the flocculent polyethylene using four geometric equivalence models: radial equivalence, volumetric equivalence, surface area equivalence, and specific surface area equivalence. The surface area equivalence model was found to yield the best estimates of maximum rate of pressure rise for the flocculent polyethylene samples investigated experimentally.","author":[{"dropping-particle":"","family":"Amyotte","given":"Paul R","non-dropping-particle":"","parse-names":false,"suffix":""},{"dropping-particle":"","family":"Cloney","given":"Chris T","non-dropping-particle":"","parse-names":false,"suffix":""},{"dropping-particle":"","family":"Khan","given":"Faisal I","non-dropping-particle":"","parse-names":false,"suffix":""},{"dropping-particle":"","family":"Ripley","given":"Robert C","non-dropping-particle":"","parse-names":false,"suffix":""}],"container-title":"Journal of Loss Prevention in the Process Industries","id":"ITEM-1","issue":"5","issued":{"date-parts":[["2012"]]},"page":"862-869","title":"Dust explosion risk moderation for flocculent dusts","type":"article-journal","volume":"25"},"uris":["http://www.mendeley.com/documents/?uuid=a6655299-e3de-4ddd-a10c-c57f03ade195"]}],"mendeley":{"formattedCitation":"[150]","plainTextFormattedCitation":"[150]","previouslyFormattedCitation":"[150]"},"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[150]</w:t>
            </w:r>
            <w:r w:rsidRPr="005A7A0A">
              <w:rPr>
                <w:color w:val="auto"/>
                <w:sz w:val="18"/>
                <w:szCs w:val="18"/>
                <w:lang w:eastAsia="en-GB" w:bidi="ar-SA"/>
              </w:rPr>
              <w:fldChar w:fldCharType="end"/>
            </w:r>
          </w:p>
        </w:tc>
      </w:tr>
      <w:tr w:rsidR="005A7A0A" w:rsidRPr="005A7A0A" w14:paraId="39C94044" w14:textId="72CE90EF"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82BCB5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75</w:t>
            </w:r>
          </w:p>
        </w:tc>
        <w:tc>
          <w:tcPr>
            <w:tcW w:w="4204" w:type="dxa"/>
            <w:tcBorders>
              <w:top w:val="nil"/>
              <w:left w:val="nil"/>
              <w:bottom w:val="single" w:sz="4" w:space="0" w:color="auto"/>
              <w:right w:val="single" w:sz="4" w:space="0" w:color="auto"/>
            </w:tcBorders>
            <w:shd w:val="clear" w:color="auto" w:fill="auto"/>
            <w:noWrap/>
            <w:vAlign w:val="center"/>
            <w:hideMark/>
          </w:tcPr>
          <w:p w14:paraId="0324462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(fibrous sample), fraction &lt; 75 μm</w:t>
            </w:r>
          </w:p>
        </w:tc>
        <w:tc>
          <w:tcPr>
            <w:tcW w:w="1055" w:type="dxa"/>
            <w:tcBorders>
              <w:top w:val="nil"/>
              <w:left w:val="nil"/>
              <w:bottom w:val="single" w:sz="4" w:space="0" w:color="auto"/>
              <w:right w:val="single" w:sz="4" w:space="0" w:color="auto"/>
            </w:tcBorders>
            <w:shd w:val="clear" w:color="auto" w:fill="auto"/>
            <w:noWrap/>
            <w:vAlign w:val="bottom"/>
          </w:tcPr>
          <w:p w14:paraId="21A3606B" w14:textId="74E93F4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8.2</w:t>
            </w:r>
          </w:p>
        </w:tc>
        <w:tc>
          <w:tcPr>
            <w:tcW w:w="1006" w:type="dxa"/>
            <w:tcBorders>
              <w:top w:val="nil"/>
              <w:left w:val="nil"/>
              <w:bottom w:val="single" w:sz="4" w:space="0" w:color="auto"/>
              <w:right w:val="single" w:sz="4" w:space="0" w:color="auto"/>
            </w:tcBorders>
            <w:shd w:val="clear" w:color="auto" w:fill="auto"/>
            <w:noWrap/>
            <w:vAlign w:val="bottom"/>
          </w:tcPr>
          <w:p w14:paraId="13B6A917" w14:textId="5C26505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149.0</w:t>
            </w:r>
          </w:p>
        </w:tc>
        <w:tc>
          <w:tcPr>
            <w:tcW w:w="1335" w:type="dxa"/>
            <w:tcBorders>
              <w:top w:val="nil"/>
              <w:left w:val="nil"/>
              <w:bottom w:val="single" w:sz="4" w:space="0" w:color="auto"/>
              <w:right w:val="single" w:sz="4" w:space="0" w:color="auto"/>
            </w:tcBorders>
            <w:shd w:val="clear" w:color="auto" w:fill="auto"/>
            <w:noWrap/>
            <w:vAlign w:val="bottom"/>
          </w:tcPr>
          <w:p w14:paraId="61819505" w14:textId="7820867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548.9</w:t>
            </w:r>
          </w:p>
        </w:tc>
        <w:tc>
          <w:tcPr>
            <w:tcW w:w="931" w:type="dxa"/>
            <w:tcBorders>
              <w:top w:val="nil"/>
              <w:left w:val="nil"/>
              <w:bottom w:val="single" w:sz="4" w:space="0" w:color="auto"/>
              <w:right w:val="single" w:sz="4" w:space="0" w:color="auto"/>
            </w:tcBorders>
            <w:shd w:val="clear" w:color="auto" w:fill="auto"/>
            <w:noWrap/>
            <w:vAlign w:val="bottom"/>
          </w:tcPr>
          <w:p w14:paraId="433ECD76" w14:textId="0287ECA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10 - 30</w:t>
            </w:r>
            <w:r w:rsidRPr="005A7A0A">
              <w:rPr>
                <w:color w:val="auto"/>
                <w:vertAlign w:val="superscript"/>
              </w:rPr>
              <w:t xml:space="preserve"> g</w:t>
            </w:r>
          </w:p>
        </w:tc>
        <w:tc>
          <w:tcPr>
            <w:tcW w:w="992" w:type="dxa"/>
            <w:tcBorders>
              <w:top w:val="nil"/>
              <w:left w:val="nil"/>
              <w:bottom w:val="single" w:sz="4" w:space="0" w:color="auto"/>
              <w:right w:val="single" w:sz="4" w:space="0" w:color="auto"/>
            </w:tcBorders>
            <w:shd w:val="clear" w:color="auto" w:fill="auto"/>
            <w:noWrap/>
            <w:vAlign w:val="bottom"/>
          </w:tcPr>
          <w:p w14:paraId="5B5D103E" w14:textId="396D251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C44F557" w14:textId="4359509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410</w:t>
            </w:r>
          </w:p>
        </w:tc>
        <w:tc>
          <w:tcPr>
            <w:tcW w:w="851" w:type="dxa"/>
            <w:tcBorders>
              <w:top w:val="nil"/>
              <w:left w:val="nil"/>
              <w:bottom w:val="single" w:sz="4" w:space="0" w:color="auto"/>
              <w:right w:val="single" w:sz="4" w:space="0" w:color="auto"/>
            </w:tcBorders>
            <w:shd w:val="clear" w:color="auto" w:fill="auto"/>
            <w:noWrap/>
            <w:vAlign w:val="bottom"/>
          </w:tcPr>
          <w:p w14:paraId="1C84C3C7" w14:textId="5475918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20</w:t>
            </w:r>
          </w:p>
        </w:tc>
        <w:tc>
          <w:tcPr>
            <w:tcW w:w="709" w:type="dxa"/>
            <w:tcBorders>
              <w:top w:val="single" w:sz="4" w:space="0" w:color="auto"/>
              <w:left w:val="nil"/>
              <w:bottom w:val="single" w:sz="4" w:space="0" w:color="auto"/>
              <w:right w:val="single" w:sz="4" w:space="0" w:color="auto"/>
            </w:tcBorders>
            <w:vAlign w:val="bottom"/>
          </w:tcPr>
          <w:p w14:paraId="5F74CBF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C192F31" w14:textId="03DA0EC2"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{"citationItems":[{"id":"ITEM-1","itemData":{"DOI":"10.1016/j.jlp.2012.05.007","ISSN":"0950-4230","abstract":"The research presented in this paper is focused on dust explosions of coarse and fine flocculent (or fibrous) samples of wood and polyethylene. Hybrid mixtures of fibrous polyethylene and admixed ethylene were also studied. Experimentation was conducted by following standardized test procedures and using standardized apparatus for determination of maximum explosion pressure, size-normalized maximum rate of pressure rise, minimum explosible concentration, minimum ignition energy, and minimum ignition temperature. A general trend was observed of enhanced explosion likelihood and consequence severity with a decrease in material diameter, as well as enhanced consequence severity with admixture of a flammable gas to the combustion atmosphere. The same phenomena are well-established for dusts composed of spherical particles; this highlights the importance of inherently safer design and the principle of moderation in avoiding the generation of fine sizes of flocculent dusts and hybrid mixtures of such materials with flammable gases. In addition to presenting experimental findings, the paper describes phenomenological modelling efforts for the flocculent polyethylene using four geometric equivalence models: radial equivalence, volumetric equivalence, surface area equivalence, and specific surface area equivalence. The surface area equivalence model was found to yield the best estimates of maximum rate of pressure rise for the flocculent polyethylene samples investigated experimentally.","author":[{"dropping-particle":"","family":"Amyotte","given":"Paul R","non-dropping-particle":"","parse-names":false,"suffix":""},{"dropping-particle":"","family":"Cloney","given":"Chris T","non-dropping-particle":"","parse-names":false,"suffix":""},{"dropping-particle":"","family":"Khan","given":"Faisal I","non-dropping-particle":"","parse-names":false,"suffix":""},{"dropping-particle":"","family":"Ripley","given":"Robert C","non-dropping-particle":"","parse-names":false,"suffix":""}],"container-title":"Journal of Loss Prevention in the Process Industries","id":"ITEM-1","issue":"5","issued":{"date-parts":[["2012"]]},"page":"862-869","title":"Dust explosion risk moderation for flocculent dusts","type":"article-journal","volume":"25"},"uris":["http://www.mendeley.com/documents/?uuid=a6655299-e3de-4ddd-a10c-c57f03ade195"]}],"mendeley":{"formattedCitation":"[150]","plainTextFormattedCitation":"[150]","previouslyFormattedCitation":"[150]"},"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[150]</w:t>
            </w:r>
            <w:r w:rsidRPr="005A7A0A">
              <w:rPr>
                <w:color w:val="auto"/>
                <w:sz w:val="18"/>
                <w:szCs w:val="18"/>
                <w:lang w:eastAsia="en-GB" w:bidi="ar-SA"/>
              </w:rPr>
              <w:fldChar w:fldCharType="end"/>
            </w:r>
          </w:p>
        </w:tc>
      </w:tr>
      <w:tr w:rsidR="005A7A0A" w:rsidRPr="005A7A0A" w14:paraId="59095C0A" w14:textId="4F37DC53"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8B3510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76</w:t>
            </w:r>
          </w:p>
        </w:tc>
        <w:tc>
          <w:tcPr>
            <w:tcW w:w="4204" w:type="dxa"/>
            <w:tcBorders>
              <w:top w:val="nil"/>
              <w:left w:val="nil"/>
              <w:bottom w:val="single" w:sz="4" w:space="0" w:color="auto"/>
              <w:right w:val="single" w:sz="4" w:space="0" w:color="auto"/>
            </w:tcBorders>
            <w:shd w:val="clear" w:color="auto" w:fill="auto"/>
            <w:noWrap/>
            <w:vAlign w:val="center"/>
            <w:hideMark/>
          </w:tcPr>
          <w:p w14:paraId="12399CE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(mixture of beech and oak), fraction 25-45 μm</w:t>
            </w:r>
          </w:p>
        </w:tc>
        <w:tc>
          <w:tcPr>
            <w:tcW w:w="1055" w:type="dxa"/>
            <w:tcBorders>
              <w:top w:val="nil"/>
              <w:left w:val="nil"/>
              <w:bottom w:val="single" w:sz="4" w:space="0" w:color="auto"/>
              <w:right w:val="single" w:sz="4" w:space="0" w:color="auto"/>
            </w:tcBorders>
            <w:shd w:val="clear" w:color="auto" w:fill="auto"/>
            <w:noWrap/>
            <w:vAlign w:val="bottom"/>
          </w:tcPr>
          <w:p w14:paraId="4745AF93" w14:textId="155980A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7.7</w:t>
            </w:r>
          </w:p>
        </w:tc>
        <w:tc>
          <w:tcPr>
            <w:tcW w:w="1006" w:type="dxa"/>
            <w:tcBorders>
              <w:top w:val="nil"/>
              <w:left w:val="nil"/>
              <w:bottom w:val="single" w:sz="4" w:space="0" w:color="auto"/>
              <w:right w:val="single" w:sz="4" w:space="0" w:color="auto"/>
            </w:tcBorders>
            <w:shd w:val="clear" w:color="auto" w:fill="auto"/>
            <w:noWrap/>
            <w:vAlign w:val="bottom"/>
          </w:tcPr>
          <w:p w14:paraId="576D69D3" w14:textId="1984B69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135.7</w:t>
            </w:r>
          </w:p>
        </w:tc>
        <w:tc>
          <w:tcPr>
            <w:tcW w:w="1335" w:type="dxa"/>
            <w:tcBorders>
              <w:top w:val="nil"/>
              <w:left w:val="nil"/>
              <w:bottom w:val="single" w:sz="4" w:space="0" w:color="auto"/>
              <w:right w:val="single" w:sz="4" w:space="0" w:color="auto"/>
            </w:tcBorders>
            <w:shd w:val="clear" w:color="auto" w:fill="auto"/>
            <w:noWrap/>
            <w:vAlign w:val="bottom"/>
          </w:tcPr>
          <w:p w14:paraId="1B81B22D" w14:textId="12D881B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500.0</w:t>
            </w:r>
          </w:p>
        </w:tc>
        <w:tc>
          <w:tcPr>
            <w:tcW w:w="931" w:type="dxa"/>
            <w:tcBorders>
              <w:top w:val="nil"/>
              <w:left w:val="nil"/>
              <w:bottom w:val="single" w:sz="4" w:space="0" w:color="auto"/>
              <w:right w:val="single" w:sz="4" w:space="0" w:color="auto"/>
            </w:tcBorders>
            <w:shd w:val="clear" w:color="auto" w:fill="auto"/>
            <w:noWrap/>
            <w:vAlign w:val="bottom"/>
          </w:tcPr>
          <w:p w14:paraId="599D18C0" w14:textId="27E4DDF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ACB64A0" w14:textId="1A70C76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67E03706" w14:textId="26F7EAA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1FABC669" w14:textId="0FF1AA2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D6E48B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A06AF7B" w14:textId="1EC2ACDC"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{"citationItems":[{"id":"ITEM-1","itemData":{"DOI":"10.1016/j.powtec.2005.05.021","ISSN":"0032-5910","abstract":"The explosion ability of wood dust was characterized by a 20 L explosion sphere (Kühner). The overpressure inside the sphere is recorded during the explosion. The results show that the violence of the explosion is all the more important that the particle size is low. A model based on balances on chemical reaction, kinetics and thermodynamics leads to the representation of the pressure change during the explosion. There is a good agreement between the calculations and the experiments.","author":[{"dropping-particle":"","family":"Callé","given":"S","non-dropping-particle":"","parse-names":false,"suffix":""},{"dropping-particle":"","family":"Klaba","given":"L","non-dropping-particle":"","parse-names":false,"suffix":""},{"dropping-particle":"","family":"Thomas","given":"D","non-dropping-particle":"","parse-names":false,"suffix":""},{"dropping-particle":"","family":"Perrin","given":"L","non-dropping-particle":"","parse-names":false,"suffix":""},{"dropping-particle":"","family":"Dufaud","given":"O","non-dropping-particle":"","parse-names":false,"suffix":""}],"container-title":"Powder Technology","id":"ITEM-1","issue":"1","issued":{"date-parts":[["2005"]]},"page":"144-148","title":"Influence of the size distribution and concentration on wood dust explosion: Experiments and reaction modelling","type":"article-journal","volume":"157"},"uris":["http://www.mendeley.com/documents/?uuid=2c7744c8-4e7d-4bf0-8013-aefbf9b4ecdc"]}],"mendeley":{"formattedCitation":"[151]","plainTextFormattedCitation":"[151]","previouslyFormattedCitation":"[151]"},"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[151]</w:t>
            </w:r>
            <w:r w:rsidRPr="005A7A0A">
              <w:rPr>
                <w:color w:val="auto"/>
                <w:sz w:val="18"/>
                <w:szCs w:val="18"/>
                <w:lang w:eastAsia="en-GB" w:bidi="ar-SA"/>
              </w:rPr>
              <w:fldChar w:fldCharType="end"/>
            </w:r>
          </w:p>
        </w:tc>
      </w:tr>
      <w:tr w:rsidR="005A7A0A" w:rsidRPr="005A7A0A" w14:paraId="794281A0" w14:textId="48AE20E0"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71CDDB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77</w:t>
            </w:r>
          </w:p>
        </w:tc>
        <w:tc>
          <w:tcPr>
            <w:tcW w:w="4204" w:type="dxa"/>
            <w:tcBorders>
              <w:top w:val="nil"/>
              <w:left w:val="nil"/>
              <w:bottom w:val="single" w:sz="4" w:space="0" w:color="auto"/>
              <w:right w:val="single" w:sz="4" w:space="0" w:color="auto"/>
            </w:tcBorders>
            <w:shd w:val="clear" w:color="auto" w:fill="auto"/>
            <w:noWrap/>
            <w:vAlign w:val="center"/>
            <w:hideMark/>
          </w:tcPr>
          <w:p w14:paraId="0973DABB" w14:textId="2A6809D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(mixture of beech and oak), fraction 45-71 μm</w:t>
            </w:r>
          </w:p>
        </w:tc>
        <w:tc>
          <w:tcPr>
            <w:tcW w:w="1055" w:type="dxa"/>
            <w:tcBorders>
              <w:top w:val="nil"/>
              <w:left w:val="nil"/>
              <w:bottom w:val="single" w:sz="4" w:space="0" w:color="auto"/>
              <w:right w:val="single" w:sz="4" w:space="0" w:color="auto"/>
            </w:tcBorders>
            <w:shd w:val="clear" w:color="auto" w:fill="auto"/>
            <w:noWrap/>
            <w:vAlign w:val="bottom"/>
          </w:tcPr>
          <w:p w14:paraId="3C9AF274" w14:textId="0920512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7.5</w:t>
            </w:r>
          </w:p>
        </w:tc>
        <w:tc>
          <w:tcPr>
            <w:tcW w:w="1006" w:type="dxa"/>
            <w:tcBorders>
              <w:top w:val="nil"/>
              <w:left w:val="nil"/>
              <w:bottom w:val="single" w:sz="4" w:space="0" w:color="auto"/>
              <w:right w:val="single" w:sz="4" w:space="0" w:color="auto"/>
            </w:tcBorders>
            <w:shd w:val="clear" w:color="auto" w:fill="auto"/>
            <w:noWrap/>
            <w:vAlign w:val="bottom"/>
          </w:tcPr>
          <w:p w14:paraId="1F5420A9" w14:textId="3FB7E35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7975C909" w14:textId="7B1152C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36AE4FB6" w14:textId="7896E03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834D341" w14:textId="453523B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D995228" w14:textId="7A69E8B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7DF1B7CC" w14:textId="4C11809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7E7DB4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2B92564" w14:textId="7AE96C2C"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{"citationItems":[{"id":"ITEM-1","itemData":{"DOI":"10.1016/j.powtec.2005.05.021","ISSN":"0032-5910","abstract":"The explosion ability of wood dust was characterized by a 20 L explosion sphere (Kühner). The overpressure inside the sphere is recorded during the explosion. The results show that the violence of the explosion is all the more important that the particle size is low. A model based on balances on chemical reaction, kinetics and thermodynamics leads to the representation of the pressure change during the explosion. There is a good agreement between the calculations and the experiments.","author":[{"dropping-particle":"","family":"Callé","given":"S","non-dropping-particle":"","parse-names":false,"suffix":""},{"dropping-particle":"","family":"Klaba","given":"L","non-dropping-particle":"","parse-names":false,"suffix":""},{"dropping-particle":"","family":"Thomas","given":"D","non-dropping-particle":"","parse-names":false,"suffix":""},{"dropping-particle":"","family":"Perrin","given":"L","non-dropping-particle":"","parse-names":false,"suffix":""},{"dropping-particle":"","family":"Dufaud","given":"O","non-dropping-particle":"","parse-names":false,"suffix":""}],"container-title":"Powder Technology","id":"ITEM-1","issue":"1","issued":{"date-parts":[["2005"]]},"page":"144-148","title":"Influence of the size distribution and concentration on wood dust explosion: Experiments and reaction modelling","type":"article-journal","volume":"157"},"uris":["http://www.mendeley.com/documents/?uuid=2c7744c8-4e7d-4bf0-8013-aefbf9b4ecdc"]}],"mendeley":{"formattedCitation":"[151]","plainTextFormattedCitation":"[151]","previouslyFormattedCitation":"[151]"},"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[151]</w:t>
            </w:r>
            <w:r w:rsidRPr="005A7A0A">
              <w:rPr>
                <w:color w:val="auto"/>
                <w:sz w:val="18"/>
                <w:szCs w:val="18"/>
                <w:lang w:eastAsia="en-GB" w:bidi="ar-SA"/>
              </w:rPr>
              <w:fldChar w:fldCharType="end"/>
            </w:r>
          </w:p>
        </w:tc>
      </w:tr>
      <w:tr w:rsidR="005A7A0A" w:rsidRPr="005A7A0A" w14:paraId="56A21C08" w14:textId="5EB7BCC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773DF2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78</w:t>
            </w:r>
          </w:p>
        </w:tc>
        <w:tc>
          <w:tcPr>
            <w:tcW w:w="4204" w:type="dxa"/>
            <w:tcBorders>
              <w:top w:val="nil"/>
              <w:left w:val="nil"/>
              <w:bottom w:val="single" w:sz="4" w:space="0" w:color="auto"/>
              <w:right w:val="single" w:sz="4" w:space="0" w:color="auto"/>
            </w:tcBorders>
            <w:shd w:val="clear" w:color="auto" w:fill="auto"/>
            <w:noWrap/>
            <w:vAlign w:val="center"/>
            <w:hideMark/>
          </w:tcPr>
          <w:p w14:paraId="034375D1"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(mixture of beech and oak), fraction 90-125 μm</w:t>
            </w:r>
          </w:p>
        </w:tc>
        <w:tc>
          <w:tcPr>
            <w:tcW w:w="1055" w:type="dxa"/>
            <w:tcBorders>
              <w:top w:val="nil"/>
              <w:left w:val="nil"/>
              <w:bottom w:val="single" w:sz="4" w:space="0" w:color="auto"/>
              <w:right w:val="single" w:sz="4" w:space="0" w:color="auto"/>
            </w:tcBorders>
            <w:shd w:val="clear" w:color="auto" w:fill="auto"/>
            <w:noWrap/>
            <w:vAlign w:val="bottom"/>
          </w:tcPr>
          <w:p w14:paraId="4E0B8653" w14:textId="7A88234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7.1</w:t>
            </w:r>
          </w:p>
        </w:tc>
        <w:tc>
          <w:tcPr>
            <w:tcW w:w="1006" w:type="dxa"/>
            <w:tcBorders>
              <w:top w:val="nil"/>
              <w:left w:val="nil"/>
              <w:bottom w:val="single" w:sz="4" w:space="0" w:color="auto"/>
              <w:right w:val="single" w:sz="4" w:space="0" w:color="auto"/>
            </w:tcBorders>
            <w:shd w:val="clear" w:color="auto" w:fill="auto"/>
            <w:noWrap/>
            <w:vAlign w:val="bottom"/>
          </w:tcPr>
          <w:p w14:paraId="2B2D0F39" w14:textId="3132893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7AADCBDB" w14:textId="18379BE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78727BB4" w14:textId="19E7E83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B009F00" w14:textId="514AF0B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1E0B185" w14:textId="182DC86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4071215" w14:textId="2F6D2C3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3E78A1E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F69F825" w14:textId="44D51AF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{"citationItems":[{"id":"ITEM-1","itemData":{"DOI":"10.1016/j.powtec.2005.05.021","ISSN":"0032-5910","abstract":"The explosion ability of wood dust was characterized by a 20 L explosion sphere (Kühner). The overpressure inside the sphere is recorded during the explosion. The results show that the violence of the explosion is all the more important that the particle size is low. A model based on balances on chemical reaction, kinetics and thermodynamics leads to the representation of the pressure change during the explosion. There is a good agreement between the calculations and the experiments.","author":[{"dropping-particle":"","family":"Callé","given":"S","non-dropping-particle":"","parse-names":false,"suffix":""},{"dropping-particle":"","family":"Klaba","given":"L","non-dropping-particle":"","parse-names":false,"suffix":""},{"dropping-particle":"","family":"Thomas","given":"D","non-dropping-particle":"","parse-names":false,"suffix":""},{"dropping-particle":"","family":"Perrin","given":"L","non-dropping-particle":"","parse-names":false,"suffix":""},{"dropping-particle":"","family":"Dufaud","given":"O","non-dropping-particle":"","parse-names":false,"suffix":""}],"container-title":"Powder Technology","id":"ITEM-1","issue":"1","issued":{"date-parts":[["2005"]]},"page":"144-148","title":"Influence of the size distribution and concentration on wood dust explosion: Experiments and reaction modelling","type":"article-journal","volume":"157"},"uris":["http://www.mendeley.com/documents/?uuid=2c7744c8-4e7d-4bf0-8013-aefbf9b4ecdc"]}],"mendeley":{"formattedCitation":"[151]","plainTextFormattedCitation":"[151]","previouslyFormattedCitation":"[151]"},"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[151]</w:t>
            </w:r>
            <w:r w:rsidRPr="005A7A0A">
              <w:rPr>
                <w:color w:val="auto"/>
                <w:sz w:val="18"/>
                <w:szCs w:val="18"/>
                <w:lang w:eastAsia="en-GB" w:bidi="ar-SA"/>
              </w:rPr>
              <w:fldChar w:fldCharType="end"/>
            </w:r>
          </w:p>
        </w:tc>
      </w:tr>
      <w:tr w:rsidR="005A7A0A" w:rsidRPr="005A7A0A" w14:paraId="7BE9E5FE" w14:textId="4058A7A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41A3CC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79</w:t>
            </w:r>
          </w:p>
        </w:tc>
        <w:tc>
          <w:tcPr>
            <w:tcW w:w="4204" w:type="dxa"/>
            <w:tcBorders>
              <w:top w:val="nil"/>
              <w:left w:val="nil"/>
              <w:bottom w:val="single" w:sz="4" w:space="0" w:color="auto"/>
              <w:right w:val="single" w:sz="4" w:space="0" w:color="auto"/>
            </w:tcBorders>
            <w:shd w:val="clear" w:color="auto" w:fill="auto"/>
            <w:noWrap/>
            <w:vAlign w:val="center"/>
            <w:hideMark/>
          </w:tcPr>
          <w:p w14:paraId="1D9B021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chips</w:t>
            </w:r>
          </w:p>
        </w:tc>
        <w:tc>
          <w:tcPr>
            <w:tcW w:w="1055" w:type="dxa"/>
            <w:tcBorders>
              <w:top w:val="nil"/>
              <w:left w:val="nil"/>
              <w:bottom w:val="single" w:sz="4" w:space="0" w:color="auto"/>
              <w:right w:val="single" w:sz="4" w:space="0" w:color="auto"/>
            </w:tcBorders>
            <w:shd w:val="clear" w:color="auto" w:fill="auto"/>
            <w:noWrap/>
            <w:vAlign w:val="bottom"/>
          </w:tcPr>
          <w:p w14:paraId="5EAB73EF" w14:textId="211ED74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728B7A47" w14:textId="76033F1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6BDEE98E" w14:textId="19B1217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61B2DEDA" w14:textId="19533E8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61C2B30" w14:textId="63B4CEF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360</w:t>
            </w:r>
          </w:p>
        </w:tc>
        <w:tc>
          <w:tcPr>
            <w:tcW w:w="1134" w:type="dxa"/>
            <w:tcBorders>
              <w:top w:val="nil"/>
              <w:left w:val="nil"/>
              <w:bottom w:val="single" w:sz="4" w:space="0" w:color="auto"/>
              <w:right w:val="single" w:sz="4" w:space="0" w:color="auto"/>
            </w:tcBorders>
            <w:shd w:val="clear" w:color="auto" w:fill="auto"/>
            <w:noWrap/>
            <w:vAlign w:val="bottom"/>
          </w:tcPr>
          <w:p w14:paraId="21B189AF" w14:textId="4E9A3E2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2FBCFB9" w14:textId="0E4EC47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55406658"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EB0CF14" w14:textId="34E8779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00C059E4" w14:textId="2E94CC03"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72945F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80</w:t>
            </w:r>
          </w:p>
        </w:tc>
        <w:tc>
          <w:tcPr>
            <w:tcW w:w="4204" w:type="dxa"/>
            <w:tcBorders>
              <w:top w:val="nil"/>
              <w:left w:val="nil"/>
              <w:bottom w:val="single" w:sz="4" w:space="0" w:color="auto"/>
              <w:right w:val="single" w:sz="4" w:space="0" w:color="auto"/>
            </w:tcBorders>
            <w:shd w:val="clear" w:color="auto" w:fill="auto"/>
            <w:noWrap/>
            <w:vAlign w:val="center"/>
            <w:hideMark/>
          </w:tcPr>
          <w:p w14:paraId="656E2F4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chips</w:t>
            </w:r>
          </w:p>
        </w:tc>
        <w:tc>
          <w:tcPr>
            <w:tcW w:w="1055" w:type="dxa"/>
            <w:tcBorders>
              <w:top w:val="nil"/>
              <w:left w:val="nil"/>
              <w:bottom w:val="single" w:sz="4" w:space="0" w:color="auto"/>
              <w:right w:val="single" w:sz="4" w:space="0" w:color="auto"/>
            </w:tcBorders>
            <w:shd w:val="clear" w:color="auto" w:fill="auto"/>
            <w:noWrap/>
            <w:vAlign w:val="bottom"/>
          </w:tcPr>
          <w:p w14:paraId="4F19B8F9" w14:textId="25BD2D0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28DA090B" w14:textId="72FB733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4F99A3A4" w14:textId="446A028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5427B0B4" w14:textId="72ED2E3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1B2D956" w14:textId="4EE18EA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390</w:t>
            </w:r>
          </w:p>
        </w:tc>
        <w:tc>
          <w:tcPr>
            <w:tcW w:w="1134" w:type="dxa"/>
            <w:tcBorders>
              <w:top w:val="nil"/>
              <w:left w:val="nil"/>
              <w:bottom w:val="single" w:sz="4" w:space="0" w:color="auto"/>
              <w:right w:val="single" w:sz="4" w:space="0" w:color="auto"/>
            </w:tcBorders>
            <w:shd w:val="clear" w:color="auto" w:fill="auto"/>
            <w:noWrap/>
            <w:vAlign w:val="bottom"/>
          </w:tcPr>
          <w:p w14:paraId="154879F5" w14:textId="5AC0E1A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187B6AF2" w14:textId="349CB0C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84D956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A1450FA" w14:textId="22A3284B"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631A729F" w14:textId="094A494F"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E45406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81</w:t>
            </w:r>
          </w:p>
        </w:tc>
        <w:tc>
          <w:tcPr>
            <w:tcW w:w="4204" w:type="dxa"/>
            <w:tcBorders>
              <w:top w:val="nil"/>
              <w:left w:val="nil"/>
              <w:bottom w:val="single" w:sz="4" w:space="0" w:color="auto"/>
              <w:right w:val="single" w:sz="4" w:space="0" w:color="auto"/>
            </w:tcBorders>
            <w:shd w:val="clear" w:color="auto" w:fill="auto"/>
            <w:noWrap/>
            <w:vAlign w:val="center"/>
            <w:hideMark/>
          </w:tcPr>
          <w:p w14:paraId="71C5126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dust from the production of particleboard (hammer mill dust)</w:t>
            </w:r>
          </w:p>
        </w:tc>
        <w:tc>
          <w:tcPr>
            <w:tcW w:w="1055" w:type="dxa"/>
            <w:tcBorders>
              <w:top w:val="nil"/>
              <w:left w:val="nil"/>
              <w:bottom w:val="single" w:sz="4" w:space="0" w:color="auto"/>
              <w:right w:val="single" w:sz="4" w:space="0" w:color="auto"/>
            </w:tcBorders>
            <w:shd w:val="clear" w:color="auto" w:fill="auto"/>
            <w:noWrap/>
            <w:vAlign w:val="bottom"/>
          </w:tcPr>
          <w:p w14:paraId="305ED999" w14:textId="506F588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8.3</w:t>
            </w:r>
            <w:r w:rsidRPr="005A7A0A">
              <w:rPr>
                <w:color w:val="auto"/>
                <w:vertAlign w:val="superscript"/>
              </w:rPr>
              <w:t xml:space="preserve"> f</w:t>
            </w:r>
          </w:p>
        </w:tc>
        <w:tc>
          <w:tcPr>
            <w:tcW w:w="1006" w:type="dxa"/>
            <w:tcBorders>
              <w:top w:val="nil"/>
              <w:left w:val="nil"/>
              <w:bottom w:val="single" w:sz="4" w:space="0" w:color="auto"/>
              <w:right w:val="single" w:sz="4" w:space="0" w:color="auto"/>
            </w:tcBorders>
            <w:shd w:val="clear" w:color="auto" w:fill="auto"/>
            <w:noWrap/>
            <w:vAlign w:val="bottom"/>
          </w:tcPr>
          <w:p w14:paraId="41CE8BA3" w14:textId="55E554E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111.8</w:t>
            </w:r>
          </w:p>
        </w:tc>
        <w:tc>
          <w:tcPr>
            <w:tcW w:w="1335" w:type="dxa"/>
            <w:tcBorders>
              <w:top w:val="nil"/>
              <w:left w:val="nil"/>
              <w:bottom w:val="single" w:sz="4" w:space="0" w:color="auto"/>
              <w:right w:val="single" w:sz="4" w:space="0" w:color="auto"/>
            </w:tcBorders>
            <w:shd w:val="clear" w:color="auto" w:fill="auto"/>
            <w:noWrap/>
            <w:vAlign w:val="bottom"/>
          </w:tcPr>
          <w:p w14:paraId="2BCFC9E0" w14:textId="0544826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412.0</w:t>
            </w:r>
          </w:p>
        </w:tc>
        <w:tc>
          <w:tcPr>
            <w:tcW w:w="931" w:type="dxa"/>
            <w:tcBorders>
              <w:top w:val="nil"/>
              <w:left w:val="nil"/>
              <w:bottom w:val="single" w:sz="4" w:space="0" w:color="auto"/>
              <w:right w:val="single" w:sz="4" w:space="0" w:color="auto"/>
            </w:tcBorders>
            <w:shd w:val="clear" w:color="auto" w:fill="auto"/>
            <w:noWrap/>
            <w:vAlign w:val="bottom"/>
          </w:tcPr>
          <w:p w14:paraId="5D807229" w14:textId="70B75DA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3A87C4B" w14:textId="5C7B52A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1B50438" w14:textId="10FE561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86F89F2" w14:textId="0839E75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17285741"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C15A209" w14:textId="036A115A"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{"citationItems":[{"id":"ITEM-1","itemData":{"DOI":"10.1016/j.applthermaleng.2016.08.010","ISSN":"1359-4311","abstract":"In this study, dust explosion experiments were conducted to investigate the explosion characteristics of three samples of dust from wood particleboard that had exploded in the manufacturing process. Explosion tests were conducted by utilizing a standardized Siwek 20L apparatus according to the standardized test procedures in the European Standard CEN EN 14034 series and CEN EN 13821. To understand the physiochemical properties of the tested dust samples, the element composition, particle size distribution, and heat release rate were obtained by utilizing an element analyzer, particle-size analyzer, and cone calorimeter, respectively. Explosion pressure and rising explosion pressure featured log-linearly increasing trends in dust concentration and equivalence ratios until the maximum. They then decreased linearly as the dust concentration and equivalence ratios increased. Dust particles of smaller sizes and non-spherical shapes achieved higher maximum explosion pressure and maximum explosion pressure rising rates. The dust concentration at maximum explosion pressure decreased as the dust particle size decreased. Thermal decomposition rates and mass loss rates of dusts, which were calculated from the results of the cone calorimeter test, were mainly affected by the content of noncombustible materials such as nitrogen and inorganic residuals. To suggest a proper method to analyze dust explosion characteristics, the correlations among the tested dust samples were calculated with four variables: dust concentration, equivalence ratio, equivalence ratio based on thermal decomposition rate, and mass loss rate. The results showed that the latter two variables were considered to be more proper methods than the dust concentration and showed slightly better correlation than the equivalence ratio. A bubble graph and a contour diagram of the explosion pressure were also utilized to visualize the degree of explosion risk and to determine a safe region of operation. The test results and analytical methods proposed in this study could be utilized to design methods for the prediction, prevention, and protection of dust explosions.","author":[{"dropping-particle":"","family":"Lee","given":"Min Chul","non-dropping-particle":"","parse-names":false,"suffix":""},{"dropping-particle":"","family":"Kim","given":"Yun Seok","non-dropping-particle":"","parse-names":false,"suffix":""},{"dropping-particle":"","family":"Rie","given":"Dong Ho","non-dropping-particle":"","parse-names":false,"suffix":""}],"container-title":"Applied Thermal Engineering","id":"ITEM-1","issued":{"date-parts":[["2016"]]},"page":"432-439","title":"Analysis of explosion characteristics of combustible wood dust in confined system using the thermal decomposition rate and mass loss rate","type":"article-journal","volume":"109"},"uris":["http://www.mendeley.com/documents/?uuid=1296ab87-201a-405b-a652-25c8c68d5653"]}],"mendeley":{"formattedCitation":"[149]","plainTextFormattedCitation":"[149]","previouslyFormattedCitation":"[149]"},"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[149]</w:t>
            </w:r>
            <w:r w:rsidRPr="005A7A0A">
              <w:rPr>
                <w:color w:val="auto"/>
                <w:sz w:val="18"/>
                <w:szCs w:val="18"/>
                <w:lang w:eastAsia="en-GB" w:bidi="ar-SA"/>
              </w:rPr>
              <w:fldChar w:fldCharType="end"/>
            </w:r>
          </w:p>
        </w:tc>
      </w:tr>
      <w:tr w:rsidR="005A7A0A" w:rsidRPr="005A7A0A" w14:paraId="7C9A2FD4" w14:textId="3355B024"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8AC323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lastRenderedPageBreak/>
              <w:t>82</w:t>
            </w:r>
          </w:p>
        </w:tc>
        <w:tc>
          <w:tcPr>
            <w:tcW w:w="4204" w:type="dxa"/>
            <w:tcBorders>
              <w:top w:val="nil"/>
              <w:left w:val="nil"/>
              <w:bottom w:val="single" w:sz="4" w:space="0" w:color="auto"/>
              <w:right w:val="single" w:sz="4" w:space="0" w:color="auto"/>
            </w:tcBorders>
            <w:shd w:val="clear" w:color="auto" w:fill="auto"/>
            <w:noWrap/>
            <w:vAlign w:val="center"/>
            <w:hideMark/>
          </w:tcPr>
          <w:p w14:paraId="510EB2B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dust from the production of particleboard (silo dust)</w:t>
            </w:r>
          </w:p>
        </w:tc>
        <w:tc>
          <w:tcPr>
            <w:tcW w:w="1055" w:type="dxa"/>
            <w:tcBorders>
              <w:top w:val="nil"/>
              <w:left w:val="nil"/>
              <w:bottom w:val="single" w:sz="4" w:space="0" w:color="auto"/>
              <w:right w:val="single" w:sz="4" w:space="0" w:color="auto"/>
            </w:tcBorders>
            <w:shd w:val="clear" w:color="auto" w:fill="auto"/>
            <w:noWrap/>
            <w:vAlign w:val="bottom"/>
          </w:tcPr>
          <w:p w14:paraId="3BEA9DF9" w14:textId="47A60CA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8.1</w:t>
            </w:r>
            <w:r w:rsidRPr="005A7A0A">
              <w:rPr>
                <w:color w:val="auto"/>
                <w:vertAlign w:val="superscript"/>
              </w:rPr>
              <w:t xml:space="preserve"> f</w:t>
            </w:r>
          </w:p>
        </w:tc>
        <w:tc>
          <w:tcPr>
            <w:tcW w:w="1006" w:type="dxa"/>
            <w:tcBorders>
              <w:top w:val="nil"/>
              <w:left w:val="nil"/>
              <w:bottom w:val="single" w:sz="4" w:space="0" w:color="auto"/>
              <w:right w:val="single" w:sz="4" w:space="0" w:color="auto"/>
            </w:tcBorders>
            <w:shd w:val="clear" w:color="auto" w:fill="auto"/>
            <w:noWrap/>
            <w:vAlign w:val="bottom"/>
          </w:tcPr>
          <w:p w14:paraId="32BB3997" w14:textId="30A2256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92.3</w:t>
            </w:r>
          </w:p>
        </w:tc>
        <w:tc>
          <w:tcPr>
            <w:tcW w:w="1335" w:type="dxa"/>
            <w:tcBorders>
              <w:top w:val="nil"/>
              <w:left w:val="nil"/>
              <w:bottom w:val="single" w:sz="4" w:space="0" w:color="auto"/>
              <w:right w:val="single" w:sz="4" w:space="0" w:color="auto"/>
            </w:tcBorders>
            <w:shd w:val="clear" w:color="auto" w:fill="auto"/>
            <w:noWrap/>
            <w:vAlign w:val="bottom"/>
          </w:tcPr>
          <w:p w14:paraId="539D316B" w14:textId="4E1A434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340.0</w:t>
            </w:r>
          </w:p>
        </w:tc>
        <w:tc>
          <w:tcPr>
            <w:tcW w:w="931" w:type="dxa"/>
            <w:tcBorders>
              <w:top w:val="nil"/>
              <w:left w:val="nil"/>
              <w:bottom w:val="single" w:sz="4" w:space="0" w:color="auto"/>
              <w:right w:val="single" w:sz="4" w:space="0" w:color="auto"/>
            </w:tcBorders>
            <w:shd w:val="clear" w:color="auto" w:fill="auto"/>
            <w:noWrap/>
            <w:vAlign w:val="bottom"/>
          </w:tcPr>
          <w:p w14:paraId="507DAE5C" w14:textId="125F542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0096ED1F" w14:textId="456812D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39136EBE" w14:textId="673FA7D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98C3682" w14:textId="101690B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968830F"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248CBDB" w14:textId="01A81CE1"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{"citationItems":[{"id":"ITEM-1","itemData":{"DOI":"10.1016/j.applthermaleng.2016.08.010","ISSN":"1359-4311","abstract":"In this study, dust explosion experiments were conducted to investigate the explosion characteristics of three samples of dust from wood particleboard that had exploded in the manufacturing process. Explosion tests were conducted by utilizing a standardized Siwek 20L apparatus according to the standardized test procedures in the European Standard CEN EN 14034 series and CEN EN 13821. To understand the physiochemical properties of the tested dust samples, the element composition, particle size distribution, and heat release rate were obtained by utilizing an element analyzer, particle-size analyzer, and cone calorimeter, respectively. Explosion pressure and rising explosion pressure featured log-linearly increasing trends in dust concentration and equivalence ratios until the maximum. They then decreased linearly as the dust concentration and equivalence ratios increased. Dust particles of smaller sizes and non-spherical shapes achieved higher maximum explosion pressure and maximum explosion pressure rising rates. The dust concentration at maximum explosion pressure decreased as the dust particle size decreased. Thermal decomposition rates and mass loss rates of dusts, which were calculated from the results of the cone calorimeter test, were mainly affected by the content of noncombustible materials such as nitrogen and inorganic residuals. To suggest a proper method to analyze dust explosion characteristics, the correlations among the tested dust samples were calculated with four variables: dust concentration, equivalence ratio, equivalence ratio based on thermal decomposition rate, and mass loss rate. The results showed that the latter two variables were considered to be more proper methods than the dust concentration and showed slightly better correlation than the equivalence ratio. A bubble graph and a contour diagram of the explosion pressure were also utilized to visualize the degree of explosion risk and to determine a safe region of operation. The test results and analytical methods proposed in this study could be utilized to design methods for the prediction, prevention, and protection of dust explosions.","author":[{"dropping-particle":"","family":"Lee","given":"Min Chul","non-dropping-particle":"","parse-names":false,"suffix":""},{"dropping-particle":"","family":"Kim","given":"Yun Seok","non-dropping-particle":"","parse-names":false,"suffix":""},{"dropping-particle":"","family":"Rie","given":"Dong Ho","non-dropping-particle":"","parse-names":false,"suffix":""}],"container-title":"Applied Thermal Engineering","id":"ITEM-1","issued":{"date-parts":[["2016"]]},"page":"432-439","title":"Analysis of explosion characteristics of combustible wood dust in confined system using the thermal decomposition rate and mass loss rate","type":"article-journal","volume":"109"},"uris":["http://www.mendeley.com/documents/?uuid=1296ab87-201a-405b-a652-25c8c68d5653"]}],"mendeley":{"formattedCitation":"[149]","plainTextFormattedCitation":"[149]","previouslyFormattedCitation":"[149]"},"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[149]</w:t>
            </w:r>
            <w:r w:rsidRPr="005A7A0A">
              <w:rPr>
                <w:color w:val="auto"/>
                <w:sz w:val="18"/>
                <w:szCs w:val="18"/>
                <w:lang w:eastAsia="en-GB" w:bidi="ar-SA"/>
              </w:rPr>
              <w:fldChar w:fldCharType="end"/>
            </w:r>
          </w:p>
        </w:tc>
      </w:tr>
      <w:tr w:rsidR="005A7A0A" w:rsidRPr="005A7A0A" w14:paraId="2510D015" w14:textId="033C8417"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229D17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83</w:t>
            </w:r>
          </w:p>
        </w:tc>
        <w:tc>
          <w:tcPr>
            <w:tcW w:w="4204" w:type="dxa"/>
            <w:tcBorders>
              <w:top w:val="nil"/>
              <w:left w:val="nil"/>
              <w:bottom w:val="single" w:sz="4" w:space="0" w:color="auto"/>
              <w:right w:val="single" w:sz="4" w:space="0" w:color="auto"/>
            </w:tcBorders>
            <w:shd w:val="clear" w:color="auto" w:fill="auto"/>
            <w:noWrap/>
            <w:vAlign w:val="center"/>
            <w:hideMark/>
          </w:tcPr>
          <w:p w14:paraId="5955F9B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pellets</w:t>
            </w:r>
          </w:p>
        </w:tc>
        <w:tc>
          <w:tcPr>
            <w:tcW w:w="1055" w:type="dxa"/>
            <w:tcBorders>
              <w:top w:val="nil"/>
              <w:left w:val="nil"/>
              <w:bottom w:val="single" w:sz="4" w:space="0" w:color="auto"/>
              <w:right w:val="single" w:sz="4" w:space="0" w:color="auto"/>
            </w:tcBorders>
            <w:shd w:val="clear" w:color="auto" w:fill="auto"/>
            <w:noWrap/>
            <w:vAlign w:val="bottom"/>
          </w:tcPr>
          <w:p w14:paraId="525A4E8E" w14:textId="4D73856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6D846C55" w14:textId="6979928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0C3CF56A" w14:textId="0F7740C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199F92CA" w14:textId="13CF0BC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9CF1A77" w14:textId="63FB6E6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300</w:t>
            </w:r>
          </w:p>
        </w:tc>
        <w:tc>
          <w:tcPr>
            <w:tcW w:w="1134" w:type="dxa"/>
            <w:tcBorders>
              <w:top w:val="nil"/>
              <w:left w:val="nil"/>
              <w:bottom w:val="single" w:sz="4" w:space="0" w:color="auto"/>
              <w:right w:val="single" w:sz="4" w:space="0" w:color="auto"/>
            </w:tcBorders>
            <w:shd w:val="clear" w:color="auto" w:fill="auto"/>
            <w:noWrap/>
            <w:vAlign w:val="bottom"/>
          </w:tcPr>
          <w:p w14:paraId="3936FADB" w14:textId="6C42844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D42832C" w14:textId="4EDA222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15A2A8F9"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06B4D61" w14:textId="2978AD72"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06E091B3" w14:textId="097A1251"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10B7FF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84</w:t>
            </w:r>
          </w:p>
        </w:tc>
        <w:tc>
          <w:tcPr>
            <w:tcW w:w="4204" w:type="dxa"/>
            <w:tcBorders>
              <w:top w:val="nil"/>
              <w:left w:val="nil"/>
              <w:bottom w:val="single" w:sz="4" w:space="0" w:color="auto"/>
              <w:right w:val="single" w:sz="4" w:space="0" w:color="auto"/>
            </w:tcBorders>
            <w:shd w:val="clear" w:color="auto" w:fill="auto"/>
            <w:noWrap/>
            <w:vAlign w:val="center"/>
            <w:hideMark/>
          </w:tcPr>
          <w:p w14:paraId="0138BB0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pellets</w:t>
            </w:r>
          </w:p>
        </w:tc>
        <w:tc>
          <w:tcPr>
            <w:tcW w:w="1055" w:type="dxa"/>
            <w:tcBorders>
              <w:top w:val="nil"/>
              <w:left w:val="nil"/>
              <w:bottom w:val="single" w:sz="4" w:space="0" w:color="auto"/>
              <w:right w:val="single" w:sz="4" w:space="0" w:color="auto"/>
            </w:tcBorders>
            <w:shd w:val="clear" w:color="auto" w:fill="auto"/>
            <w:noWrap/>
            <w:vAlign w:val="bottom"/>
          </w:tcPr>
          <w:p w14:paraId="786C2AB9" w14:textId="195AC55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68AFEEF8" w14:textId="355CA38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406F9DE6" w14:textId="2FEB6FE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1509596C" w14:textId="1E0073E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2B8480C" w14:textId="494A9B3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&gt;400</w:t>
            </w:r>
          </w:p>
        </w:tc>
        <w:tc>
          <w:tcPr>
            <w:tcW w:w="1134" w:type="dxa"/>
            <w:tcBorders>
              <w:top w:val="nil"/>
              <w:left w:val="nil"/>
              <w:bottom w:val="single" w:sz="4" w:space="0" w:color="auto"/>
              <w:right w:val="single" w:sz="4" w:space="0" w:color="auto"/>
            </w:tcBorders>
            <w:shd w:val="clear" w:color="auto" w:fill="auto"/>
            <w:noWrap/>
            <w:vAlign w:val="bottom"/>
          </w:tcPr>
          <w:p w14:paraId="12B0B699" w14:textId="6A2849D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2059D4F0" w14:textId="26A4A77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5625138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3CD508B" w14:textId="1C391D48"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3411B241" w14:textId="1FF8FCA7"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0422BB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85</w:t>
            </w:r>
          </w:p>
        </w:tc>
        <w:tc>
          <w:tcPr>
            <w:tcW w:w="4204" w:type="dxa"/>
            <w:tcBorders>
              <w:top w:val="nil"/>
              <w:left w:val="nil"/>
              <w:bottom w:val="single" w:sz="4" w:space="0" w:color="auto"/>
              <w:right w:val="single" w:sz="4" w:space="0" w:color="auto"/>
            </w:tcBorders>
            <w:shd w:val="clear" w:color="auto" w:fill="auto"/>
            <w:noWrap/>
            <w:vAlign w:val="center"/>
            <w:hideMark/>
          </w:tcPr>
          <w:p w14:paraId="3593BAF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pellets</w:t>
            </w:r>
          </w:p>
        </w:tc>
        <w:tc>
          <w:tcPr>
            <w:tcW w:w="1055" w:type="dxa"/>
            <w:tcBorders>
              <w:top w:val="nil"/>
              <w:left w:val="nil"/>
              <w:bottom w:val="single" w:sz="4" w:space="0" w:color="auto"/>
              <w:right w:val="single" w:sz="4" w:space="0" w:color="auto"/>
            </w:tcBorders>
            <w:shd w:val="clear" w:color="auto" w:fill="auto"/>
            <w:noWrap/>
            <w:vAlign w:val="bottom"/>
          </w:tcPr>
          <w:p w14:paraId="7F7935AD" w14:textId="0FC4C05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680D2FC5" w14:textId="147F28F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5CEE9792" w14:textId="5774707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16.0</w:t>
            </w:r>
            <w:r w:rsidRPr="005A7A0A">
              <w:rPr>
                <w:color w:val="auto"/>
                <w:vertAlign w:val="superscript"/>
              </w:rPr>
              <w:t xml:space="preserve"> h</w:t>
            </w:r>
          </w:p>
        </w:tc>
        <w:tc>
          <w:tcPr>
            <w:tcW w:w="931" w:type="dxa"/>
            <w:tcBorders>
              <w:top w:val="nil"/>
              <w:left w:val="nil"/>
              <w:bottom w:val="single" w:sz="4" w:space="0" w:color="auto"/>
              <w:right w:val="single" w:sz="4" w:space="0" w:color="auto"/>
            </w:tcBorders>
            <w:shd w:val="clear" w:color="auto" w:fill="auto"/>
            <w:noWrap/>
            <w:vAlign w:val="bottom"/>
          </w:tcPr>
          <w:p w14:paraId="4839914F" w14:textId="13EAE0A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388524C" w14:textId="20C70AA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FCA1C33" w14:textId="535A379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7A8D4A1" w14:textId="300BC78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0.36</w:t>
            </w:r>
            <w:r w:rsidRPr="005A7A0A">
              <w:rPr>
                <w:color w:val="auto"/>
                <w:vertAlign w:val="superscript"/>
              </w:rPr>
              <w:t xml:space="preserve"> h</w:t>
            </w:r>
          </w:p>
        </w:tc>
        <w:tc>
          <w:tcPr>
            <w:tcW w:w="709" w:type="dxa"/>
            <w:tcBorders>
              <w:top w:val="single" w:sz="4" w:space="0" w:color="auto"/>
              <w:left w:val="nil"/>
              <w:bottom w:val="single" w:sz="4" w:space="0" w:color="auto"/>
              <w:right w:val="single" w:sz="4" w:space="0" w:color="auto"/>
            </w:tcBorders>
            <w:vAlign w:val="bottom"/>
          </w:tcPr>
          <w:p w14:paraId="3A1CB63F"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8BB698F" w14:textId="676C2036"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{"citationItems":[{"id":"ITEM-1","itemData":{"DOI":"10.1016/j.jenvman.2018.11.122","ISSN":"10958630","abstract":"Partial or complete substitution of coal with renewable biomass like wood is a sustainable and effective solution to reduce the CO 2 emissions in the atmosphere. Utilization of these woods in the form of compact pellets facilitates in its handling and transportation with higher energy density. However, for electric power generation the pellets are broken up into their constituent milled finer particles for burning as a pulverised biomass flame. There is a dust fire/explosibility hazards in the process handling facilities such as in storage, conveying and milling. In the present work, four commercial pellets were investigated, and each pellet sample was split into three size ranges &lt;63 μm, 63–500 μm and &lt;500 μm. The flame propagation characteristics and their lean flammability limit for each pulverised pellet was determined using modified Hartmann dust explosion tube. It was found that the fine particles, with lower lean flammability limits of 0.3–0.7 equivalence ratio, intensify the explosibility risk (dP/dt of 10–15 bar/s for most reactive concentration) of the dust due to fast volatile release rate. Comparison was also made between particle size distribution (PSD) of the finer fractions (&lt;63 μm) of wood samples in comparison to crop residue samples that showed 70–80% larger size distribution for wood samples due to elongated particles as showed by Scanning Electron Microscope (SEM). Results showed that the ash + moisture content had a stronger effect on wood samples than on agricultural residue's samples. The results showed that the explosibility characteristics of the pellets industry's feed-stocks was variable and dependent on the pellet composition and this needs to be taken into account in explosion protection and in utilising the pellets in the main pulverised biomass combustion.","author":[{"dropping-particle":"","family":"Saeed","given":"Muhammad Azam","non-dropping-particle":"","parse-names":false,"suffix":""},{"dropping-particle":"","family":"Farooq","given":"M.","non-dropping-particle":"","parse-names":false,"suffix":""},{"dropping-particle":"","family":"Andrews","given":"Gordon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Environmental Management","id":"ITEM-1","issue":"December 2018","issued":{"date-parts":[["2019"]]},"page":"789-795","publisher":"Elsevier","title":"Ignition sensitivity of different compositional wood pellets and particle size dependence","type":"article-journal","volume":"232"},"uris":["http://www.mendeley.com/documents/?uuid=a51377ea-32a8-425c-9e76-6450cb191bac"]}],"mendeley":{"formattedCitation":"[6]","plainTextFormattedCitation":"[6]","previouslyFormattedCitation":"[6]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[6]</w:t>
            </w:r>
            <w:r w:rsidRPr="005A7A0A">
              <w:rPr>
                <w:color w:val="auto"/>
                <w:sz w:val="18"/>
                <w:szCs w:val="18"/>
                <w:lang w:eastAsia="en-GB" w:bidi="ar-SA"/>
              </w:rPr>
              <w:fldChar w:fldCharType="end"/>
            </w:r>
          </w:p>
        </w:tc>
      </w:tr>
      <w:tr w:rsidR="005A7A0A" w:rsidRPr="005A7A0A" w14:paraId="28F12EBE" w14:textId="06BDF3A3"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5F036D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86</w:t>
            </w:r>
          </w:p>
        </w:tc>
        <w:tc>
          <w:tcPr>
            <w:tcW w:w="4204" w:type="dxa"/>
            <w:tcBorders>
              <w:top w:val="nil"/>
              <w:left w:val="nil"/>
              <w:bottom w:val="single" w:sz="4" w:space="0" w:color="auto"/>
              <w:right w:val="single" w:sz="4" w:space="0" w:color="auto"/>
            </w:tcBorders>
            <w:shd w:val="clear" w:color="auto" w:fill="auto"/>
            <w:noWrap/>
            <w:vAlign w:val="center"/>
            <w:hideMark/>
          </w:tcPr>
          <w:p w14:paraId="0B73A32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pellets</w:t>
            </w:r>
          </w:p>
        </w:tc>
        <w:tc>
          <w:tcPr>
            <w:tcW w:w="1055" w:type="dxa"/>
            <w:tcBorders>
              <w:top w:val="nil"/>
              <w:left w:val="nil"/>
              <w:bottom w:val="single" w:sz="4" w:space="0" w:color="auto"/>
              <w:right w:val="single" w:sz="4" w:space="0" w:color="auto"/>
            </w:tcBorders>
            <w:shd w:val="clear" w:color="auto" w:fill="auto"/>
            <w:noWrap/>
            <w:vAlign w:val="bottom"/>
          </w:tcPr>
          <w:p w14:paraId="6E47D87A" w14:textId="2A962CF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5548A612" w14:textId="20F22AF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5F17F427" w14:textId="09A76B2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17.0</w:t>
            </w:r>
            <w:r w:rsidRPr="005A7A0A">
              <w:rPr>
                <w:color w:val="auto"/>
                <w:vertAlign w:val="superscript"/>
              </w:rPr>
              <w:t xml:space="preserve"> h</w:t>
            </w:r>
          </w:p>
        </w:tc>
        <w:tc>
          <w:tcPr>
            <w:tcW w:w="931" w:type="dxa"/>
            <w:tcBorders>
              <w:top w:val="nil"/>
              <w:left w:val="nil"/>
              <w:bottom w:val="single" w:sz="4" w:space="0" w:color="auto"/>
              <w:right w:val="single" w:sz="4" w:space="0" w:color="auto"/>
            </w:tcBorders>
            <w:shd w:val="clear" w:color="auto" w:fill="auto"/>
            <w:noWrap/>
            <w:vAlign w:val="bottom"/>
          </w:tcPr>
          <w:p w14:paraId="34FE606C" w14:textId="7729A70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DC5EA6D" w14:textId="7DEE553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CBF0D3F" w14:textId="4F642D2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86C05D3" w14:textId="1FEA047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0.46</w:t>
            </w:r>
            <w:r w:rsidRPr="005A7A0A">
              <w:rPr>
                <w:color w:val="auto"/>
                <w:vertAlign w:val="superscript"/>
              </w:rPr>
              <w:t xml:space="preserve"> h</w:t>
            </w:r>
          </w:p>
        </w:tc>
        <w:tc>
          <w:tcPr>
            <w:tcW w:w="709" w:type="dxa"/>
            <w:tcBorders>
              <w:top w:val="single" w:sz="4" w:space="0" w:color="auto"/>
              <w:left w:val="nil"/>
              <w:bottom w:val="single" w:sz="4" w:space="0" w:color="auto"/>
              <w:right w:val="single" w:sz="4" w:space="0" w:color="auto"/>
            </w:tcBorders>
            <w:vAlign w:val="bottom"/>
          </w:tcPr>
          <w:p w14:paraId="5DFE3B0D"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0C6A5D9" w14:textId="7A8867AC"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{"citationItems":[{"id":"ITEM-1","itemData":{"DOI":"10.1016/j.jenvman.2018.11.122","ISSN":"10958630","abstract":"Partial or complete substitution of coal with renewable biomass like wood is a sustainable and effective solution to reduce the CO 2 emissions in the atmosphere. Utilization of these woods in the form of compact pellets facilitates in its handling and transportation with higher energy density. However, for electric power generation the pellets are broken up into their constituent milled finer particles for burning as a pulverised biomass flame. There is a dust fire/explosibility hazards in the process handling facilities such as in storage, conveying and milling. In the present work, four commercial pellets were investigated, and each pellet sample was split into three size ranges &lt;63 μm, 63–500 μm and &lt;500 μm. The flame propagation characteristics and their lean flammability limit for each pulverised pellet was determined using modified Hartmann dust explosion tube. It was found that the fine particles, with lower lean flammability limits of 0.3–0.7 equivalence ratio, intensify the explosibility risk (dP/dt of 10–15 bar/s for most reactive concentration) of the dust due to fast volatile release rate. Comparison was also made between particle size distribution (PSD) of the finer fractions (&lt;63 μm) of wood samples in comparison to crop residue samples that showed 70–80% larger size distribution for wood samples due to elongated particles as showed by Scanning Electron Microscope (SEM). Results showed that the ash + moisture content had a stronger effect on wood samples than on agricultural residue's samples. The results showed that the explosibility characteristics of the pellets industry's feed-stocks was variable and dependent on the pellet composition and this needs to be taken into account in explosion protection and in utilising the pellets in the main pulverised biomass combustion.","author":[{"dropping-particle":"","family":"Saeed","given":"Muhammad Azam","non-dropping-particle":"","parse-names":false,"suffix":""},{"dropping-particle":"","family":"Farooq","given":"M.","non-dropping-particle":"","parse-names":false,"suffix":""},{"dropping-particle":"","family":"Andrews","given":"Gordon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Environmental Management","id":"ITEM-1","issue":"December 2018","issued":{"date-parts":[["2019"]]},"page":"789-795","publisher":"Elsevier","title":"Ignition sensitivity of different compositional wood pellets and particle size dependence","type":"article-journal","volume":"232"},"uris":["http://www.mendeley.com/documents/?uuid=a51377ea-32a8-425c-9e76-6450cb191bac"]}],"mendeley":{"formattedCitation":"[6]","plainTextFormattedCitation":"[6]","previouslyFormattedCitation":"[6]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[6]</w:t>
            </w:r>
            <w:r w:rsidRPr="005A7A0A">
              <w:rPr>
                <w:color w:val="auto"/>
                <w:sz w:val="18"/>
                <w:szCs w:val="18"/>
                <w:lang w:eastAsia="en-GB" w:bidi="ar-SA"/>
              </w:rPr>
              <w:fldChar w:fldCharType="end"/>
            </w:r>
          </w:p>
        </w:tc>
      </w:tr>
      <w:tr w:rsidR="005A7A0A" w:rsidRPr="005A7A0A" w14:paraId="125EB112" w14:textId="4E61E94F"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479AF3C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87</w:t>
            </w:r>
          </w:p>
        </w:tc>
        <w:tc>
          <w:tcPr>
            <w:tcW w:w="4204" w:type="dxa"/>
            <w:tcBorders>
              <w:top w:val="nil"/>
              <w:left w:val="nil"/>
              <w:bottom w:val="single" w:sz="4" w:space="0" w:color="auto"/>
              <w:right w:val="single" w:sz="4" w:space="0" w:color="auto"/>
            </w:tcBorders>
            <w:shd w:val="clear" w:color="auto" w:fill="auto"/>
            <w:noWrap/>
            <w:vAlign w:val="center"/>
            <w:hideMark/>
          </w:tcPr>
          <w:p w14:paraId="1E881C4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pellets</w:t>
            </w:r>
          </w:p>
        </w:tc>
        <w:tc>
          <w:tcPr>
            <w:tcW w:w="1055" w:type="dxa"/>
            <w:tcBorders>
              <w:top w:val="nil"/>
              <w:left w:val="nil"/>
              <w:bottom w:val="single" w:sz="4" w:space="0" w:color="auto"/>
              <w:right w:val="single" w:sz="4" w:space="0" w:color="auto"/>
            </w:tcBorders>
            <w:shd w:val="clear" w:color="auto" w:fill="auto"/>
            <w:noWrap/>
            <w:vAlign w:val="bottom"/>
          </w:tcPr>
          <w:p w14:paraId="66B2701D" w14:textId="15D36AA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668406F0" w14:textId="03ED872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720B0F6F" w14:textId="76C5AAC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14.0</w:t>
            </w:r>
            <w:r w:rsidRPr="005A7A0A">
              <w:rPr>
                <w:color w:val="auto"/>
                <w:vertAlign w:val="superscript"/>
              </w:rPr>
              <w:t xml:space="preserve"> h</w:t>
            </w:r>
          </w:p>
        </w:tc>
        <w:tc>
          <w:tcPr>
            <w:tcW w:w="931" w:type="dxa"/>
            <w:tcBorders>
              <w:top w:val="nil"/>
              <w:left w:val="nil"/>
              <w:bottom w:val="single" w:sz="4" w:space="0" w:color="auto"/>
              <w:right w:val="single" w:sz="4" w:space="0" w:color="auto"/>
            </w:tcBorders>
            <w:shd w:val="clear" w:color="auto" w:fill="auto"/>
            <w:noWrap/>
            <w:vAlign w:val="bottom"/>
          </w:tcPr>
          <w:p w14:paraId="2D5C04E5" w14:textId="22F480E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E348A80" w14:textId="534C6EA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00B22B04" w14:textId="7D49CBA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E28FC1D" w14:textId="6FB9A50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0.67</w:t>
            </w:r>
            <w:r w:rsidRPr="005A7A0A">
              <w:rPr>
                <w:color w:val="auto"/>
                <w:vertAlign w:val="superscript"/>
              </w:rPr>
              <w:t xml:space="preserve"> h</w:t>
            </w:r>
          </w:p>
        </w:tc>
        <w:tc>
          <w:tcPr>
            <w:tcW w:w="709" w:type="dxa"/>
            <w:tcBorders>
              <w:top w:val="single" w:sz="4" w:space="0" w:color="auto"/>
              <w:left w:val="nil"/>
              <w:bottom w:val="single" w:sz="4" w:space="0" w:color="auto"/>
              <w:right w:val="single" w:sz="4" w:space="0" w:color="auto"/>
            </w:tcBorders>
            <w:vAlign w:val="bottom"/>
          </w:tcPr>
          <w:p w14:paraId="27CA3465"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6D20913" w14:textId="7D2C4E71"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{"citationItems":[{"id":"ITEM-1","itemData":{"DOI":"10.1016/j.jenvman.2018.11.122","ISSN":"10958630","abstract":"Partial or complete substitution of coal with renewable biomass like wood is a sustainable and effective solution to reduce the CO 2 emissions in the atmosphere. Utilization of these woods in the form of compact pellets facilitates in its handling and transportation with higher energy density. However, for electric power generation the pellets are broken up into their constituent milled finer particles for burning as a pulverised biomass flame. There is a dust fire/explosibility hazards in the process handling facilities such as in storage, conveying and milling. In the present work, four commercial pellets were investigated, and each pellet sample was split into three size ranges &lt;63 μm, 63–500 μm and &lt;500 μm. The flame propagation characteristics and their lean flammability limit for each pulverised pellet was determined using modified Hartmann dust explosion tube. It was found that the fine particles, with lower lean flammability limits of 0.3–0.7 equivalence ratio, intensify the explosibility risk (dP/dt of 10–15 bar/s for most reactive concentration) of the dust due to fast volatile release rate. Comparison was also made between particle size distribution (PSD) of the finer fractions (&lt;63 μm) of wood samples in comparison to crop residue samples that showed 70–80% larger size distribution for wood samples due to elongated particles as showed by Scanning Electron Microscope (SEM). Results showed that the ash + moisture content had a stronger effect on wood samples than on agricultural residue's samples. The results showed that the explosibility characteristics of the pellets industry's feed-stocks was variable and dependent on the pellet composition and this needs to be taken into account in explosion protection and in utilising the pellets in the main pulverised biomass combustion.","author":[{"dropping-particle":"","family":"Saeed","given":"Muhammad Azam","non-dropping-particle":"","parse-names":false,"suffix":""},{"dropping-particle":"","family":"Farooq","given":"M.","non-dropping-particle":"","parse-names":false,"suffix":""},{"dropping-particle":"","family":"Andrews","given":"Gordon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Environmental Management","id":"ITEM-1","issue":"December 2018","issued":{"date-parts":[["2019"]]},"page":"789-795","publisher":"Elsevier","title":"Ignition sensitivity of different compositional wood pellets and particle size dependence","type":"article-journal","volume":"232"},"uris":["http://www.mendeley.com/documents/?uuid=a51377ea-32a8-425c-9e76-6450cb191bac"]}],"mendeley":{"formattedCitation":"[6]","plainTextFormattedCitation":"[6]","previouslyFormattedCitation":"[6]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[6]</w:t>
            </w:r>
            <w:r w:rsidRPr="005A7A0A">
              <w:rPr>
                <w:color w:val="auto"/>
                <w:sz w:val="18"/>
                <w:szCs w:val="18"/>
                <w:lang w:eastAsia="en-GB" w:bidi="ar-SA"/>
              </w:rPr>
              <w:fldChar w:fldCharType="end"/>
            </w:r>
          </w:p>
        </w:tc>
      </w:tr>
      <w:tr w:rsidR="005A7A0A" w:rsidRPr="005A7A0A" w14:paraId="388870BD" w14:textId="4991301F"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5BBB7C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88</w:t>
            </w:r>
          </w:p>
        </w:tc>
        <w:tc>
          <w:tcPr>
            <w:tcW w:w="4204" w:type="dxa"/>
            <w:tcBorders>
              <w:top w:val="nil"/>
              <w:left w:val="nil"/>
              <w:bottom w:val="single" w:sz="4" w:space="0" w:color="auto"/>
              <w:right w:val="single" w:sz="4" w:space="0" w:color="auto"/>
            </w:tcBorders>
            <w:shd w:val="clear" w:color="auto" w:fill="auto"/>
            <w:noWrap/>
            <w:vAlign w:val="center"/>
            <w:hideMark/>
          </w:tcPr>
          <w:p w14:paraId="1D8769D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 pellets</w:t>
            </w:r>
          </w:p>
        </w:tc>
        <w:tc>
          <w:tcPr>
            <w:tcW w:w="1055" w:type="dxa"/>
            <w:tcBorders>
              <w:top w:val="nil"/>
              <w:left w:val="nil"/>
              <w:bottom w:val="single" w:sz="4" w:space="0" w:color="auto"/>
              <w:right w:val="single" w:sz="4" w:space="0" w:color="auto"/>
            </w:tcBorders>
            <w:shd w:val="clear" w:color="auto" w:fill="auto"/>
            <w:noWrap/>
            <w:vAlign w:val="bottom"/>
          </w:tcPr>
          <w:p w14:paraId="6EF48804" w14:textId="639C907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3612E7A8" w14:textId="60806A3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0E4DE895" w14:textId="183478D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23.0</w:t>
            </w:r>
            <w:r w:rsidRPr="005A7A0A">
              <w:rPr>
                <w:color w:val="auto"/>
                <w:vertAlign w:val="superscript"/>
              </w:rPr>
              <w:t xml:space="preserve"> h</w:t>
            </w:r>
          </w:p>
        </w:tc>
        <w:tc>
          <w:tcPr>
            <w:tcW w:w="931" w:type="dxa"/>
            <w:tcBorders>
              <w:top w:val="nil"/>
              <w:left w:val="nil"/>
              <w:bottom w:val="single" w:sz="4" w:space="0" w:color="auto"/>
              <w:right w:val="single" w:sz="4" w:space="0" w:color="auto"/>
            </w:tcBorders>
            <w:shd w:val="clear" w:color="auto" w:fill="auto"/>
            <w:noWrap/>
            <w:vAlign w:val="bottom"/>
          </w:tcPr>
          <w:p w14:paraId="5DE059B8" w14:textId="79A9430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02DECD87" w14:textId="0FD59F6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387F53D0" w14:textId="06E9EAC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7BF2D02" w14:textId="3FFD54B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0.38</w:t>
            </w:r>
            <w:r w:rsidRPr="005A7A0A">
              <w:rPr>
                <w:color w:val="auto"/>
                <w:vertAlign w:val="superscript"/>
              </w:rPr>
              <w:t xml:space="preserve"> h</w:t>
            </w:r>
          </w:p>
        </w:tc>
        <w:tc>
          <w:tcPr>
            <w:tcW w:w="709" w:type="dxa"/>
            <w:tcBorders>
              <w:top w:val="single" w:sz="4" w:space="0" w:color="auto"/>
              <w:left w:val="nil"/>
              <w:bottom w:val="single" w:sz="4" w:space="0" w:color="auto"/>
              <w:right w:val="single" w:sz="4" w:space="0" w:color="auto"/>
            </w:tcBorders>
            <w:vAlign w:val="bottom"/>
          </w:tcPr>
          <w:p w14:paraId="6D679840"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5B07081" w14:textId="1348DD8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{"citationItems":[{"id":"ITEM-1","itemData":{"DOI":"10.1016/j.jenvman.2018.11.122","ISSN":"10958630","abstract":"Partial or complete substitution of coal with renewable biomass like wood is a sustainable and effective solution to reduce the CO 2 emissions in the atmosphere. Utilization of these woods in the form of compact pellets facilitates in its handling and transportation with higher energy density. However, for electric power generation the pellets are broken up into their constituent milled finer particles for burning as a pulverised biomass flame. There is a dust fire/explosibility hazards in the process handling facilities such as in storage, conveying and milling. In the present work, four commercial pellets were investigated, and each pellet sample was split into three size ranges &lt;63 μm, 63–500 μm and &lt;500 μm. The flame propagation characteristics and their lean flammability limit for each pulverised pellet was determined using modified Hartmann dust explosion tube. It was found that the fine particles, with lower lean flammability limits of 0.3–0.7 equivalence ratio, intensify the explosibility risk (dP/dt of 10–15 bar/s for most reactive concentration) of the dust due to fast volatile release rate. Comparison was also made between particle size distribution (PSD) of the finer fractions (&lt;63 μm) of wood samples in comparison to crop residue samples that showed 70–80% larger size distribution for wood samples due to elongated particles as showed by Scanning Electron Microscope (SEM). Results showed that the ash + moisture content had a stronger effect on wood samples than on agricultural residue's samples. The results showed that the explosibility characteristics of the pellets industry's feed-stocks was variable and dependent on the pellet composition and this needs to be taken into account in explosion protection and in utilising the pellets in the main pulverised biomass combustion.","author":[{"dropping-particle":"","family":"Saeed","given":"Muhammad Azam","non-dropping-particle":"","parse-names":false,"suffix":""},{"dropping-particle":"","family":"Farooq","given":"M.","non-dropping-particle":"","parse-names":false,"suffix":""},{"dropping-particle":"","family":"Andrews","given":"Gordon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Environmental Management","id":"ITEM-1","issue":"December 2018","issued":{"date-parts":[["2019"]]},"page":"789-795","publisher":"Elsevier","title":"Ignition sensitivity of different compositional wood pellets and particle size dependence","type":"article-journal","volume":"232"},"uris":["http://www.mendeley.com/documents/?uuid=a51377ea-32a8-425c-9e76-6450cb191bac"]}],"mendeley":{"formattedCitation":"[6]","plainTextFormattedCitation":"[6]","previouslyFormattedCitation":"[6]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[6]</w:t>
            </w:r>
            <w:r w:rsidRPr="005A7A0A">
              <w:rPr>
                <w:color w:val="auto"/>
                <w:sz w:val="18"/>
                <w:szCs w:val="18"/>
                <w:lang w:eastAsia="en-GB" w:bidi="ar-SA"/>
              </w:rPr>
              <w:fldChar w:fldCharType="end"/>
            </w:r>
          </w:p>
        </w:tc>
      </w:tr>
      <w:tr w:rsidR="005A7A0A" w:rsidRPr="005A7A0A" w14:paraId="2C9901CB" w14:textId="4D752174"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559DCC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89</w:t>
            </w:r>
          </w:p>
        </w:tc>
        <w:tc>
          <w:tcPr>
            <w:tcW w:w="4204" w:type="dxa"/>
            <w:tcBorders>
              <w:top w:val="nil"/>
              <w:left w:val="nil"/>
              <w:bottom w:val="single" w:sz="4" w:space="0" w:color="auto"/>
              <w:right w:val="single" w:sz="4" w:space="0" w:color="auto"/>
            </w:tcBorders>
            <w:shd w:val="clear" w:color="auto" w:fill="auto"/>
            <w:noWrap/>
            <w:vAlign w:val="center"/>
            <w:hideMark/>
          </w:tcPr>
          <w:p w14:paraId="43786BA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Woodchips</w:t>
            </w:r>
          </w:p>
        </w:tc>
        <w:tc>
          <w:tcPr>
            <w:tcW w:w="1055" w:type="dxa"/>
            <w:tcBorders>
              <w:top w:val="nil"/>
              <w:left w:val="nil"/>
              <w:bottom w:val="single" w:sz="4" w:space="0" w:color="auto"/>
              <w:right w:val="single" w:sz="4" w:space="0" w:color="auto"/>
            </w:tcBorders>
            <w:shd w:val="clear" w:color="auto" w:fill="auto"/>
            <w:noWrap/>
            <w:vAlign w:val="bottom"/>
          </w:tcPr>
          <w:p w14:paraId="7DC6D4EF" w14:textId="412BFFE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7.4</w:t>
            </w:r>
          </w:p>
        </w:tc>
        <w:tc>
          <w:tcPr>
            <w:tcW w:w="1006" w:type="dxa"/>
            <w:tcBorders>
              <w:top w:val="nil"/>
              <w:left w:val="nil"/>
              <w:bottom w:val="single" w:sz="4" w:space="0" w:color="auto"/>
              <w:right w:val="single" w:sz="4" w:space="0" w:color="auto"/>
            </w:tcBorders>
            <w:shd w:val="clear" w:color="auto" w:fill="auto"/>
            <w:noWrap/>
            <w:vAlign w:val="bottom"/>
          </w:tcPr>
          <w:p w14:paraId="4FE3CAE9" w14:textId="5DCC3AD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150.0</w:t>
            </w:r>
          </w:p>
        </w:tc>
        <w:tc>
          <w:tcPr>
            <w:tcW w:w="1335" w:type="dxa"/>
            <w:tcBorders>
              <w:top w:val="nil"/>
              <w:left w:val="nil"/>
              <w:bottom w:val="single" w:sz="4" w:space="0" w:color="auto"/>
              <w:right w:val="single" w:sz="4" w:space="0" w:color="auto"/>
            </w:tcBorders>
            <w:shd w:val="clear" w:color="auto" w:fill="auto"/>
            <w:noWrap/>
            <w:vAlign w:val="bottom"/>
          </w:tcPr>
          <w:p w14:paraId="70EC30AC" w14:textId="70ABCCF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553.0</w:t>
            </w:r>
          </w:p>
        </w:tc>
        <w:tc>
          <w:tcPr>
            <w:tcW w:w="931" w:type="dxa"/>
            <w:tcBorders>
              <w:top w:val="nil"/>
              <w:left w:val="nil"/>
              <w:bottom w:val="single" w:sz="4" w:space="0" w:color="auto"/>
              <w:right w:val="single" w:sz="4" w:space="0" w:color="auto"/>
            </w:tcBorders>
            <w:shd w:val="clear" w:color="auto" w:fill="auto"/>
            <w:noWrap/>
            <w:vAlign w:val="bottom"/>
          </w:tcPr>
          <w:p w14:paraId="30142322" w14:textId="7C078DD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160</w:t>
            </w:r>
          </w:p>
        </w:tc>
        <w:tc>
          <w:tcPr>
            <w:tcW w:w="992" w:type="dxa"/>
            <w:tcBorders>
              <w:top w:val="nil"/>
              <w:left w:val="nil"/>
              <w:bottom w:val="single" w:sz="4" w:space="0" w:color="auto"/>
              <w:right w:val="single" w:sz="4" w:space="0" w:color="auto"/>
            </w:tcBorders>
            <w:shd w:val="clear" w:color="auto" w:fill="auto"/>
            <w:noWrap/>
            <w:vAlign w:val="bottom"/>
          </w:tcPr>
          <w:p w14:paraId="0F949184" w14:textId="6A0D8F8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350</w:t>
            </w:r>
          </w:p>
        </w:tc>
        <w:tc>
          <w:tcPr>
            <w:tcW w:w="1134" w:type="dxa"/>
            <w:tcBorders>
              <w:top w:val="nil"/>
              <w:left w:val="nil"/>
              <w:bottom w:val="single" w:sz="4" w:space="0" w:color="auto"/>
              <w:right w:val="single" w:sz="4" w:space="0" w:color="auto"/>
            </w:tcBorders>
            <w:shd w:val="clear" w:color="auto" w:fill="auto"/>
            <w:noWrap/>
            <w:vAlign w:val="bottom"/>
          </w:tcPr>
          <w:p w14:paraId="519F3757" w14:textId="50FFA45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460</w:t>
            </w:r>
          </w:p>
        </w:tc>
        <w:tc>
          <w:tcPr>
            <w:tcW w:w="851" w:type="dxa"/>
            <w:tcBorders>
              <w:top w:val="nil"/>
              <w:left w:val="nil"/>
              <w:bottom w:val="single" w:sz="4" w:space="0" w:color="auto"/>
              <w:right w:val="single" w:sz="4" w:space="0" w:color="auto"/>
            </w:tcBorders>
            <w:shd w:val="clear" w:color="auto" w:fill="auto"/>
            <w:noWrap/>
            <w:vAlign w:val="bottom"/>
          </w:tcPr>
          <w:p w14:paraId="641ADBE5" w14:textId="7A513B8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709" w:type="dxa"/>
            <w:tcBorders>
              <w:top w:val="single" w:sz="4" w:space="0" w:color="auto"/>
              <w:left w:val="nil"/>
              <w:bottom w:val="single" w:sz="4" w:space="0" w:color="auto"/>
              <w:right w:val="single" w:sz="4" w:space="0" w:color="auto"/>
            </w:tcBorders>
            <w:vAlign w:val="bottom"/>
          </w:tcPr>
          <w:p w14:paraId="122F5639"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05B6A9C" w14:textId="3A48B40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[142]</w:t>
            </w:r>
            <w:r w:rsidRPr="005A7A0A">
              <w:rPr>
                <w:color w:val="auto"/>
                <w:sz w:val="18"/>
                <w:szCs w:val="18"/>
                <w:lang w:eastAsia="en-GB" w:bidi="ar-SA"/>
              </w:rPr>
              <w:fldChar w:fldCharType="end"/>
            </w:r>
          </w:p>
        </w:tc>
      </w:tr>
      <w:tr w:rsidR="005A7A0A" w:rsidRPr="005A7A0A" w14:paraId="3AA17A03" w14:textId="5A1034B1"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4E68A8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90</w:t>
            </w:r>
          </w:p>
        </w:tc>
        <w:tc>
          <w:tcPr>
            <w:tcW w:w="4204" w:type="dxa"/>
            <w:tcBorders>
              <w:top w:val="nil"/>
              <w:left w:val="nil"/>
              <w:bottom w:val="single" w:sz="4" w:space="0" w:color="auto"/>
              <w:right w:val="single" w:sz="4" w:space="0" w:color="auto"/>
            </w:tcBorders>
            <w:shd w:val="clear" w:color="auto" w:fill="auto"/>
            <w:noWrap/>
            <w:vAlign w:val="center"/>
            <w:hideMark/>
          </w:tcPr>
          <w:p w14:paraId="1B5D6FA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w:t>
            </w:r>
          </w:p>
        </w:tc>
        <w:tc>
          <w:tcPr>
            <w:tcW w:w="1055" w:type="dxa"/>
            <w:tcBorders>
              <w:top w:val="nil"/>
              <w:left w:val="nil"/>
              <w:bottom w:val="single" w:sz="4" w:space="0" w:color="auto"/>
              <w:right w:val="single" w:sz="4" w:space="0" w:color="auto"/>
            </w:tcBorders>
            <w:shd w:val="clear" w:color="auto" w:fill="auto"/>
            <w:noWrap/>
            <w:vAlign w:val="bottom"/>
          </w:tcPr>
          <w:p w14:paraId="6A922BBE" w14:textId="6D0FFB5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w:t>
            </w:r>
          </w:p>
        </w:tc>
        <w:tc>
          <w:tcPr>
            <w:tcW w:w="1006" w:type="dxa"/>
            <w:tcBorders>
              <w:top w:val="nil"/>
              <w:left w:val="nil"/>
              <w:bottom w:val="single" w:sz="4" w:space="0" w:color="auto"/>
              <w:right w:val="single" w:sz="4" w:space="0" w:color="auto"/>
            </w:tcBorders>
            <w:shd w:val="clear" w:color="auto" w:fill="auto"/>
            <w:noWrap/>
            <w:vAlign w:val="bottom"/>
          </w:tcPr>
          <w:p w14:paraId="04A50772" w14:textId="63D4BF7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25.4</w:t>
            </w:r>
          </w:p>
        </w:tc>
        <w:tc>
          <w:tcPr>
            <w:tcW w:w="1335" w:type="dxa"/>
            <w:tcBorders>
              <w:top w:val="nil"/>
              <w:left w:val="nil"/>
              <w:bottom w:val="single" w:sz="4" w:space="0" w:color="auto"/>
              <w:right w:val="single" w:sz="4" w:space="0" w:color="auto"/>
            </w:tcBorders>
            <w:shd w:val="clear" w:color="auto" w:fill="auto"/>
            <w:noWrap/>
            <w:vAlign w:val="bottom"/>
          </w:tcPr>
          <w:p w14:paraId="4A1B57B6" w14:textId="7F4351B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93.6</w:t>
            </w:r>
          </w:p>
        </w:tc>
        <w:tc>
          <w:tcPr>
            <w:tcW w:w="931" w:type="dxa"/>
            <w:tcBorders>
              <w:top w:val="nil"/>
              <w:left w:val="nil"/>
              <w:bottom w:val="single" w:sz="4" w:space="0" w:color="auto"/>
              <w:right w:val="single" w:sz="4" w:space="0" w:color="auto"/>
            </w:tcBorders>
            <w:shd w:val="clear" w:color="auto" w:fill="auto"/>
            <w:noWrap/>
            <w:vAlign w:val="bottom"/>
          </w:tcPr>
          <w:p w14:paraId="1600BCE8" w14:textId="2A1286E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55BD750" w14:textId="0EB77FD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F5FF966" w14:textId="1B3E492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FEF6FA8" w14:textId="3F8A264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7F73A88A"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6F19818" w14:textId="3D0B8ED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[45]</w:t>
            </w:r>
            <w:r w:rsidRPr="005A7A0A">
              <w:rPr>
                <w:color w:val="auto"/>
                <w:sz w:val="18"/>
                <w:szCs w:val="18"/>
                <w:lang w:eastAsia="en-GB" w:bidi="ar-SA"/>
              </w:rPr>
              <w:fldChar w:fldCharType="end"/>
            </w:r>
          </w:p>
        </w:tc>
      </w:tr>
      <w:tr w:rsidR="005A7A0A" w:rsidRPr="005A7A0A" w14:paraId="1AF92D1C" w14:textId="4C82EAC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5FD28C3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91</w:t>
            </w:r>
          </w:p>
        </w:tc>
        <w:tc>
          <w:tcPr>
            <w:tcW w:w="4204" w:type="dxa"/>
            <w:tcBorders>
              <w:top w:val="nil"/>
              <w:left w:val="nil"/>
              <w:bottom w:val="single" w:sz="4" w:space="0" w:color="auto"/>
              <w:right w:val="single" w:sz="4" w:space="0" w:color="auto"/>
            </w:tcBorders>
            <w:shd w:val="clear" w:color="auto" w:fill="auto"/>
            <w:noWrap/>
            <w:vAlign w:val="center"/>
            <w:hideMark/>
          </w:tcPr>
          <w:p w14:paraId="2B59427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w:t>
            </w:r>
          </w:p>
        </w:tc>
        <w:tc>
          <w:tcPr>
            <w:tcW w:w="1055" w:type="dxa"/>
            <w:tcBorders>
              <w:top w:val="nil"/>
              <w:left w:val="nil"/>
              <w:bottom w:val="single" w:sz="4" w:space="0" w:color="auto"/>
              <w:right w:val="single" w:sz="4" w:space="0" w:color="auto"/>
            </w:tcBorders>
            <w:shd w:val="clear" w:color="auto" w:fill="auto"/>
            <w:noWrap/>
            <w:vAlign w:val="bottom"/>
          </w:tcPr>
          <w:p w14:paraId="1A57A314" w14:textId="06E9F45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4.7</w:t>
            </w:r>
          </w:p>
        </w:tc>
        <w:tc>
          <w:tcPr>
            <w:tcW w:w="1006" w:type="dxa"/>
            <w:tcBorders>
              <w:top w:val="nil"/>
              <w:left w:val="nil"/>
              <w:bottom w:val="single" w:sz="4" w:space="0" w:color="auto"/>
              <w:right w:val="single" w:sz="4" w:space="0" w:color="auto"/>
            </w:tcBorders>
            <w:shd w:val="clear" w:color="auto" w:fill="auto"/>
            <w:noWrap/>
            <w:vAlign w:val="bottom"/>
          </w:tcPr>
          <w:p w14:paraId="2F17F38F" w14:textId="71DA3E8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31.8</w:t>
            </w:r>
          </w:p>
        </w:tc>
        <w:tc>
          <w:tcPr>
            <w:tcW w:w="1335" w:type="dxa"/>
            <w:tcBorders>
              <w:top w:val="nil"/>
              <w:left w:val="nil"/>
              <w:bottom w:val="single" w:sz="4" w:space="0" w:color="auto"/>
              <w:right w:val="single" w:sz="4" w:space="0" w:color="auto"/>
            </w:tcBorders>
            <w:shd w:val="clear" w:color="auto" w:fill="auto"/>
            <w:noWrap/>
            <w:vAlign w:val="bottom"/>
          </w:tcPr>
          <w:p w14:paraId="44E77EC1" w14:textId="2EC5B4B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117.2</w:t>
            </w:r>
          </w:p>
        </w:tc>
        <w:tc>
          <w:tcPr>
            <w:tcW w:w="931" w:type="dxa"/>
            <w:tcBorders>
              <w:top w:val="nil"/>
              <w:left w:val="nil"/>
              <w:bottom w:val="single" w:sz="4" w:space="0" w:color="auto"/>
              <w:right w:val="single" w:sz="4" w:space="0" w:color="auto"/>
            </w:tcBorders>
            <w:shd w:val="clear" w:color="auto" w:fill="auto"/>
            <w:noWrap/>
            <w:vAlign w:val="bottom"/>
          </w:tcPr>
          <w:p w14:paraId="7FF688BA" w14:textId="5466A70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FE846E0" w14:textId="38669C8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CF3CA3A" w14:textId="2EB8D6D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2FA1FE85" w14:textId="0417CA6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44626328"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D82F626" w14:textId="1315BF8E"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[45]</w:t>
            </w:r>
            <w:r w:rsidRPr="005A7A0A">
              <w:rPr>
                <w:color w:val="auto"/>
                <w:sz w:val="18"/>
                <w:szCs w:val="18"/>
                <w:lang w:eastAsia="en-GB" w:bidi="ar-SA"/>
              </w:rPr>
              <w:fldChar w:fldCharType="end"/>
            </w:r>
          </w:p>
        </w:tc>
      </w:tr>
      <w:tr w:rsidR="005A7A0A" w:rsidRPr="005A7A0A" w14:paraId="00D964D3" w14:textId="49821263"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4445A1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92</w:t>
            </w:r>
          </w:p>
        </w:tc>
        <w:tc>
          <w:tcPr>
            <w:tcW w:w="4204" w:type="dxa"/>
            <w:tcBorders>
              <w:top w:val="nil"/>
              <w:left w:val="nil"/>
              <w:bottom w:val="single" w:sz="4" w:space="0" w:color="auto"/>
              <w:right w:val="single" w:sz="4" w:space="0" w:color="auto"/>
            </w:tcBorders>
            <w:shd w:val="clear" w:color="auto" w:fill="auto"/>
            <w:noWrap/>
            <w:vAlign w:val="center"/>
            <w:hideMark/>
          </w:tcPr>
          <w:p w14:paraId="2D4048A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w:t>
            </w:r>
          </w:p>
        </w:tc>
        <w:tc>
          <w:tcPr>
            <w:tcW w:w="1055" w:type="dxa"/>
            <w:tcBorders>
              <w:top w:val="nil"/>
              <w:left w:val="nil"/>
              <w:bottom w:val="single" w:sz="4" w:space="0" w:color="auto"/>
              <w:right w:val="single" w:sz="4" w:space="0" w:color="auto"/>
            </w:tcBorders>
            <w:shd w:val="clear" w:color="auto" w:fill="auto"/>
            <w:noWrap/>
            <w:vAlign w:val="bottom"/>
          </w:tcPr>
          <w:p w14:paraId="162FAF32" w14:textId="4C52445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4.9</w:t>
            </w:r>
          </w:p>
        </w:tc>
        <w:tc>
          <w:tcPr>
            <w:tcW w:w="1006" w:type="dxa"/>
            <w:tcBorders>
              <w:top w:val="nil"/>
              <w:left w:val="nil"/>
              <w:bottom w:val="single" w:sz="4" w:space="0" w:color="auto"/>
              <w:right w:val="single" w:sz="4" w:space="0" w:color="auto"/>
            </w:tcBorders>
            <w:shd w:val="clear" w:color="auto" w:fill="auto"/>
            <w:noWrap/>
            <w:vAlign w:val="bottom"/>
          </w:tcPr>
          <w:p w14:paraId="3E60CF0E" w14:textId="5A3ADBD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34.6</w:t>
            </w:r>
          </w:p>
        </w:tc>
        <w:tc>
          <w:tcPr>
            <w:tcW w:w="1335" w:type="dxa"/>
            <w:tcBorders>
              <w:top w:val="nil"/>
              <w:left w:val="nil"/>
              <w:bottom w:val="single" w:sz="4" w:space="0" w:color="auto"/>
              <w:right w:val="single" w:sz="4" w:space="0" w:color="auto"/>
            </w:tcBorders>
            <w:shd w:val="clear" w:color="auto" w:fill="auto"/>
            <w:noWrap/>
            <w:vAlign w:val="bottom"/>
          </w:tcPr>
          <w:p w14:paraId="22F42747" w14:textId="3FB53B3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127.5</w:t>
            </w:r>
          </w:p>
        </w:tc>
        <w:tc>
          <w:tcPr>
            <w:tcW w:w="931" w:type="dxa"/>
            <w:tcBorders>
              <w:top w:val="nil"/>
              <w:left w:val="nil"/>
              <w:bottom w:val="single" w:sz="4" w:space="0" w:color="auto"/>
              <w:right w:val="single" w:sz="4" w:space="0" w:color="auto"/>
            </w:tcBorders>
            <w:shd w:val="clear" w:color="auto" w:fill="auto"/>
            <w:noWrap/>
            <w:vAlign w:val="bottom"/>
          </w:tcPr>
          <w:p w14:paraId="0B938472" w14:textId="7E1691C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354CBEFD" w14:textId="0E9896B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C47C4E1" w14:textId="650F9CC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858C4D4" w14:textId="22FE35E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F265800"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89B9BF6" w14:textId="0D82D4B2"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[45]</w:t>
            </w:r>
            <w:r w:rsidRPr="005A7A0A">
              <w:rPr>
                <w:color w:val="auto"/>
                <w:sz w:val="18"/>
                <w:szCs w:val="18"/>
                <w:lang w:eastAsia="en-GB" w:bidi="ar-SA"/>
              </w:rPr>
              <w:fldChar w:fldCharType="end"/>
            </w:r>
          </w:p>
        </w:tc>
      </w:tr>
      <w:tr w:rsidR="005A7A0A" w:rsidRPr="005A7A0A" w14:paraId="287E4DF9" w14:textId="3C620839"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EFDAD9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93</w:t>
            </w:r>
          </w:p>
        </w:tc>
        <w:tc>
          <w:tcPr>
            <w:tcW w:w="4204" w:type="dxa"/>
            <w:tcBorders>
              <w:top w:val="nil"/>
              <w:left w:val="nil"/>
              <w:bottom w:val="single" w:sz="4" w:space="0" w:color="auto"/>
              <w:right w:val="single" w:sz="4" w:space="0" w:color="auto"/>
            </w:tcBorders>
            <w:shd w:val="clear" w:color="auto" w:fill="auto"/>
            <w:noWrap/>
            <w:vAlign w:val="center"/>
            <w:hideMark/>
          </w:tcPr>
          <w:p w14:paraId="54FA84B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w:t>
            </w:r>
          </w:p>
        </w:tc>
        <w:tc>
          <w:tcPr>
            <w:tcW w:w="1055" w:type="dxa"/>
            <w:tcBorders>
              <w:top w:val="nil"/>
              <w:left w:val="nil"/>
              <w:bottom w:val="single" w:sz="4" w:space="0" w:color="auto"/>
              <w:right w:val="single" w:sz="4" w:space="0" w:color="auto"/>
            </w:tcBorders>
            <w:shd w:val="clear" w:color="auto" w:fill="auto"/>
            <w:noWrap/>
            <w:vAlign w:val="bottom"/>
          </w:tcPr>
          <w:p w14:paraId="29C2C25A" w14:textId="2643D18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5.4</w:t>
            </w:r>
          </w:p>
        </w:tc>
        <w:tc>
          <w:tcPr>
            <w:tcW w:w="1006" w:type="dxa"/>
            <w:tcBorders>
              <w:top w:val="nil"/>
              <w:left w:val="nil"/>
              <w:bottom w:val="single" w:sz="4" w:space="0" w:color="auto"/>
              <w:right w:val="single" w:sz="4" w:space="0" w:color="auto"/>
            </w:tcBorders>
            <w:shd w:val="clear" w:color="auto" w:fill="auto"/>
            <w:noWrap/>
            <w:vAlign w:val="bottom"/>
          </w:tcPr>
          <w:p w14:paraId="2FA6D2B5" w14:textId="778F78D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47.6</w:t>
            </w:r>
          </w:p>
        </w:tc>
        <w:tc>
          <w:tcPr>
            <w:tcW w:w="1335" w:type="dxa"/>
            <w:tcBorders>
              <w:top w:val="nil"/>
              <w:left w:val="nil"/>
              <w:bottom w:val="single" w:sz="4" w:space="0" w:color="auto"/>
              <w:right w:val="single" w:sz="4" w:space="0" w:color="auto"/>
            </w:tcBorders>
            <w:shd w:val="clear" w:color="auto" w:fill="auto"/>
            <w:noWrap/>
            <w:vAlign w:val="bottom"/>
          </w:tcPr>
          <w:p w14:paraId="2DEE45B1" w14:textId="67E43D0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175.4</w:t>
            </w:r>
          </w:p>
        </w:tc>
        <w:tc>
          <w:tcPr>
            <w:tcW w:w="931" w:type="dxa"/>
            <w:tcBorders>
              <w:top w:val="nil"/>
              <w:left w:val="nil"/>
              <w:bottom w:val="single" w:sz="4" w:space="0" w:color="auto"/>
              <w:right w:val="single" w:sz="4" w:space="0" w:color="auto"/>
            </w:tcBorders>
            <w:shd w:val="clear" w:color="auto" w:fill="auto"/>
            <w:noWrap/>
            <w:vAlign w:val="bottom"/>
          </w:tcPr>
          <w:p w14:paraId="28F46C45" w14:textId="3C9F121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3EA6C28" w14:textId="52C4AA5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3441340" w14:textId="5563F00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5A33420" w14:textId="75FD027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1534BED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DE6C920" w14:textId="2D0ADFB4"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[45]</w:t>
            </w:r>
            <w:r w:rsidRPr="005A7A0A">
              <w:rPr>
                <w:color w:val="auto"/>
                <w:sz w:val="18"/>
                <w:szCs w:val="18"/>
                <w:lang w:eastAsia="en-GB" w:bidi="ar-SA"/>
              </w:rPr>
              <w:fldChar w:fldCharType="end"/>
            </w:r>
          </w:p>
        </w:tc>
      </w:tr>
      <w:tr w:rsidR="005A7A0A" w:rsidRPr="005A7A0A" w14:paraId="2F94F399" w14:textId="6106B85D"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0820D0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94</w:t>
            </w:r>
          </w:p>
        </w:tc>
        <w:tc>
          <w:tcPr>
            <w:tcW w:w="4204" w:type="dxa"/>
            <w:tcBorders>
              <w:top w:val="nil"/>
              <w:left w:val="nil"/>
              <w:bottom w:val="single" w:sz="4" w:space="0" w:color="auto"/>
              <w:right w:val="single" w:sz="4" w:space="0" w:color="auto"/>
            </w:tcBorders>
            <w:shd w:val="clear" w:color="auto" w:fill="auto"/>
            <w:noWrap/>
            <w:vAlign w:val="center"/>
            <w:hideMark/>
          </w:tcPr>
          <w:p w14:paraId="683B32B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w:t>
            </w:r>
          </w:p>
        </w:tc>
        <w:tc>
          <w:tcPr>
            <w:tcW w:w="1055" w:type="dxa"/>
            <w:tcBorders>
              <w:top w:val="nil"/>
              <w:left w:val="nil"/>
              <w:bottom w:val="single" w:sz="4" w:space="0" w:color="auto"/>
              <w:right w:val="single" w:sz="4" w:space="0" w:color="auto"/>
            </w:tcBorders>
            <w:shd w:val="clear" w:color="auto" w:fill="auto"/>
            <w:noWrap/>
            <w:vAlign w:val="bottom"/>
          </w:tcPr>
          <w:p w14:paraId="42148605" w14:textId="0717D76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w:t>
            </w:r>
          </w:p>
        </w:tc>
        <w:tc>
          <w:tcPr>
            <w:tcW w:w="1006" w:type="dxa"/>
            <w:tcBorders>
              <w:top w:val="nil"/>
              <w:left w:val="nil"/>
              <w:bottom w:val="single" w:sz="4" w:space="0" w:color="auto"/>
              <w:right w:val="single" w:sz="4" w:space="0" w:color="auto"/>
            </w:tcBorders>
            <w:shd w:val="clear" w:color="auto" w:fill="auto"/>
            <w:noWrap/>
            <w:vAlign w:val="bottom"/>
          </w:tcPr>
          <w:p w14:paraId="28663FDD" w14:textId="1165504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74.9</w:t>
            </w:r>
          </w:p>
        </w:tc>
        <w:tc>
          <w:tcPr>
            <w:tcW w:w="1335" w:type="dxa"/>
            <w:tcBorders>
              <w:top w:val="nil"/>
              <w:left w:val="nil"/>
              <w:bottom w:val="single" w:sz="4" w:space="0" w:color="auto"/>
              <w:right w:val="single" w:sz="4" w:space="0" w:color="auto"/>
            </w:tcBorders>
            <w:shd w:val="clear" w:color="auto" w:fill="auto"/>
            <w:noWrap/>
            <w:vAlign w:val="bottom"/>
          </w:tcPr>
          <w:p w14:paraId="75ACD726" w14:textId="3794D5E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275.9</w:t>
            </w:r>
          </w:p>
        </w:tc>
        <w:tc>
          <w:tcPr>
            <w:tcW w:w="931" w:type="dxa"/>
            <w:tcBorders>
              <w:top w:val="nil"/>
              <w:left w:val="nil"/>
              <w:bottom w:val="single" w:sz="4" w:space="0" w:color="auto"/>
              <w:right w:val="single" w:sz="4" w:space="0" w:color="auto"/>
            </w:tcBorders>
            <w:shd w:val="clear" w:color="auto" w:fill="auto"/>
            <w:noWrap/>
            <w:vAlign w:val="bottom"/>
          </w:tcPr>
          <w:p w14:paraId="02C6D328" w14:textId="5511A50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09F4CDF" w14:textId="7F253F6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1A54C85B" w14:textId="62271AE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196FE29" w14:textId="11405DD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15AE4250"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DA7A84B" w14:textId="238A8F7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[45]</w:t>
            </w:r>
            <w:r w:rsidRPr="005A7A0A">
              <w:rPr>
                <w:color w:val="auto"/>
                <w:sz w:val="18"/>
                <w:szCs w:val="18"/>
                <w:lang w:eastAsia="en-GB" w:bidi="ar-SA"/>
              </w:rPr>
              <w:fldChar w:fldCharType="end"/>
            </w:r>
          </w:p>
        </w:tc>
      </w:tr>
      <w:tr w:rsidR="005A7A0A" w:rsidRPr="005A7A0A" w14:paraId="13BF339E" w14:textId="5D0D43A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051F73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95</w:t>
            </w:r>
          </w:p>
        </w:tc>
        <w:tc>
          <w:tcPr>
            <w:tcW w:w="4204" w:type="dxa"/>
            <w:tcBorders>
              <w:top w:val="nil"/>
              <w:left w:val="nil"/>
              <w:bottom w:val="single" w:sz="4" w:space="0" w:color="auto"/>
              <w:right w:val="single" w:sz="4" w:space="0" w:color="auto"/>
            </w:tcBorders>
            <w:shd w:val="clear" w:color="auto" w:fill="auto"/>
            <w:noWrap/>
            <w:vAlign w:val="center"/>
            <w:hideMark/>
          </w:tcPr>
          <w:p w14:paraId="6384FEF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w:t>
            </w:r>
          </w:p>
        </w:tc>
        <w:tc>
          <w:tcPr>
            <w:tcW w:w="1055" w:type="dxa"/>
            <w:tcBorders>
              <w:top w:val="nil"/>
              <w:left w:val="nil"/>
              <w:bottom w:val="single" w:sz="4" w:space="0" w:color="auto"/>
              <w:right w:val="single" w:sz="4" w:space="0" w:color="auto"/>
            </w:tcBorders>
            <w:shd w:val="clear" w:color="auto" w:fill="auto"/>
            <w:noWrap/>
            <w:vAlign w:val="bottom"/>
          </w:tcPr>
          <w:p w14:paraId="00376192" w14:textId="026408D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6.3</w:t>
            </w:r>
          </w:p>
        </w:tc>
        <w:tc>
          <w:tcPr>
            <w:tcW w:w="1006" w:type="dxa"/>
            <w:tcBorders>
              <w:top w:val="nil"/>
              <w:left w:val="nil"/>
              <w:bottom w:val="single" w:sz="4" w:space="0" w:color="auto"/>
              <w:right w:val="single" w:sz="4" w:space="0" w:color="auto"/>
            </w:tcBorders>
            <w:shd w:val="clear" w:color="auto" w:fill="auto"/>
            <w:noWrap/>
            <w:vAlign w:val="bottom"/>
          </w:tcPr>
          <w:p w14:paraId="67A6D33C" w14:textId="510C1A6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88.5</w:t>
            </w:r>
          </w:p>
        </w:tc>
        <w:tc>
          <w:tcPr>
            <w:tcW w:w="1335" w:type="dxa"/>
            <w:tcBorders>
              <w:top w:val="nil"/>
              <w:left w:val="nil"/>
              <w:bottom w:val="single" w:sz="4" w:space="0" w:color="auto"/>
              <w:right w:val="single" w:sz="4" w:space="0" w:color="auto"/>
            </w:tcBorders>
            <w:shd w:val="clear" w:color="auto" w:fill="auto"/>
            <w:noWrap/>
            <w:vAlign w:val="bottom"/>
          </w:tcPr>
          <w:p w14:paraId="0602A3A8" w14:textId="1962442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326.0</w:t>
            </w:r>
          </w:p>
        </w:tc>
        <w:tc>
          <w:tcPr>
            <w:tcW w:w="931" w:type="dxa"/>
            <w:tcBorders>
              <w:top w:val="nil"/>
              <w:left w:val="nil"/>
              <w:bottom w:val="single" w:sz="4" w:space="0" w:color="auto"/>
              <w:right w:val="single" w:sz="4" w:space="0" w:color="auto"/>
            </w:tcBorders>
            <w:shd w:val="clear" w:color="auto" w:fill="auto"/>
            <w:noWrap/>
            <w:vAlign w:val="bottom"/>
          </w:tcPr>
          <w:p w14:paraId="2E4D1363" w14:textId="6655A05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DED8F03" w14:textId="2E60760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D943BF4" w14:textId="425C1E7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ACD05FD" w14:textId="6308E41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0B8276B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A21823D" w14:textId="5932C37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[45]</w:t>
            </w:r>
            <w:r w:rsidRPr="005A7A0A">
              <w:rPr>
                <w:color w:val="auto"/>
                <w:sz w:val="18"/>
                <w:szCs w:val="18"/>
                <w:lang w:eastAsia="en-GB" w:bidi="ar-SA"/>
              </w:rPr>
              <w:fldChar w:fldCharType="end"/>
            </w:r>
          </w:p>
        </w:tc>
      </w:tr>
      <w:tr w:rsidR="005A7A0A" w:rsidRPr="005A7A0A" w14:paraId="5897232E" w14:textId="172A4DEC"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92BE61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96</w:t>
            </w:r>
          </w:p>
        </w:tc>
        <w:tc>
          <w:tcPr>
            <w:tcW w:w="4204" w:type="dxa"/>
            <w:tcBorders>
              <w:top w:val="nil"/>
              <w:left w:val="nil"/>
              <w:bottom w:val="single" w:sz="4" w:space="0" w:color="auto"/>
              <w:right w:val="single" w:sz="4" w:space="0" w:color="auto"/>
            </w:tcBorders>
            <w:shd w:val="clear" w:color="auto" w:fill="auto"/>
            <w:noWrap/>
            <w:vAlign w:val="center"/>
            <w:hideMark/>
          </w:tcPr>
          <w:p w14:paraId="1426512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(Colombia)</w:t>
            </w:r>
          </w:p>
        </w:tc>
        <w:tc>
          <w:tcPr>
            <w:tcW w:w="1055" w:type="dxa"/>
            <w:tcBorders>
              <w:top w:val="nil"/>
              <w:left w:val="nil"/>
              <w:bottom w:val="single" w:sz="4" w:space="0" w:color="auto"/>
              <w:right w:val="single" w:sz="4" w:space="0" w:color="auto"/>
            </w:tcBorders>
            <w:shd w:val="clear" w:color="auto" w:fill="auto"/>
            <w:noWrap/>
            <w:vAlign w:val="bottom"/>
          </w:tcPr>
          <w:p w14:paraId="1D040E60" w14:textId="6676D2A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8.5</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3FA83E1C" w14:textId="095E22D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129.0</w:t>
            </w:r>
          </w:p>
        </w:tc>
        <w:tc>
          <w:tcPr>
            <w:tcW w:w="1335" w:type="dxa"/>
            <w:tcBorders>
              <w:top w:val="nil"/>
              <w:left w:val="nil"/>
              <w:bottom w:val="single" w:sz="4" w:space="0" w:color="auto"/>
              <w:right w:val="single" w:sz="4" w:space="0" w:color="auto"/>
            </w:tcBorders>
            <w:shd w:val="clear" w:color="auto" w:fill="auto"/>
            <w:noWrap/>
            <w:vAlign w:val="bottom"/>
          </w:tcPr>
          <w:p w14:paraId="34638BB8" w14:textId="4DC64A2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475.2</w:t>
            </w:r>
          </w:p>
        </w:tc>
        <w:tc>
          <w:tcPr>
            <w:tcW w:w="931" w:type="dxa"/>
            <w:tcBorders>
              <w:top w:val="nil"/>
              <w:left w:val="nil"/>
              <w:bottom w:val="single" w:sz="4" w:space="0" w:color="auto"/>
              <w:right w:val="single" w:sz="4" w:space="0" w:color="auto"/>
            </w:tcBorders>
            <w:shd w:val="clear" w:color="auto" w:fill="auto"/>
            <w:noWrap/>
            <w:vAlign w:val="bottom"/>
          </w:tcPr>
          <w:p w14:paraId="69F3D99F" w14:textId="04FD562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AF0A96A" w14:textId="484A9CE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0DA01CA1" w14:textId="562E3C3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2770D27" w14:textId="46C7F5D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75</w:t>
            </w:r>
          </w:p>
        </w:tc>
        <w:tc>
          <w:tcPr>
            <w:tcW w:w="709" w:type="dxa"/>
            <w:tcBorders>
              <w:top w:val="single" w:sz="4" w:space="0" w:color="auto"/>
              <w:left w:val="nil"/>
              <w:bottom w:val="single" w:sz="4" w:space="0" w:color="auto"/>
              <w:right w:val="single" w:sz="4" w:space="0" w:color="auto"/>
            </w:tcBorders>
            <w:vAlign w:val="bottom"/>
          </w:tcPr>
          <w:p w14:paraId="7B68B3D0"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463256D" w14:textId="271212D1"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{"citationItems":[{"id":"ITEM-1","itemData":{"DOI":"10.1016/J.FUEL.2015.01.009","ISSN":"0016-2361","abstract":"Pulverised coal has been known to pose explosion risks since the 19th century, with the advent of biomass use in coal fired power generation boilers the explosion risk may need revision. The objective of the present work was to compare the explosibility of two samples of bituminous coal used in UK power stations with two biomass fuels and to review available explosion data in the literature for pulverised coal and biomass. The 1 m3 ISO explosion vessel was used to determine the explosion characteristics: deflagration index (KSt), maximum explosion pressure (Pmax) and minimum explosible concentration (MEC). Flame speeds were also measured and these are relevant to understanding the mechanism of turbulent flame propagation in power station burners, which is related to the problem of flame flashback or blow-off. Despite the similarities in composition of both coals, the explosion reactivity of Colombian coal was much higher, with a KSt value of 129 bar m/s compared to 78 bar m/s for Kellingley coal. The main difference between the two fuels was the surface area of particles which was higher for Colombian coal. It was shown that the char burn out rate at 900 °C in air was higher for Colombian coal, due to the greater oxygen diffusion in the higher porosity of the char. Results for two biomass fuels are also presented with similar values for KSt and the literature review shows that both coal and biomass have very variable flame reactivities. There is no general trend that coal is less reactive than biomass, although this could be the case for specific coals and biomass.","author":[{"dr</w:instrText>
            </w:r>
            <w:r w:rsidRPr="005A7A0A">
              <w:rPr>
                <w:color w:val="auto"/>
                <w:sz w:val="18"/>
                <w:szCs w:val="18"/>
                <w:lang w:val="it-IT" w:eastAsia="en-GB" w:bidi="ar-SA"/>
              </w:rPr>
              <w:instrText>opping-particle":"","family":"Huéscar Medina","given":"Clara","non-dropping-particle":"","parse-names":false,"suffix":""},{"dropping-particle":"","family":"Maccoitir","given":"Brian","non-dropping-particle":"","parse-names":false,"suffix":""},{"dropping-particle":"","family":"Sattar","given":"Hamed","non-dropping-particle":"","parse-names":false,"suffix":""},{"dropping-particle":"","family":"Slatter","given":"David J.F.","non-dropping-particle":"","parse-names":false,"suffix":""},{"dropping-particle":"","family":"Phylaktou","given":"Herodotos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M.","non-dropping-particle":"","parse-names":false,"suffix":""}],"container-title":"Fuel","id":"ITEM-1","issued":{"date-parts":[["2015","7","1"]]},"page":"91-101","publisher":"Elsevier","title":"Comparison of the explosion characteristics and flame speeds of pulverised coals and biomass in the ISO standard 1 m3 dust explosion equipment","type":"article-journal","volume":"151"},"uris":["http://www.mendeley.com/documents/?uuid=16e63468-cc45-4b29-81a4-483ec09b97cc"]}],"mendeley":{"formattedCitation":"[108]","plainTextFormattedCitation":"[108]","previouslyFormattedCitation":"[108]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val="it-IT" w:eastAsia="en-GB" w:bidi="ar-SA"/>
              </w:rPr>
              <w:t>[108]</w:t>
            </w:r>
            <w:r w:rsidRPr="005A7A0A">
              <w:rPr>
                <w:color w:val="auto"/>
                <w:sz w:val="18"/>
                <w:szCs w:val="18"/>
                <w:lang w:eastAsia="en-GB" w:bidi="ar-SA"/>
              </w:rPr>
              <w:fldChar w:fldCharType="end"/>
            </w:r>
          </w:p>
        </w:tc>
      </w:tr>
      <w:tr w:rsidR="005A7A0A" w:rsidRPr="005A7A0A" w14:paraId="69E25AD9" w14:textId="7DC7184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92D8C0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97</w:t>
            </w:r>
          </w:p>
        </w:tc>
        <w:tc>
          <w:tcPr>
            <w:tcW w:w="4204" w:type="dxa"/>
            <w:tcBorders>
              <w:top w:val="nil"/>
              <w:left w:val="nil"/>
              <w:bottom w:val="single" w:sz="4" w:space="0" w:color="auto"/>
              <w:right w:val="single" w:sz="4" w:space="0" w:color="auto"/>
            </w:tcBorders>
            <w:shd w:val="clear" w:color="auto" w:fill="auto"/>
            <w:noWrap/>
            <w:vAlign w:val="center"/>
            <w:hideMark/>
          </w:tcPr>
          <w:p w14:paraId="2361CD19"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(Huaibei, China)</w:t>
            </w:r>
          </w:p>
        </w:tc>
        <w:tc>
          <w:tcPr>
            <w:tcW w:w="1055" w:type="dxa"/>
            <w:tcBorders>
              <w:top w:val="nil"/>
              <w:left w:val="nil"/>
              <w:bottom w:val="single" w:sz="4" w:space="0" w:color="auto"/>
              <w:right w:val="single" w:sz="4" w:space="0" w:color="auto"/>
            </w:tcBorders>
            <w:shd w:val="clear" w:color="auto" w:fill="auto"/>
            <w:noWrap/>
            <w:vAlign w:val="bottom"/>
          </w:tcPr>
          <w:p w14:paraId="7A0608C7" w14:textId="7FC2CA4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8.2</w:t>
            </w:r>
            <w:r w:rsidRPr="005A7A0A">
              <w:rPr>
                <w:color w:val="auto"/>
                <w:vertAlign w:val="superscript"/>
              </w:rPr>
              <w:t xml:space="preserve"> </w:t>
            </w:r>
            <w:r w:rsidR="00DC6265" w:rsidRPr="005A7A0A">
              <w:rPr>
                <w:color w:val="auto"/>
                <w:vertAlign w:val="superscript"/>
              </w:rPr>
              <w:t>d</w:t>
            </w:r>
          </w:p>
        </w:tc>
        <w:tc>
          <w:tcPr>
            <w:tcW w:w="1006" w:type="dxa"/>
            <w:tcBorders>
              <w:top w:val="nil"/>
              <w:left w:val="nil"/>
              <w:bottom w:val="single" w:sz="4" w:space="0" w:color="auto"/>
              <w:right w:val="single" w:sz="4" w:space="0" w:color="auto"/>
            </w:tcBorders>
            <w:shd w:val="clear" w:color="auto" w:fill="auto"/>
            <w:noWrap/>
            <w:vAlign w:val="bottom"/>
          </w:tcPr>
          <w:p w14:paraId="548BAC2F" w14:textId="15CFED9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153.1</w:t>
            </w:r>
          </w:p>
        </w:tc>
        <w:tc>
          <w:tcPr>
            <w:tcW w:w="1335" w:type="dxa"/>
            <w:tcBorders>
              <w:top w:val="nil"/>
              <w:left w:val="nil"/>
              <w:bottom w:val="single" w:sz="4" w:space="0" w:color="auto"/>
              <w:right w:val="single" w:sz="4" w:space="0" w:color="auto"/>
            </w:tcBorders>
            <w:shd w:val="clear" w:color="auto" w:fill="auto"/>
            <w:noWrap/>
            <w:vAlign w:val="bottom"/>
          </w:tcPr>
          <w:p w14:paraId="0D596483" w14:textId="3E05683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564.0</w:t>
            </w:r>
          </w:p>
        </w:tc>
        <w:tc>
          <w:tcPr>
            <w:tcW w:w="931" w:type="dxa"/>
            <w:tcBorders>
              <w:top w:val="nil"/>
              <w:left w:val="nil"/>
              <w:bottom w:val="single" w:sz="4" w:space="0" w:color="auto"/>
              <w:right w:val="single" w:sz="4" w:space="0" w:color="auto"/>
            </w:tcBorders>
            <w:shd w:val="clear" w:color="auto" w:fill="auto"/>
            <w:noWrap/>
            <w:vAlign w:val="bottom"/>
          </w:tcPr>
          <w:p w14:paraId="3971BC79" w14:textId="4CBBD47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5B58415A" w14:textId="7283D3F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63CFF9E7" w14:textId="31243ED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CB2F573" w14:textId="568C32F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4752369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766FD9B6" w14:textId="7AC7353C"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val="it-IT" w:eastAsia="en-GB" w:bidi="ar-SA"/>
              </w:rPr>
              <w:instrText>ADDIN CSL_CITATION {"citationItems":[{"id":"ITEM-1","itemData":{"DOI":"10.1016/j.powtec.2016.01.035","ISSN":"1873328X","abstract":"In the present research work, the effects of particle size (D50) and size dispersity (</w:instrText>
            </w:r>
            <w:r w:rsidRPr="005A7A0A">
              <w:rPr>
                <w:color w:val="auto"/>
                <w:sz w:val="18"/>
                <w:szCs w:val="18"/>
                <w:lang w:eastAsia="en-GB" w:bidi="ar-SA"/>
              </w:rPr>
              <w:instrText>σ</w:instrText>
            </w:r>
            <w:r w:rsidRPr="005A7A0A">
              <w:rPr>
                <w:color w:val="auto"/>
                <w:sz w:val="18"/>
                <w:szCs w:val="18"/>
                <w:lang w:val="it-IT" w:eastAsia="en-GB" w:bidi="ar-SA"/>
              </w:rPr>
              <w:instrText>D) on the explosion severity of coal dust were investigated using a 20 L spherical explosion vessel. Coal dust samples with similar median diameter (D50) and different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similar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w:instrText>
            </w:r>
            <w:r w:rsidRPr="005A7A0A">
              <w:rPr>
                <w:color w:val="auto"/>
                <w:sz w:val="18"/>
                <w:szCs w:val="18"/>
                <w:lang w:eastAsia="en-GB" w:bidi="ar-SA"/>
              </w:rPr>
              <w:instrText xml:space="preserv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[46]</w:t>
            </w:r>
            <w:r w:rsidRPr="005A7A0A">
              <w:rPr>
                <w:color w:val="auto"/>
                <w:sz w:val="18"/>
                <w:szCs w:val="18"/>
                <w:lang w:eastAsia="en-GB" w:bidi="ar-SA"/>
              </w:rPr>
              <w:fldChar w:fldCharType="end"/>
            </w:r>
          </w:p>
        </w:tc>
      </w:tr>
      <w:tr w:rsidR="005A7A0A" w:rsidRPr="005A7A0A" w14:paraId="07ED8D83" w14:textId="1667AC77"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BC4307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98</w:t>
            </w:r>
          </w:p>
        </w:tc>
        <w:tc>
          <w:tcPr>
            <w:tcW w:w="4204" w:type="dxa"/>
            <w:tcBorders>
              <w:top w:val="nil"/>
              <w:left w:val="nil"/>
              <w:bottom w:val="single" w:sz="4" w:space="0" w:color="auto"/>
              <w:right w:val="single" w:sz="4" w:space="0" w:color="auto"/>
            </w:tcBorders>
            <w:shd w:val="clear" w:color="auto" w:fill="auto"/>
            <w:noWrap/>
            <w:vAlign w:val="center"/>
            <w:hideMark/>
          </w:tcPr>
          <w:p w14:paraId="2083485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(Kellingley, UK)</w:t>
            </w:r>
          </w:p>
        </w:tc>
        <w:tc>
          <w:tcPr>
            <w:tcW w:w="1055" w:type="dxa"/>
            <w:tcBorders>
              <w:top w:val="nil"/>
              <w:left w:val="nil"/>
              <w:bottom w:val="single" w:sz="4" w:space="0" w:color="auto"/>
              <w:right w:val="single" w:sz="4" w:space="0" w:color="auto"/>
            </w:tcBorders>
            <w:shd w:val="clear" w:color="auto" w:fill="auto"/>
            <w:noWrap/>
            <w:vAlign w:val="bottom"/>
          </w:tcPr>
          <w:p w14:paraId="677A79DB" w14:textId="2F4053A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8.2</w:t>
            </w:r>
          </w:p>
        </w:tc>
        <w:tc>
          <w:tcPr>
            <w:tcW w:w="1006" w:type="dxa"/>
            <w:tcBorders>
              <w:top w:val="nil"/>
              <w:left w:val="nil"/>
              <w:bottom w:val="single" w:sz="4" w:space="0" w:color="auto"/>
              <w:right w:val="single" w:sz="4" w:space="0" w:color="auto"/>
            </w:tcBorders>
            <w:shd w:val="clear" w:color="auto" w:fill="auto"/>
            <w:noWrap/>
            <w:vAlign w:val="bottom"/>
          </w:tcPr>
          <w:p w14:paraId="60A1C15D" w14:textId="2B9A57B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80.0</w:t>
            </w:r>
          </w:p>
        </w:tc>
        <w:tc>
          <w:tcPr>
            <w:tcW w:w="1335" w:type="dxa"/>
            <w:tcBorders>
              <w:top w:val="nil"/>
              <w:left w:val="nil"/>
              <w:bottom w:val="single" w:sz="4" w:space="0" w:color="auto"/>
              <w:right w:val="single" w:sz="4" w:space="0" w:color="auto"/>
            </w:tcBorders>
            <w:shd w:val="clear" w:color="auto" w:fill="auto"/>
            <w:noWrap/>
            <w:vAlign w:val="bottom"/>
          </w:tcPr>
          <w:p w14:paraId="388401D3" w14:textId="12587E7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294.7</w:t>
            </w:r>
          </w:p>
        </w:tc>
        <w:tc>
          <w:tcPr>
            <w:tcW w:w="931" w:type="dxa"/>
            <w:tcBorders>
              <w:top w:val="nil"/>
              <w:left w:val="nil"/>
              <w:bottom w:val="single" w:sz="4" w:space="0" w:color="auto"/>
              <w:right w:val="single" w:sz="4" w:space="0" w:color="auto"/>
            </w:tcBorders>
            <w:shd w:val="clear" w:color="auto" w:fill="auto"/>
            <w:noWrap/>
            <w:vAlign w:val="bottom"/>
          </w:tcPr>
          <w:p w14:paraId="3B46CADA" w14:textId="2BF8BF5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5E0E6D0" w14:textId="64CDACC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0037654" w14:textId="4408251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FDF5A44" w14:textId="0783388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120</w:t>
            </w:r>
          </w:p>
        </w:tc>
        <w:tc>
          <w:tcPr>
            <w:tcW w:w="709" w:type="dxa"/>
            <w:tcBorders>
              <w:top w:val="single" w:sz="4" w:space="0" w:color="auto"/>
              <w:left w:val="nil"/>
              <w:bottom w:val="single" w:sz="4" w:space="0" w:color="auto"/>
              <w:right w:val="single" w:sz="4" w:space="0" w:color="auto"/>
            </w:tcBorders>
            <w:vAlign w:val="bottom"/>
          </w:tcPr>
          <w:p w14:paraId="501F8FFD"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C7B0735" w14:textId="3805C33B"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{"citationItems":[{"id":"ITEM-1","itemData":{"DOI":"10.1016/J.FUEL.2015.01.009","ISSN":"0016-2361","abstract":"Pulverised coal has been known to pose explosion risks since the 19th century, with the advent of biomass use in coal fired power generation boilers the explosion risk may need revision. The objective of the present work was to compare the explosibility of two samples of bituminous coal used in UK power stations with two biomass fuels and to review available explosion data in the literature for pulverised coal and biomass. The 1 m3 ISO explosion vessel was used to determine the explosion characteristics: deflagration index (KSt), maximum explosion pressure (Pmax) and minimum explosible concentration (MEC). Flame speeds were also measured and these are relevant to understanding the mechanism of turbulent flame propagation in power station burners, which is related to the problem of flame flashback or blow-off. Despite the similarities in composition of both coals, the explosion reactivity of Colombian coal was much higher, with a KSt value of 129 bar m/s compared to 78 bar m/s for Kellingley coal. The main difference between the two fuels was the surface area of particles which was higher for Colombian coal. It was shown that the char burn out rate at 900 °C in air was higher for Colombian coal, due to the greater oxygen diffusion in the higher porosity of the char. Results for two biomass fuels are also presented with similar values for KSt and the literature review shows that both coal and biomass have very variable flame reactivities. There is no general trend that coal is less reactive than biomass, although this could be the case for specific coals and biomass.","author":[{"dropping-particle":"","family":"Huéscar Medina","given":"Clara","non-dropping-particle":"","parse-names":false,"suffix":""},{"dropping-particle":"","family":"Maccoitir","given":"Brian","non-dropping-particle":"","parse-names":false,"suffix":""},{"dropping-particle":"","family":"Sattar","given":"Hamed","non-dropping-particle":"","parse-names":false,"suffix":""},{"dropping-particle":"","family":"Slatter","given":"David J.F.","non-dropping-particle":"","parse-names":false,"suffix":""},{"dropping-particle":"","family":"Phylaktou","given":"Herodotos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M.","non-dropping-particle":"","parse-names":false,"suffix":""}],"container-title":"Fuel","id":"ITEM-1","issued":{"date-parts":[["2015","7","1"]]},"page":"91-101","publisher":"Elsevier","title":"Comparison of the explosion characteristics and flame speeds of pulverised coals and biomass in the ISO standard 1 m3 dust explosion equipment","type":"article-journal","volume":"151"},"uris":["http://www.mendeley.com/documents/?uuid=16e63468-cc45-4b29-81a4-483ec09b97cc"]}],"mendeley":{"formattedCitation":"[108]","plainTextFormattedCitation":"[108]","previouslyFormattedCitation":"[108]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[108]</w:t>
            </w:r>
            <w:r w:rsidRPr="005A7A0A">
              <w:rPr>
                <w:color w:val="auto"/>
                <w:sz w:val="18"/>
                <w:szCs w:val="18"/>
                <w:lang w:eastAsia="en-GB" w:bidi="ar-SA"/>
              </w:rPr>
              <w:fldChar w:fldCharType="end"/>
            </w:r>
          </w:p>
        </w:tc>
      </w:tr>
      <w:tr w:rsidR="005A7A0A" w:rsidRPr="005A7A0A" w14:paraId="02D78EFD" w14:textId="739D7C3E"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F5A9ED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99</w:t>
            </w:r>
          </w:p>
        </w:tc>
        <w:tc>
          <w:tcPr>
            <w:tcW w:w="4204" w:type="dxa"/>
            <w:tcBorders>
              <w:top w:val="nil"/>
              <w:left w:val="nil"/>
              <w:bottom w:val="single" w:sz="4" w:space="0" w:color="auto"/>
              <w:right w:val="single" w:sz="4" w:space="0" w:color="auto"/>
            </w:tcBorders>
            <w:shd w:val="clear" w:color="auto" w:fill="auto"/>
            <w:noWrap/>
            <w:vAlign w:val="center"/>
            <w:hideMark/>
          </w:tcPr>
          <w:p w14:paraId="128CD6E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(Lvliang, China)</w:t>
            </w:r>
          </w:p>
        </w:tc>
        <w:tc>
          <w:tcPr>
            <w:tcW w:w="1055" w:type="dxa"/>
            <w:tcBorders>
              <w:top w:val="nil"/>
              <w:left w:val="nil"/>
              <w:bottom w:val="single" w:sz="4" w:space="0" w:color="auto"/>
              <w:right w:val="single" w:sz="4" w:space="0" w:color="auto"/>
            </w:tcBorders>
            <w:shd w:val="clear" w:color="auto" w:fill="auto"/>
            <w:noWrap/>
            <w:vAlign w:val="bottom"/>
          </w:tcPr>
          <w:p w14:paraId="401C4CBB" w14:textId="402176C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7.6</w:t>
            </w:r>
          </w:p>
        </w:tc>
        <w:tc>
          <w:tcPr>
            <w:tcW w:w="1006" w:type="dxa"/>
            <w:tcBorders>
              <w:top w:val="nil"/>
              <w:left w:val="nil"/>
              <w:bottom w:val="single" w:sz="4" w:space="0" w:color="auto"/>
              <w:right w:val="single" w:sz="4" w:space="0" w:color="auto"/>
            </w:tcBorders>
            <w:shd w:val="clear" w:color="auto" w:fill="auto"/>
            <w:noWrap/>
            <w:vAlign w:val="bottom"/>
          </w:tcPr>
          <w:p w14:paraId="18B8775B" w14:textId="588EF80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97.7</w:t>
            </w:r>
          </w:p>
        </w:tc>
        <w:tc>
          <w:tcPr>
            <w:tcW w:w="1335" w:type="dxa"/>
            <w:tcBorders>
              <w:top w:val="nil"/>
              <w:left w:val="nil"/>
              <w:bottom w:val="single" w:sz="4" w:space="0" w:color="auto"/>
              <w:right w:val="single" w:sz="4" w:space="0" w:color="auto"/>
            </w:tcBorders>
            <w:shd w:val="clear" w:color="auto" w:fill="auto"/>
            <w:noWrap/>
            <w:vAlign w:val="bottom"/>
          </w:tcPr>
          <w:p w14:paraId="77C7943B" w14:textId="1BD5D09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360.0</w:t>
            </w:r>
          </w:p>
        </w:tc>
        <w:tc>
          <w:tcPr>
            <w:tcW w:w="931" w:type="dxa"/>
            <w:tcBorders>
              <w:top w:val="nil"/>
              <w:left w:val="nil"/>
              <w:bottom w:val="single" w:sz="4" w:space="0" w:color="auto"/>
              <w:right w:val="single" w:sz="4" w:space="0" w:color="auto"/>
            </w:tcBorders>
            <w:shd w:val="clear" w:color="auto" w:fill="auto"/>
            <w:noWrap/>
            <w:vAlign w:val="bottom"/>
          </w:tcPr>
          <w:p w14:paraId="3E8E81C9" w14:textId="1944F4A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C15DAA7" w14:textId="6857FC9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6D722250" w14:textId="4552CD3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E9B5BC3" w14:textId="1496FDA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EC0D492"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2B9F2148" w14:textId="65E3C9C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{"citationItems":[{"id":"ITEM-1","itemData":{"DOI":"10.1016/j.powtec.2016.01.035","ISSN":"1873328X",</w:instrText>
            </w:r>
            <w:r w:rsidRPr="005A7A0A">
              <w:rPr>
                <w:color w:val="auto"/>
                <w:sz w:val="18"/>
                <w:szCs w:val="18"/>
                <w:lang w:val="it-IT" w:eastAsia="en-GB" w:bidi="ar-SA"/>
              </w:rPr>
              <w:instrText>"abstract":"In the present research work, the effects of particle size (D50) and size dispersity (</w:instrText>
            </w:r>
            <w:r w:rsidRPr="005A7A0A">
              <w:rPr>
                <w:color w:val="auto"/>
                <w:sz w:val="18"/>
                <w:szCs w:val="18"/>
                <w:lang w:eastAsia="en-GB" w:bidi="ar-SA"/>
              </w:rPr>
              <w:instrText>σ</w:instrText>
            </w:r>
            <w:r w:rsidRPr="005A7A0A">
              <w:rPr>
                <w:color w:val="auto"/>
                <w:sz w:val="18"/>
                <w:szCs w:val="18"/>
                <w:lang w:val="it-IT" w:eastAsia="en-GB" w:bidi="ar-SA"/>
              </w:rPr>
              <w:instrText>D) on the explosion severity of coal dust were investigated using a 20 L spherical explosion vessel. Coal dust samples with similar median diameter (D50) and different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similar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w:instrText>
            </w:r>
            <w:r w:rsidRPr="005A7A0A">
              <w:rPr>
                <w:color w:val="auto"/>
                <w:sz w:val="18"/>
                <w:szCs w:val="18"/>
                <w:lang w:eastAsia="en-GB" w:bidi="ar-SA"/>
              </w:rPr>
              <w:instrText xml:space="preserv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[46]</w:t>
            </w:r>
            <w:r w:rsidRPr="005A7A0A">
              <w:rPr>
                <w:color w:val="auto"/>
                <w:sz w:val="18"/>
                <w:szCs w:val="18"/>
                <w:lang w:eastAsia="en-GB" w:bidi="ar-SA"/>
              </w:rPr>
              <w:fldChar w:fldCharType="end"/>
            </w:r>
          </w:p>
        </w:tc>
      </w:tr>
      <w:tr w:rsidR="005A7A0A" w:rsidRPr="005A7A0A" w14:paraId="10ECFDA7" w14:textId="4CC3F988"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295233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100</w:t>
            </w:r>
          </w:p>
        </w:tc>
        <w:tc>
          <w:tcPr>
            <w:tcW w:w="4204" w:type="dxa"/>
            <w:tcBorders>
              <w:top w:val="nil"/>
              <w:left w:val="nil"/>
              <w:bottom w:val="single" w:sz="4" w:space="0" w:color="auto"/>
              <w:right w:val="single" w:sz="4" w:space="0" w:color="auto"/>
            </w:tcBorders>
            <w:shd w:val="clear" w:color="auto" w:fill="auto"/>
            <w:noWrap/>
            <w:vAlign w:val="center"/>
            <w:hideMark/>
          </w:tcPr>
          <w:p w14:paraId="4E744A9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(Lvliang, China)</w:t>
            </w:r>
          </w:p>
        </w:tc>
        <w:tc>
          <w:tcPr>
            <w:tcW w:w="1055" w:type="dxa"/>
            <w:tcBorders>
              <w:top w:val="nil"/>
              <w:left w:val="nil"/>
              <w:bottom w:val="single" w:sz="4" w:space="0" w:color="auto"/>
              <w:right w:val="single" w:sz="4" w:space="0" w:color="auto"/>
            </w:tcBorders>
            <w:shd w:val="clear" w:color="auto" w:fill="auto"/>
            <w:noWrap/>
            <w:vAlign w:val="bottom"/>
          </w:tcPr>
          <w:p w14:paraId="5E5DBB39" w14:textId="0939EA7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7.9</w:t>
            </w:r>
          </w:p>
        </w:tc>
        <w:tc>
          <w:tcPr>
            <w:tcW w:w="1006" w:type="dxa"/>
            <w:tcBorders>
              <w:top w:val="nil"/>
              <w:left w:val="nil"/>
              <w:bottom w:val="single" w:sz="4" w:space="0" w:color="auto"/>
              <w:right w:val="single" w:sz="4" w:space="0" w:color="auto"/>
            </w:tcBorders>
            <w:shd w:val="clear" w:color="auto" w:fill="auto"/>
            <w:noWrap/>
            <w:vAlign w:val="bottom"/>
          </w:tcPr>
          <w:p w14:paraId="4CE46108" w14:textId="44A49F4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128.9</w:t>
            </w:r>
          </w:p>
        </w:tc>
        <w:tc>
          <w:tcPr>
            <w:tcW w:w="1335" w:type="dxa"/>
            <w:tcBorders>
              <w:top w:val="nil"/>
              <w:left w:val="nil"/>
              <w:bottom w:val="single" w:sz="4" w:space="0" w:color="auto"/>
              <w:right w:val="single" w:sz="4" w:space="0" w:color="auto"/>
            </w:tcBorders>
            <w:shd w:val="clear" w:color="auto" w:fill="auto"/>
            <w:noWrap/>
            <w:vAlign w:val="bottom"/>
          </w:tcPr>
          <w:p w14:paraId="706B5C40" w14:textId="297EED9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475.0</w:t>
            </w:r>
          </w:p>
        </w:tc>
        <w:tc>
          <w:tcPr>
            <w:tcW w:w="931" w:type="dxa"/>
            <w:tcBorders>
              <w:top w:val="nil"/>
              <w:left w:val="nil"/>
              <w:bottom w:val="single" w:sz="4" w:space="0" w:color="auto"/>
              <w:right w:val="single" w:sz="4" w:space="0" w:color="auto"/>
            </w:tcBorders>
            <w:shd w:val="clear" w:color="auto" w:fill="auto"/>
            <w:noWrap/>
            <w:vAlign w:val="bottom"/>
          </w:tcPr>
          <w:p w14:paraId="61BEF61D" w14:textId="6A49103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5F4A1E8" w14:textId="5BAE7C3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4F42649" w14:textId="038F1E9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56D92A9" w14:textId="2496132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05D60E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4523E93" w14:textId="76A7D9D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 xml:space="preserve">ADDIN CSL_CITATION {"citationItems":[{"id":"ITEM-1","itemData":{"DOI":"10.1016/j.powtec.2016.01.035","ISSN":"1873328X","abstract":"In the present research work, the effects </w:instrText>
            </w:r>
            <w:r w:rsidRPr="005A7A0A">
              <w:rPr>
                <w:color w:val="auto"/>
                <w:sz w:val="18"/>
                <w:szCs w:val="18"/>
                <w:lang w:val="it-IT" w:eastAsia="en-GB" w:bidi="ar-SA"/>
              </w:rPr>
              <w:instrText>of particle size (D50) and size dispersity (</w:instrText>
            </w:r>
            <w:r w:rsidRPr="005A7A0A">
              <w:rPr>
                <w:color w:val="auto"/>
                <w:sz w:val="18"/>
                <w:szCs w:val="18"/>
                <w:lang w:eastAsia="en-GB" w:bidi="ar-SA"/>
              </w:rPr>
              <w:instrText>σ</w:instrText>
            </w:r>
            <w:r w:rsidRPr="005A7A0A">
              <w:rPr>
                <w:color w:val="auto"/>
                <w:sz w:val="18"/>
                <w:szCs w:val="18"/>
                <w:lang w:val="it-IT" w:eastAsia="en-GB" w:bidi="ar-SA"/>
              </w:rPr>
              <w:instrText>D) on the explosion severity of coal dust were investigated using a 20 L spherical explosion vessel. Coal dust samples with similar median diameter (D50) and different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similar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w:instrText>
            </w:r>
            <w:r w:rsidRPr="005A7A0A">
              <w:rPr>
                <w:color w:val="auto"/>
                <w:sz w:val="18"/>
                <w:szCs w:val="18"/>
                <w:lang w:eastAsia="en-GB" w:bidi="ar-SA"/>
              </w:rPr>
              <w:instrText xml:space="preserv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[46]</w:t>
            </w:r>
            <w:r w:rsidRPr="005A7A0A">
              <w:rPr>
                <w:color w:val="auto"/>
                <w:sz w:val="18"/>
                <w:szCs w:val="18"/>
                <w:lang w:eastAsia="en-GB" w:bidi="ar-SA"/>
              </w:rPr>
              <w:fldChar w:fldCharType="end"/>
            </w:r>
          </w:p>
        </w:tc>
      </w:tr>
      <w:tr w:rsidR="005A7A0A" w:rsidRPr="005A7A0A" w14:paraId="7165E97F" w14:textId="214AAACD"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ECBA577"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101</w:t>
            </w:r>
          </w:p>
        </w:tc>
        <w:tc>
          <w:tcPr>
            <w:tcW w:w="4204" w:type="dxa"/>
            <w:tcBorders>
              <w:top w:val="nil"/>
              <w:left w:val="nil"/>
              <w:bottom w:val="single" w:sz="4" w:space="0" w:color="auto"/>
              <w:right w:val="single" w:sz="4" w:space="0" w:color="auto"/>
            </w:tcBorders>
            <w:shd w:val="clear" w:color="auto" w:fill="auto"/>
            <w:noWrap/>
            <w:vAlign w:val="center"/>
            <w:hideMark/>
          </w:tcPr>
          <w:p w14:paraId="1597B01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(Neimeng, China)</w:t>
            </w:r>
          </w:p>
        </w:tc>
        <w:tc>
          <w:tcPr>
            <w:tcW w:w="1055" w:type="dxa"/>
            <w:tcBorders>
              <w:top w:val="nil"/>
              <w:left w:val="nil"/>
              <w:bottom w:val="single" w:sz="4" w:space="0" w:color="auto"/>
              <w:right w:val="single" w:sz="4" w:space="0" w:color="auto"/>
            </w:tcBorders>
            <w:shd w:val="clear" w:color="auto" w:fill="auto"/>
            <w:noWrap/>
            <w:vAlign w:val="bottom"/>
          </w:tcPr>
          <w:p w14:paraId="774BC89B" w14:textId="097C2A3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6.1</w:t>
            </w:r>
          </w:p>
        </w:tc>
        <w:tc>
          <w:tcPr>
            <w:tcW w:w="1006" w:type="dxa"/>
            <w:tcBorders>
              <w:top w:val="nil"/>
              <w:left w:val="nil"/>
              <w:bottom w:val="single" w:sz="4" w:space="0" w:color="auto"/>
              <w:right w:val="single" w:sz="4" w:space="0" w:color="auto"/>
            </w:tcBorders>
            <w:shd w:val="clear" w:color="auto" w:fill="auto"/>
            <w:noWrap/>
            <w:vAlign w:val="bottom"/>
          </w:tcPr>
          <w:p w14:paraId="315BE97B" w14:textId="6403CEF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73.6</w:t>
            </w:r>
          </w:p>
        </w:tc>
        <w:tc>
          <w:tcPr>
            <w:tcW w:w="1335" w:type="dxa"/>
            <w:tcBorders>
              <w:top w:val="nil"/>
              <w:left w:val="nil"/>
              <w:bottom w:val="single" w:sz="4" w:space="0" w:color="auto"/>
              <w:right w:val="single" w:sz="4" w:space="0" w:color="auto"/>
            </w:tcBorders>
            <w:shd w:val="clear" w:color="auto" w:fill="auto"/>
            <w:noWrap/>
            <w:vAlign w:val="bottom"/>
          </w:tcPr>
          <w:p w14:paraId="2E18E13C" w14:textId="6C8AE96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271.0</w:t>
            </w:r>
          </w:p>
        </w:tc>
        <w:tc>
          <w:tcPr>
            <w:tcW w:w="931" w:type="dxa"/>
            <w:tcBorders>
              <w:top w:val="nil"/>
              <w:left w:val="nil"/>
              <w:bottom w:val="single" w:sz="4" w:space="0" w:color="auto"/>
              <w:right w:val="single" w:sz="4" w:space="0" w:color="auto"/>
            </w:tcBorders>
            <w:shd w:val="clear" w:color="auto" w:fill="auto"/>
            <w:noWrap/>
            <w:vAlign w:val="bottom"/>
          </w:tcPr>
          <w:p w14:paraId="0B859491" w14:textId="5923529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EA12305" w14:textId="1D2F766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26C92DF7" w14:textId="52B578E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EF52A96" w14:textId="16EB804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5A0D0C1"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B8E8664" w14:textId="395C511E"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 xml:space="preserve">ADDIN CSL_CITATION {"citationItems":[{"id":"ITEM-1","itemData":{"DOI":"10.1016/j.powtec.2016.01.035","ISSN":"1873328X","abstract":"In the present research work, the effects </w:instrText>
            </w:r>
            <w:r w:rsidRPr="005A7A0A">
              <w:rPr>
                <w:color w:val="auto"/>
                <w:sz w:val="18"/>
                <w:szCs w:val="18"/>
                <w:lang w:val="it-IT" w:eastAsia="en-GB" w:bidi="ar-SA"/>
              </w:rPr>
              <w:instrText>of particle size (D50) and size dispersity (</w:instrText>
            </w:r>
            <w:r w:rsidRPr="005A7A0A">
              <w:rPr>
                <w:color w:val="auto"/>
                <w:sz w:val="18"/>
                <w:szCs w:val="18"/>
                <w:lang w:eastAsia="en-GB" w:bidi="ar-SA"/>
              </w:rPr>
              <w:instrText>σ</w:instrText>
            </w:r>
            <w:r w:rsidRPr="005A7A0A">
              <w:rPr>
                <w:color w:val="auto"/>
                <w:sz w:val="18"/>
                <w:szCs w:val="18"/>
                <w:lang w:val="it-IT" w:eastAsia="en-GB" w:bidi="ar-SA"/>
              </w:rPr>
              <w:instrText>D) on the explosion severity of coal dust were investigated using a 20 L spherical explosion vessel. Coal dust samples with similar median diameter (D50) and different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similar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w:instrText>
            </w:r>
            <w:r w:rsidRPr="005A7A0A">
              <w:rPr>
                <w:color w:val="auto"/>
                <w:sz w:val="18"/>
                <w:szCs w:val="18"/>
                <w:lang w:eastAsia="en-GB" w:bidi="ar-SA"/>
              </w:rPr>
              <w:instrText>σ</w:instrText>
            </w:r>
            <w:r w:rsidRPr="005A7A0A">
              <w:rPr>
                <w:color w:val="auto"/>
                <w:sz w:val="18"/>
                <w:szCs w:val="18"/>
                <w:lang w:val="it-IT" w:eastAsia="en-GB" w:bidi="ar-SA"/>
              </w:rPr>
              <w:instrText>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w:instrText>
            </w:r>
            <w:r w:rsidRPr="005A7A0A">
              <w:rPr>
                <w:color w:val="auto"/>
                <w:sz w:val="18"/>
                <w:szCs w:val="18"/>
                <w:lang w:eastAsia="en-GB" w:bidi="ar-SA"/>
              </w:rPr>
              <w:instrText xml:space="preserv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[46]</w:t>
            </w:r>
            <w:r w:rsidRPr="005A7A0A">
              <w:rPr>
                <w:color w:val="auto"/>
                <w:sz w:val="18"/>
                <w:szCs w:val="18"/>
                <w:lang w:eastAsia="en-GB" w:bidi="ar-SA"/>
              </w:rPr>
              <w:fldChar w:fldCharType="end"/>
            </w:r>
          </w:p>
        </w:tc>
      </w:tr>
      <w:tr w:rsidR="005A7A0A" w:rsidRPr="005A7A0A" w14:paraId="621FD5FD" w14:textId="0819B100"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6DBB9E0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102</w:t>
            </w:r>
          </w:p>
        </w:tc>
        <w:tc>
          <w:tcPr>
            <w:tcW w:w="4204" w:type="dxa"/>
            <w:tcBorders>
              <w:top w:val="nil"/>
              <w:left w:val="nil"/>
              <w:bottom w:val="single" w:sz="4" w:space="0" w:color="auto"/>
              <w:right w:val="single" w:sz="4" w:space="0" w:color="auto"/>
            </w:tcBorders>
            <w:shd w:val="clear" w:color="auto" w:fill="auto"/>
            <w:noWrap/>
            <w:vAlign w:val="center"/>
            <w:hideMark/>
          </w:tcPr>
          <w:p w14:paraId="51AB4EB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(Ningxia, China)</w:t>
            </w:r>
          </w:p>
        </w:tc>
        <w:tc>
          <w:tcPr>
            <w:tcW w:w="1055" w:type="dxa"/>
            <w:tcBorders>
              <w:top w:val="nil"/>
              <w:left w:val="nil"/>
              <w:bottom w:val="single" w:sz="4" w:space="0" w:color="auto"/>
              <w:right w:val="single" w:sz="4" w:space="0" w:color="auto"/>
            </w:tcBorders>
            <w:shd w:val="clear" w:color="auto" w:fill="auto"/>
            <w:noWrap/>
            <w:vAlign w:val="bottom"/>
          </w:tcPr>
          <w:p w14:paraId="33F85F6F" w14:textId="3FD3099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6.8</w:t>
            </w:r>
          </w:p>
        </w:tc>
        <w:tc>
          <w:tcPr>
            <w:tcW w:w="1006" w:type="dxa"/>
            <w:tcBorders>
              <w:top w:val="nil"/>
              <w:left w:val="nil"/>
              <w:bottom w:val="single" w:sz="4" w:space="0" w:color="auto"/>
              <w:right w:val="single" w:sz="4" w:space="0" w:color="auto"/>
            </w:tcBorders>
            <w:shd w:val="clear" w:color="auto" w:fill="auto"/>
            <w:noWrap/>
            <w:vAlign w:val="bottom"/>
          </w:tcPr>
          <w:p w14:paraId="5A71F6B2" w14:textId="45792A7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120.2</w:t>
            </w:r>
          </w:p>
        </w:tc>
        <w:tc>
          <w:tcPr>
            <w:tcW w:w="1335" w:type="dxa"/>
            <w:tcBorders>
              <w:top w:val="nil"/>
              <w:left w:val="nil"/>
              <w:bottom w:val="single" w:sz="4" w:space="0" w:color="auto"/>
              <w:right w:val="single" w:sz="4" w:space="0" w:color="auto"/>
            </w:tcBorders>
            <w:shd w:val="clear" w:color="auto" w:fill="auto"/>
            <w:noWrap/>
            <w:vAlign w:val="bottom"/>
          </w:tcPr>
          <w:p w14:paraId="6111EE8B" w14:textId="493ECA6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443.0</w:t>
            </w:r>
          </w:p>
        </w:tc>
        <w:tc>
          <w:tcPr>
            <w:tcW w:w="931" w:type="dxa"/>
            <w:tcBorders>
              <w:top w:val="nil"/>
              <w:left w:val="nil"/>
              <w:bottom w:val="single" w:sz="4" w:space="0" w:color="auto"/>
              <w:right w:val="single" w:sz="4" w:space="0" w:color="auto"/>
            </w:tcBorders>
            <w:shd w:val="clear" w:color="auto" w:fill="auto"/>
            <w:noWrap/>
            <w:vAlign w:val="bottom"/>
          </w:tcPr>
          <w:p w14:paraId="07F92936" w14:textId="3F535E9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7CAEA081" w14:textId="228018A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250754A" w14:textId="1D74F7B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73B07E9B" w14:textId="2B50F60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1E7E2533"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4056E467" w14:textId="25754253"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 xml:space="preserve">ADDIN CSL_CITATION {"citationItems":[{"id":"ITEM-1","itemData":{"DOI":"10.1016/j.powtec.2016.01.035","ISSN":"1873328X","abstract":"In the present research work, the effects </w:instrText>
            </w:r>
            <w:r w:rsidRPr="005A7A0A">
              <w:rPr>
                <w:color w:val="auto"/>
                <w:sz w:val="18"/>
                <w:szCs w:val="18"/>
                <w:lang w:val="it-IT" w:eastAsia="en-GB" w:bidi="ar-SA"/>
              </w:rPr>
              <w:instrText>of particle size (D50) and size dispersity (σD) on the explosion severity of coal dust were investigated using a 20 L spherical explosion vessel. Coal dust samples with similar median diameter (D50) and different size dispersity (σD) and similar size dispersity (σD)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(σD)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w:instrText>
            </w:r>
            <w:r w:rsidRPr="005A7A0A">
              <w:rPr>
                <w:color w:val="auto"/>
                <w:sz w:val="18"/>
                <w:szCs w:val="18"/>
                <w:lang w:eastAsia="en-GB" w:bidi="ar-SA"/>
              </w:rPr>
              <w:instrText xml:space="preserve"> for the higher coal dust clouds (&gt;250 g/m3). Results indicated that the evaluation of coal dust explosion hazard should be considered in terms of not only dust concentration, but also particle size (D50) and size dispersity (</w:instrText>
            </w:r>
            <w:r w:rsidRPr="005A7A0A">
              <w:rPr>
                <w:color w:val="auto"/>
                <w:sz w:val="18"/>
                <w:szCs w:val="18"/>
                <w:lang w:val="it-IT" w:eastAsia="en-GB" w:bidi="ar-SA"/>
              </w:rPr>
              <w:instrText>σ</w:instrText>
            </w:r>
            <w:r w:rsidRPr="005A7A0A">
              <w:rPr>
                <w:color w:val="auto"/>
                <w:sz w:val="18"/>
                <w:szCs w:val="18"/>
                <w:lang w:eastAsia="en-GB" w:bidi="ar-SA"/>
              </w:rPr>
              <w:instrText>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[46]</w:t>
            </w:r>
            <w:r w:rsidRPr="005A7A0A">
              <w:rPr>
                <w:color w:val="auto"/>
                <w:sz w:val="18"/>
                <w:szCs w:val="18"/>
                <w:lang w:eastAsia="en-GB" w:bidi="ar-SA"/>
              </w:rPr>
              <w:fldChar w:fldCharType="end"/>
            </w:r>
          </w:p>
        </w:tc>
      </w:tr>
      <w:tr w:rsidR="005A7A0A" w:rsidRPr="005A7A0A" w14:paraId="0AA37B24" w14:textId="34DF11B7"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A613F32"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103</w:t>
            </w:r>
          </w:p>
        </w:tc>
        <w:tc>
          <w:tcPr>
            <w:tcW w:w="4204" w:type="dxa"/>
            <w:tcBorders>
              <w:top w:val="nil"/>
              <w:left w:val="nil"/>
              <w:bottom w:val="single" w:sz="4" w:space="0" w:color="auto"/>
              <w:right w:val="single" w:sz="4" w:space="0" w:color="auto"/>
            </w:tcBorders>
            <w:shd w:val="clear" w:color="auto" w:fill="auto"/>
            <w:noWrap/>
            <w:vAlign w:val="center"/>
            <w:hideMark/>
          </w:tcPr>
          <w:p w14:paraId="7FC25DC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(Spain)</w:t>
            </w:r>
          </w:p>
        </w:tc>
        <w:tc>
          <w:tcPr>
            <w:tcW w:w="1055" w:type="dxa"/>
            <w:tcBorders>
              <w:top w:val="nil"/>
              <w:left w:val="nil"/>
              <w:bottom w:val="single" w:sz="4" w:space="0" w:color="auto"/>
              <w:right w:val="single" w:sz="4" w:space="0" w:color="auto"/>
            </w:tcBorders>
            <w:shd w:val="clear" w:color="auto" w:fill="auto"/>
            <w:noWrap/>
            <w:vAlign w:val="bottom"/>
          </w:tcPr>
          <w:p w14:paraId="5E942B1A" w14:textId="5D200F2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75466ADF" w14:textId="406903C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297ED277" w14:textId="2E0B41B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015CF6FA" w14:textId="612680B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67B7CD4" w14:textId="157A3CF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270</w:t>
            </w:r>
          </w:p>
        </w:tc>
        <w:tc>
          <w:tcPr>
            <w:tcW w:w="1134" w:type="dxa"/>
            <w:tcBorders>
              <w:top w:val="nil"/>
              <w:left w:val="nil"/>
              <w:bottom w:val="single" w:sz="4" w:space="0" w:color="auto"/>
              <w:right w:val="single" w:sz="4" w:space="0" w:color="auto"/>
            </w:tcBorders>
            <w:shd w:val="clear" w:color="auto" w:fill="auto"/>
            <w:noWrap/>
            <w:vAlign w:val="bottom"/>
          </w:tcPr>
          <w:p w14:paraId="2A70D112" w14:textId="6A57CAC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5116EBD" w14:textId="450BACD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24A0743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B1F2465" w14:textId="6865CE1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51BF2080" w14:textId="55769AF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CB7C59B"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104</w:t>
            </w:r>
          </w:p>
        </w:tc>
        <w:tc>
          <w:tcPr>
            <w:tcW w:w="4204" w:type="dxa"/>
            <w:tcBorders>
              <w:top w:val="nil"/>
              <w:left w:val="nil"/>
              <w:bottom w:val="single" w:sz="4" w:space="0" w:color="auto"/>
              <w:right w:val="single" w:sz="4" w:space="0" w:color="auto"/>
            </w:tcBorders>
            <w:shd w:val="clear" w:color="auto" w:fill="auto"/>
            <w:noWrap/>
            <w:vAlign w:val="center"/>
            <w:hideMark/>
          </w:tcPr>
          <w:p w14:paraId="7124A79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(Tiefa, China)</w:t>
            </w:r>
          </w:p>
        </w:tc>
        <w:tc>
          <w:tcPr>
            <w:tcW w:w="1055" w:type="dxa"/>
            <w:tcBorders>
              <w:top w:val="nil"/>
              <w:left w:val="nil"/>
              <w:bottom w:val="single" w:sz="4" w:space="0" w:color="auto"/>
              <w:right w:val="single" w:sz="4" w:space="0" w:color="auto"/>
            </w:tcBorders>
            <w:shd w:val="clear" w:color="auto" w:fill="auto"/>
            <w:noWrap/>
            <w:vAlign w:val="bottom"/>
          </w:tcPr>
          <w:p w14:paraId="263F5036" w14:textId="44DFD3F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w:t>
            </w:r>
          </w:p>
        </w:tc>
        <w:tc>
          <w:tcPr>
            <w:tcW w:w="1006" w:type="dxa"/>
            <w:tcBorders>
              <w:top w:val="nil"/>
              <w:left w:val="nil"/>
              <w:bottom w:val="single" w:sz="4" w:space="0" w:color="auto"/>
              <w:right w:val="single" w:sz="4" w:space="0" w:color="auto"/>
            </w:tcBorders>
            <w:shd w:val="clear" w:color="auto" w:fill="auto"/>
            <w:noWrap/>
            <w:vAlign w:val="bottom"/>
          </w:tcPr>
          <w:p w14:paraId="65F4EC2D" w14:textId="4D033DD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184.6</w:t>
            </w:r>
          </w:p>
        </w:tc>
        <w:tc>
          <w:tcPr>
            <w:tcW w:w="1335" w:type="dxa"/>
            <w:tcBorders>
              <w:top w:val="nil"/>
              <w:left w:val="nil"/>
              <w:bottom w:val="single" w:sz="4" w:space="0" w:color="auto"/>
              <w:right w:val="single" w:sz="4" w:space="0" w:color="auto"/>
            </w:tcBorders>
            <w:shd w:val="clear" w:color="auto" w:fill="auto"/>
            <w:noWrap/>
            <w:vAlign w:val="bottom"/>
          </w:tcPr>
          <w:p w14:paraId="00155BE9" w14:textId="260720E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680.0</w:t>
            </w:r>
          </w:p>
        </w:tc>
        <w:tc>
          <w:tcPr>
            <w:tcW w:w="931" w:type="dxa"/>
            <w:tcBorders>
              <w:top w:val="nil"/>
              <w:left w:val="nil"/>
              <w:bottom w:val="single" w:sz="4" w:space="0" w:color="auto"/>
              <w:right w:val="single" w:sz="4" w:space="0" w:color="auto"/>
            </w:tcBorders>
            <w:shd w:val="clear" w:color="auto" w:fill="auto"/>
            <w:noWrap/>
            <w:vAlign w:val="bottom"/>
          </w:tcPr>
          <w:p w14:paraId="4E7399CA" w14:textId="0EB8D28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3DFB14D" w14:textId="7CAE2C7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77A1B30E" w14:textId="42F2957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115F295C" w14:textId="6F5E0A8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7D4B3E68"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7AEEC4A" w14:textId="3A983C3A"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{"citationItems":[{"id":"ITEM-1","itemData":{"DOI":"10.1016/j.powtec.2016.01.035","ISSN":"1873328X","abstract":"In the present research work, the effects of particle size (D50) and size dispersity (σD) on the explosion severity of coal dust were investigated using a 20 L spherical explosion vessel. Coal dust samples with similar median diameter (D50) and different size dispersity (σD) and similar size dispersity (σD)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(σD)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[46]</w:t>
            </w:r>
            <w:r w:rsidRPr="005A7A0A">
              <w:rPr>
                <w:color w:val="auto"/>
                <w:sz w:val="18"/>
                <w:szCs w:val="18"/>
                <w:lang w:eastAsia="en-GB" w:bidi="ar-SA"/>
              </w:rPr>
              <w:fldChar w:fldCharType="end"/>
            </w:r>
          </w:p>
        </w:tc>
      </w:tr>
      <w:tr w:rsidR="005A7A0A" w:rsidRPr="005A7A0A" w14:paraId="529340AB" w14:textId="6BBAB7F6"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2C4EAE5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105</w:t>
            </w:r>
          </w:p>
        </w:tc>
        <w:tc>
          <w:tcPr>
            <w:tcW w:w="4204" w:type="dxa"/>
            <w:tcBorders>
              <w:top w:val="nil"/>
              <w:left w:val="nil"/>
              <w:bottom w:val="single" w:sz="4" w:space="0" w:color="auto"/>
              <w:right w:val="single" w:sz="4" w:space="0" w:color="auto"/>
            </w:tcBorders>
            <w:shd w:val="clear" w:color="auto" w:fill="auto"/>
            <w:noWrap/>
            <w:vAlign w:val="center"/>
            <w:hideMark/>
          </w:tcPr>
          <w:p w14:paraId="6182D8EE"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(Tiefa, China)</w:t>
            </w:r>
          </w:p>
        </w:tc>
        <w:tc>
          <w:tcPr>
            <w:tcW w:w="1055" w:type="dxa"/>
            <w:tcBorders>
              <w:top w:val="nil"/>
              <w:left w:val="nil"/>
              <w:bottom w:val="single" w:sz="4" w:space="0" w:color="auto"/>
              <w:right w:val="single" w:sz="4" w:space="0" w:color="auto"/>
            </w:tcBorders>
            <w:shd w:val="clear" w:color="auto" w:fill="auto"/>
            <w:noWrap/>
            <w:vAlign w:val="bottom"/>
          </w:tcPr>
          <w:p w14:paraId="73C90B6F" w14:textId="4B253C32"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7.7</w:t>
            </w:r>
          </w:p>
        </w:tc>
        <w:tc>
          <w:tcPr>
            <w:tcW w:w="1006" w:type="dxa"/>
            <w:tcBorders>
              <w:top w:val="nil"/>
              <w:left w:val="nil"/>
              <w:bottom w:val="single" w:sz="4" w:space="0" w:color="auto"/>
              <w:right w:val="single" w:sz="4" w:space="0" w:color="auto"/>
            </w:tcBorders>
            <w:shd w:val="clear" w:color="auto" w:fill="auto"/>
            <w:noWrap/>
            <w:vAlign w:val="bottom"/>
          </w:tcPr>
          <w:p w14:paraId="02C88D86" w14:textId="3742B4F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176.4</w:t>
            </w:r>
          </w:p>
        </w:tc>
        <w:tc>
          <w:tcPr>
            <w:tcW w:w="1335" w:type="dxa"/>
            <w:tcBorders>
              <w:top w:val="nil"/>
              <w:left w:val="nil"/>
              <w:bottom w:val="single" w:sz="4" w:space="0" w:color="auto"/>
              <w:right w:val="single" w:sz="4" w:space="0" w:color="auto"/>
            </w:tcBorders>
            <w:shd w:val="clear" w:color="auto" w:fill="auto"/>
            <w:noWrap/>
            <w:vAlign w:val="bottom"/>
          </w:tcPr>
          <w:p w14:paraId="62EA0C3E" w14:textId="4821F98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650.0</w:t>
            </w:r>
          </w:p>
        </w:tc>
        <w:tc>
          <w:tcPr>
            <w:tcW w:w="931" w:type="dxa"/>
            <w:tcBorders>
              <w:top w:val="nil"/>
              <w:left w:val="nil"/>
              <w:bottom w:val="single" w:sz="4" w:space="0" w:color="auto"/>
              <w:right w:val="single" w:sz="4" w:space="0" w:color="auto"/>
            </w:tcBorders>
            <w:shd w:val="clear" w:color="auto" w:fill="auto"/>
            <w:noWrap/>
            <w:vAlign w:val="bottom"/>
          </w:tcPr>
          <w:p w14:paraId="47E49A11" w14:textId="349F4D9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7F74C1A" w14:textId="197B17B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552F57B0" w14:textId="6824114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1443D767" w14:textId="4AB7EA9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5E0B8CA4"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E8A045B" w14:textId="4AA6049B"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{"citationItems":[{"id":"ITEM-1","itemData":{"DOI":"10.1016/j.powtec.2016.01.035","ISSN":"1873328X","a</w:instrText>
            </w:r>
            <w:r w:rsidRPr="005A7A0A">
              <w:rPr>
                <w:color w:val="auto"/>
                <w:sz w:val="18"/>
                <w:szCs w:val="18"/>
                <w:lang w:val="it-IT" w:eastAsia="en-GB" w:bidi="ar-SA"/>
              </w:rPr>
              <w:instrText>bstract":"In the present research work, the effects of particle size (D50) and size dispersity (σD) on the explosion severity of coal dust were investigated using a 20 L spherical explosion vessel. Coal dust samples with similar median diameter (D50) and different size dispersity (σD) and similar size dispersity (σD)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(σD)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w:instrText>
            </w:r>
            <w:r w:rsidRPr="005A7A0A">
              <w:rPr>
                <w:color w:val="auto"/>
                <w:sz w:val="18"/>
                <w:szCs w:val="18"/>
                <w:lang w:eastAsia="en-GB" w:bidi="ar-SA"/>
              </w:rPr>
              <w:instrText xml:space="preserve"> for the higher coal dust clouds (&gt;250 g/m3). Results indicated that the evaluation of coal dust explosion hazard should be considered in terms of not only dust concentration, but also particle size (D50) and size dispersity (</w:instrText>
            </w:r>
            <w:r w:rsidRPr="005A7A0A">
              <w:rPr>
                <w:color w:val="auto"/>
                <w:sz w:val="18"/>
                <w:szCs w:val="18"/>
                <w:lang w:val="it-IT" w:eastAsia="en-GB" w:bidi="ar-SA"/>
              </w:rPr>
              <w:instrText>σ</w:instrText>
            </w:r>
            <w:r w:rsidRPr="005A7A0A">
              <w:rPr>
                <w:color w:val="auto"/>
                <w:sz w:val="18"/>
                <w:szCs w:val="18"/>
                <w:lang w:eastAsia="en-GB" w:bidi="ar-SA"/>
              </w:rPr>
              <w:instrText>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[46]</w:t>
            </w:r>
            <w:r w:rsidRPr="005A7A0A">
              <w:rPr>
                <w:color w:val="auto"/>
                <w:sz w:val="18"/>
                <w:szCs w:val="18"/>
                <w:lang w:eastAsia="en-GB" w:bidi="ar-SA"/>
              </w:rPr>
              <w:fldChar w:fldCharType="end"/>
            </w:r>
          </w:p>
        </w:tc>
      </w:tr>
      <w:tr w:rsidR="005A7A0A" w:rsidRPr="005A7A0A" w14:paraId="60AD7704" w14:textId="56C91891"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624BCF4"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106</w:t>
            </w:r>
          </w:p>
        </w:tc>
        <w:tc>
          <w:tcPr>
            <w:tcW w:w="4204" w:type="dxa"/>
            <w:tcBorders>
              <w:top w:val="nil"/>
              <w:left w:val="nil"/>
              <w:bottom w:val="single" w:sz="4" w:space="0" w:color="auto"/>
              <w:right w:val="single" w:sz="4" w:space="0" w:color="auto"/>
            </w:tcBorders>
            <w:shd w:val="clear" w:color="auto" w:fill="auto"/>
            <w:noWrap/>
            <w:vAlign w:val="center"/>
            <w:hideMark/>
          </w:tcPr>
          <w:p w14:paraId="7A71DEDD"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Coal (UK)</w:t>
            </w:r>
          </w:p>
        </w:tc>
        <w:tc>
          <w:tcPr>
            <w:tcW w:w="1055" w:type="dxa"/>
            <w:tcBorders>
              <w:top w:val="nil"/>
              <w:left w:val="nil"/>
              <w:bottom w:val="single" w:sz="4" w:space="0" w:color="auto"/>
              <w:right w:val="single" w:sz="4" w:space="0" w:color="auto"/>
            </w:tcBorders>
            <w:shd w:val="clear" w:color="auto" w:fill="auto"/>
            <w:noWrap/>
            <w:vAlign w:val="bottom"/>
          </w:tcPr>
          <w:p w14:paraId="7D7FB8CC" w14:textId="70C65EB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27E15555" w14:textId="77BC403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0A937506" w14:textId="645629E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55FD242C" w14:textId="038CDE2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B618047" w14:textId="3FD6279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&gt;400</w:t>
            </w:r>
          </w:p>
        </w:tc>
        <w:tc>
          <w:tcPr>
            <w:tcW w:w="1134" w:type="dxa"/>
            <w:tcBorders>
              <w:top w:val="nil"/>
              <w:left w:val="nil"/>
              <w:bottom w:val="single" w:sz="4" w:space="0" w:color="auto"/>
              <w:right w:val="single" w:sz="4" w:space="0" w:color="auto"/>
            </w:tcBorders>
            <w:shd w:val="clear" w:color="auto" w:fill="auto"/>
            <w:noWrap/>
            <w:vAlign w:val="bottom"/>
          </w:tcPr>
          <w:p w14:paraId="16830AE6" w14:textId="765CA09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3C45CAA2" w14:textId="5A8A0CA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5B415226"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6D7097F" w14:textId="7C1F63B7"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w:instrText>
            </w:r>
            <w:r w:rsidRPr="005A7A0A">
              <w:rPr>
                <w:color w:val="auto"/>
                <w:sz w:val="18"/>
                <w:szCs w:val="18"/>
                <w:lang w:val="es-ES" w:eastAsia="en-GB" w:bidi="ar-SA"/>
              </w:rPr>
              <w:instrText>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w:instrText>
            </w:r>
            <w:r w:rsidRPr="005A7A0A">
              <w:rPr>
                <w:color w:val="auto"/>
                <w:sz w:val="18"/>
                <w:szCs w:val="18"/>
                <w:lang w:eastAsia="en-GB" w:bidi="ar-SA"/>
              </w:rPr>
              <w:instrTex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1CC348EF" w14:textId="1C696870"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9BBC9F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107</w:t>
            </w:r>
          </w:p>
        </w:tc>
        <w:tc>
          <w:tcPr>
            <w:tcW w:w="4204" w:type="dxa"/>
            <w:tcBorders>
              <w:top w:val="nil"/>
              <w:left w:val="nil"/>
              <w:bottom w:val="single" w:sz="4" w:space="0" w:color="auto"/>
              <w:right w:val="single" w:sz="4" w:space="0" w:color="auto"/>
            </w:tcBorders>
            <w:shd w:val="clear" w:color="auto" w:fill="auto"/>
            <w:noWrap/>
            <w:vAlign w:val="center"/>
            <w:hideMark/>
          </w:tcPr>
          <w:p w14:paraId="343EF53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Coke (Spain)</w:t>
            </w:r>
          </w:p>
        </w:tc>
        <w:tc>
          <w:tcPr>
            <w:tcW w:w="1055" w:type="dxa"/>
            <w:tcBorders>
              <w:top w:val="nil"/>
              <w:left w:val="nil"/>
              <w:bottom w:val="single" w:sz="4" w:space="0" w:color="auto"/>
              <w:right w:val="single" w:sz="4" w:space="0" w:color="auto"/>
            </w:tcBorders>
            <w:shd w:val="clear" w:color="auto" w:fill="auto"/>
            <w:noWrap/>
            <w:vAlign w:val="bottom"/>
          </w:tcPr>
          <w:p w14:paraId="6E51667D" w14:textId="183D905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43D5B5C2" w14:textId="28CE900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78AAA020" w14:textId="54500EF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44CDE4DC" w14:textId="1FBB16A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29D1A1DE" w14:textId="32CDE00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360</w:t>
            </w:r>
          </w:p>
        </w:tc>
        <w:tc>
          <w:tcPr>
            <w:tcW w:w="1134" w:type="dxa"/>
            <w:tcBorders>
              <w:top w:val="nil"/>
              <w:left w:val="nil"/>
              <w:bottom w:val="single" w:sz="4" w:space="0" w:color="auto"/>
              <w:right w:val="single" w:sz="4" w:space="0" w:color="auto"/>
            </w:tcBorders>
            <w:shd w:val="clear" w:color="auto" w:fill="auto"/>
            <w:noWrap/>
            <w:vAlign w:val="bottom"/>
          </w:tcPr>
          <w:p w14:paraId="6A3B823C" w14:textId="0830202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080027AB" w14:textId="394D4EE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40FB19BB"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5845D41B" w14:textId="73F9609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19770D41" w14:textId="0DE9CEDD"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AD1BB4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108</w:t>
            </w:r>
          </w:p>
        </w:tc>
        <w:tc>
          <w:tcPr>
            <w:tcW w:w="4204" w:type="dxa"/>
            <w:tcBorders>
              <w:top w:val="nil"/>
              <w:left w:val="nil"/>
              <w:bottom w:val="single" w:sz="4" w:space="0" w:color="auto"/>
              <w:right w:val="single" w:sz="4" w:space="0" w:color="auto"/>
            </w:tcBorders>
            <w:shd w:val="clear" w:color="auto" w:fill="auto"/>
            <w:noWrap/>
            <w:vAlign w:val="center"/>
            <w:hideMark/>
          </w:tcPr>
          <w:p w14:paraId="2B0ABDC8"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Coke (Spain)</w:t>
            </w:r>
          </w:p>
        </w:tc>
        <w:tc>
          <w:tcPr>
            <w:tcW w:w="1055" w:type="dxa"/>
            <w:tcBorders>
              <w:top w:val="nil"/>
              <w:left w:val="nil"/>
              <w:bottom w:val="single" w:sz="4" w:space="0" w:color="auto"/>
              <w:right w:val="single" w:sz="4" w:space="0" w:color="auto"/>
            </w:tcBorders>
            <w:shd w:val="clear" w:color="auto" w:fill="auto"/>
            <w:noWrap/>
            <w:vAlign w:val="bottom"/>
          </w:tcPr>
          <w:p w14:paraId="561F6876" w14:textId="4D3A108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006" w:type="dxa"/>
            <w:tcBorders>
              <w:top w:val="nil"/>
              <w:left w:val="nil"/>
              <w:bottom w:val="single" w:sz="4" w:space="0" w:color="auto"/>
              <w:right w:val="single" w:sz="4" w:space="0" w:color="auto"/>
            </w:tcBorders>
            <w:shd w:val="clear" w:color="auto" w:fill="auto"/>
            <w:noWrap/>
            <w:vAlign w:val="bottom"/>
          </w:tcPr>
          <w:p w14:paraId="0DF769A9" w14:textId="54E6E65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335" w:type="dxa"/>
            <w:tcBorders>
              <w:top w:val="nil"/>
              <w:left w:val="nil"/>
              <w:bottom w:val="single" w:sz="4" w:space="0" w:color="auto"/>
              <w:right w:val="single" w:sz="4" w:space="0" w:color="auto"/>
            </w:tcBorders>
            <w:shd w:val="clear" w:color="auto" w:fill="auto"/>
            <w:noWrap/>
            <w:vAlign w:val="bottom"/>
          </w:tcPr>
          <w:p w14:paraId="679D365C" w14:textId="0BD9145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31" w:type="dxa"/>
            <w:tcBorders>
              <w:top w:val="nil"/>
              <w:left w:val="nil"/>
              <w:bottom w:val="single" w:sz="4" w:space="0" w:color="auto"/>
              <w:right w:val="single" w:sz="4" w:space="0" w:color="auto"/>
            </w:tcBorders>
            <w:shd w:val="clear" w:color="auto" w:fill="auto"/>
            <w:noWrap/>
            <w:vAlign w:val="bottom"/>
          </w:tcPr>
          <w:p w14:paraId="153B4995" w14:textId="3757F6C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1E828AA9" w14:textId="51328C6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&gt;400</w:t>
            </w:r>
          </w:p>
        </w:tc>
        <w:tc>
          <w:tcPr>
            <w:tcW w:w="1134" w:type="dxa"/>
            <w:tcBorders>
              <w:top w:val="nil"/>
              <w:left w:val="nil"/>
              <w:bottom w:val="single" w:sz="4" w:space="0" w:color="auto"/>
              <w:right w:val="single" w:sz="4" w:space="0" w:color="auto"/>
            </w:tcBorders>
            <w:shd w:val="clear" w:color="auto" w:fill="auto"/>
            <w:noWrap/>
            <w:vAlign w:val="bottom"/>
          </w:tcPr>
          <w:p w14:paraId="110E2B59" w14:textId="45B6ACD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7A1A06A" w14:textId="0C11D77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19798D6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1A9EA944" w14:textId="7C170075"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[28]</w:t>
            </w:r>
            <w:r w:rsidRPr="005A7A0A">
              <w:rPr>
                <w:color w:val="auto"/>
                <w:sz w:val="18"/>
                <w:szCs w:val="18"/>
                <w:lang w:eastAsia="en-GB" w:bidi="ar-SA"/>
              </w:rPr>
              <w:fldChar w:fldCharType="end"/>
            </w:r>
          </w:p>
        </w:tc>
      </w:tr>
      <w:tr w:rsidR="005A7A0A" w:rsidRPr="005A7A0A" w14:paraId="2979B674" w14:textId="050A63AB"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0744349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109</w:t>
            </w:r>
          </w:p>
        </w:tc>
        <w:tc>
          <w:tcPr>
            <w:tcW w:w="4204" w:type="dxa"/>
            <w:tcBorders>
              <w:top w:val="nil"/>
              <w:left w:val="nil"/>
              <w:bottom w:val="single" w:sz="4" w:space="0" w:color="auto"/>
              <w:right w:val="single" w:sz="4" w:space="0" w:color="auto"/>
            </w:tcBorders>
            <w:shd w:val="clear" w:color="auto" w:fill="auto"/>
            <w:noWrap/>
            <w:vAlign w:val="center"/>
            <w:hideMark/>
          </w:tcPr>
          <w:p w14:paraId="5EA1F3E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Lignite</w:t>
            </w:r>
          </w:p>
        </w:tc>
        <w:tc>
          <w:tcPr>
            <w:tcW w:w="1055" w:type="dxa"/>
            <w:tcBorders>
              <w:top w:val="nil"/>
              <w:left w:val="nil"/>
              <w:bottom w:val="single" w:sz="4" w:space="0" w:color="auto"/>
              <w:right w:val="single" w:sz="4" w:space="0" w:color="auto"/>
            </w:tcBorders>
            <w:shd w:val="clear" w:color="auto" w:fill="auto"/>
            <w:noWrap/>
            <w:vAlign w:val="bottom"/>
          </w:tcPr>
          <w:p w14:paraId="06177CA1" w14:textId="6ACC9B9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7.8</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4E14E270" w14:textId="585EDC5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146.0</w:t>
            </w:r>
          </w:p>
        </w:tc>
        <w:tc>
          <w:tcPr>
            <w:tcW w:w="1335" w:type="dxa"/>
            <w:tcBorders>
              <w:top w:val="nil"/>
              <w:left w:val="nil"/>
              <w:bottom w:val="single" w:sz="4" w:space="0" w:color="auto"/>
              <w:right w:val="single" w:sz="4" w:space="0" w:color="auto"/>
            </w:tcBorders>
            <w:shd w:val="clear" w:color="auto" w:fill="auto"/>
            <w:noWrap/>
            <w:vAlign w:val="bottom"/>
          </w:tcPr>
          <w:p w14:paraId="123FB423" w14:textId="4863464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537.9</w:t>
            </w:r>
          </w:p>
        </w:tc>
        <w:tc>
          <w:tcPr>
            <w:tcW w:w="931" w:type="dxa"/>
            <w:tcBorders>
              <w:top w:val="nil"/>
              <w:left w:val="nil"/>
              <w:bottom w:val="single" w:sz="4" w:space="0" w:color="auto"/>
              <w:right w:val="single" w:sz="4" w:space="0" w:color="auto"/>
            </w:tcBorders>
            <w:shd w:val="clear" w:color="auto" w:fill="auto"/>
            <w:noWrap/>
            <w:vAlign w:val="bottom"/>
          </w:tcPr>
          <w:p w14:paraId="30EE6733" w14:textId="5E98A8A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4F9EA1E" w14:textId="721C0C4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2974B87" w14:textId="2AD8CA5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41395096" w14:textId="59D6C81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3B9352D7"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61FA449D" w14:textId="6733716D"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{"citationItems":[{"id":"ITEM-1","itemData":{"DOI":"10.1016/j.jlp.2017.02.010","ISSN":"0950-4230","abstract":"The rate of pressure rise (KSt) of explosion reactions in dust/air mixtures under atmospheric conditions is an important safety parameter for describing the kinetics of explosions. The value is used during the planning of protective measures like pressure release or suppression systems. The KSt is not a value inherent to the substance, since it varies according to the shape of the test apparatus, ignition energy, time delay, and dispersion system, which all affects the degree of turbulence. Keeping these boundary conditions constant the KSt is determined essentially by the chemical properties of the dust and its reactive surface area. 3–4 fractions differing in particle size distribution between 7 μm and 400 μm and in related specific surface area were produced from four carbonaceous dusts (activated charcoal, polyethylene, lignite and sucrose), and the Kst values of the fractions were determined by experimentation. The experimental results were classified into four stages depending upon the suitable surface concentrations and the different processes involved. The stage in which dp/dt changes in surface concentration are most intense comply best with the Arrhenius equation. As a function of the specific geometric surface area, the Kst value characterizes the chemical reactivity of the substance clearly and permits extrapolation to other particle size distributions.","author":[{"dropping-particle":"","family":"Stahmer","given":"Klaus-Werner","non-dropping-particle":"","parse-names":false,"suffix":""},{"dropping-particle":"","family":"Gerhold","given":"Malte","non-dropping-particle":"","parse-names":false,"suffix":""}],"container-title":"Journal of Loss Prevention in the Process Industries","id":"ITEM-1","issued":{"date-parts":[["2017"]]},"page":"177-184","title":"Study of the explosion reactions of sucrose, activated charcoal, polyethylene and lignite Part 1: Effect of variation in particle surface area upon explosion reaction","type":"article-journal","volume":"46"},"uris":["http://www.mendeley.com/documents/?uuid=3ab41729-6f7b-4213-bd58-ae9bbc56f418"]}],"mendeley":{"formattedCitation":"[152]","plainTextFormattedCitation":"[152]","previouslyFormattedCitation":"[152]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[152]</w:t>
            </w:r>
            <w:r w:rsidRPr="005A7A0A">
              <w:rPr>
                <w:color w:val="auto"/>
                <w:sz w:val="18"/>
                <w:szCs w:val="18"/>
                <w:lang w:eastAsia="en-GB" w:bidi="ar-SA"/>
              </w:rPr>
              <w:fldChar w:fldCharType="end"/>
            </w:r>
          </w:p>
        </w:tc>
      </w:tr>
      <w:tr w:rsidR="005A7A0A" w:rsidRPr="005A7A0A" w14:paraId="6F177915" w14:textId="26921664"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3D59551C"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110</w:t>
            </w:r>
          </w:p>
        </w:tc>
        <w:tc>
          <w:tcPr>
            <w:tcW w:w="4204" w:type="dxa"/>
            <w:tcBorders>
              <w:top w:val="nil"/>
              <w:left w:val="nil"/>
              <w:bottom w:val="single" w:sz="4" w:space="0" w:color="auto"/>
              <w:right w:val="single" w:sz="4" w:space="0" w:color="auto"/>
            </w:tcBorders>
            <w:shd w:val="clear" w:color="auto" w:fill="auto"/>
            <w:noWrap/>
            <w:vAlign w:val="center"/>
            <w:hideMark/>
          </w:tcPr>
          <w:p w14:paraId="2722EC43"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Lignite</w:t>
            </w:r>
          </w:p>
        </w:tc>
        <w:tc>
          <w:tcPr>
            <w:tcW w:w="1055" w:type="dxa"/>
            <w:tcBorders>
              <w:top w:val="nil"/>
              <w:left w:val="nil"/>
              <w:bottom w:val="single" w:sz="4" w:space="0" w:color="auto"/>
              <w:right w:val="single" w:sz="4" w:space="0" w:color="auto"/>
            </w:tcBorders>
            <w:shd w:val="clear" w:color="auto" w:fill="auto"/>
            <w:noWrap/>
            <w:vAlign w:val="bottom"/>
          </w:tcPr>
          <w:p w14:paraId="01CE9F0F" w14:textId="7744F12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7.9</w:t>
            </w:r>
            <w:r w:rsidRPr="005A7A0A">
              <w:rPr>
                <w:color w:val="auto"/>
                <w:vertAlign w:val="superscript"/>
              </w:rPr>
              <w:t xml:space="preserve"> </w:t>
            </w:r>
            <w:r w:rsidR="00DC6265" w:rsidRPr="005A7A0A">
              <w:rPr>
                <w:color w:val="auto"/>
                <w:vertAlign w:val="superscript"/>
              </w:rPr>
              <w:t>b</w:t>
            </w:r>
          </w:p>
        </w:tc>
        <w:tc>
          <w:tcPr>
            <w:tcW w:w="1006" w:type="dxa"/>
            <w:tcBorders>
              <w:top w:val="nil"/>
              <w:left w:val="nil"/>
              <w:bottom w:val="single" w:sz="4" w:space="0" w:color="auto"/>
              <w:right w:val="single" w:sz="4" w:space="0" w:color="auto"/>
            </w:tcBorders>
            <w:shd w:val="clear" w:color="auto" w:fill="auto"/>
            <w:noWrap/>
            <w:vAlign w:val="bottom"/>
          </w:tcPr>
          <w:p w14:paraId="6EB8B852" w14:textId="5C25667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165.0</w:t>
            </w:r>
          </w:p>
        </w:tc>
        <w:tc>
          <w:tcPr>
            <w:tcW w:w="1335" w:type="dxa"/>
            <w:tcBorders>
              <w:top w:val="nil"/>
              <w:left w:val="nil"/>
              <w:bottom w:val="single" w:sz="4" w:space="0" w:color="auto"/>
              <w:right w:val="single" w:sz="4" w:space="0" w:color="auto"/>
            </w:tcBorders>
            <w:shd w:val="clear" w:color="auto" w:fill="auto"/>
            <w:noWrap/>
            <w:vAlign w:val="bottom"/>
          </w:tcPr>
          <w:p w14:paraId="3F8412A2" w14:textId="6BE3ADF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607.9</w:t>
            </w:r>
          </w:p>
        </w:tc>
        <w:tc>
          <w:tcPr>
            <w:tcW w:w="931" w:type="dxa"/>
            <w:tcBorders>
              <w:top w:val="nil"/>
              <w:left w:val="nil"/>
              <w:bottom w:val="single" w:sz="4" w:space="0" w:color="auto"/>
              <w:right w:val="single" w:sz="4" w:space="0" w:color="auto"/>
            </w:tcBorders>
            <w:shd w:val="clear" w:color="auto" w:fill="auto"/>
            <w:noWrap/>
            <w:vAlign w:val="bottom"/>
          </w:tcPr>
          <w:p w14:paraId="48CBB089" w14:textId="4C8DDD6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49404FE3" w14:textId="063FBB3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3458251" w14:textId="063A09F5"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5CA548DF" w14:textId="7B9CB31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63DB5E1E"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0201E5B2" w14:textId="1DDDDFB1"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{"citationItems":[{"id":"ITEM-1","itemData":{"DOI":"10.1016/j.jlp.2017.02.010","ISSN":"0950-4230","abstract":"The rate of pressure rise (KSt) of explosion reactions in dust/air mixtures under atmospheric conditions is an important safety parameter for describing the kinetics of explosions. The value is used during the planning of protective measures like pressure release or suppression systems. The KSt is not a value inherent to the substance, since it varies according to the shape of the test apparatus, ignition energy, time delay, and dispersion system, which all affects the degree of turbulence. Keeping these boundary conditions constant the KSt is determined essentially by the chemical properties of the dust and its reactive surface area. 3–4 fractions differing in particle size distribution between 7 μm and 400 μm and in related specific surface area were produced from four carbonaceous dusts (activated charcoal, polyethylene, lignite and sucrose), and the Kst values of the fractions were determined by experimentation. The experimental results were classified into four stages depending upon the suitable surface concentrations and the different processes involved. The stage in which dp/dt changes in surface concentration are most intense comply best with the Arrhenius equation. As a function of the specific geometric surface area, the Kst value characterizes the chemical reactivity of the substance clearly and permits extrapolation to other particle size distributions.","author":[{"dropping-particle":"","family":"Stahmer","given":"Klaus-Werner","non-dropping-particle":"","parse-names":false,"suffix":""},{"dropping-particle":"","family":"Gerhold","given":"Malte","non-dropping-particle":"","parse-names":false,"suffix":""}],"container-title":"Journal of Loss Prevention in the Process Industries","id":"ITEM-1","issued":{"date-parts":[["2017"]]},"page":"177-184","title":"Study of the explosion reactions of sucrose, activated charcoal, polyethylene and lignite Part 1: Effect of variation in particle surface area upon explosion reaction","type":"article-journal","volume":"46"},"uris":["http://www.mendeley.com/documents/?uuid=3ab41729-6f7b-4213-bd58-ae9bbc56f418"]}],"mendeley":{"formattedCitation":"[152]","plainTextFormattedCitation":"[152]","previouslyFormattedCitation":"[152]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[152]</w:t>
            </w:r>
            <w:r w:rsidRPr="005A7A0A">
              <w:rPr>
                <w:color w:val="auto"/>
                <w:sz w:val="18"/>
                <w:szCs w:val="18"/>
                <w:lang w:eastAsia="en-GB" w:bidi="ar-SA"/>
              </w:rPr>
              <w:fldChar w:fldCharType="end"/>
            </w:r>
          </w:p>
        </w:tc>
      </w:tr>
      <w:tr w:rsidR="005A7A0A" w:rsidRPr="005A7A0A" w14:paraId="4DEF7BB8" w14:textId="22B7495D"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28D1356"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lastRenderedPageBreak/>
              <w:t>111</w:t>
            </w:r>
          </w:p>
        </w:tc>
        <w:tc>
          <w:tcPr>
            <w:tcW w:w="4204" w:type="dxa"/>
            <w:tcBorders>
              <w:top w:val="nil"/>
              <w:left w:val="nil"/>
              <w:bottom w:val="single" w:sz="4" w:space="0" w:color="auto"/>
              <w:right w:val="single" w:sz="4" w:space="0" w:color="auto"/>
            </w:tcBorders>
            <w:shd w:val="clear" w:color="auto" w:fill="auto"/>
            <w:noWrap/>
            <w:vAlign w:val="center"/>
            <w:hideMark/>
          </w:tcPr>
          <w:p w14:paraId="292BBC0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Lignite</w:t>
            </w:r>
          </w:p>
        </w:tc>
        <w:tc>
          <w:tcPr>
            <w:tcW w:w="1055" w:type="dxa"/>
            <w:tcBorders>
              <w:top w:val="nil"/>
              <w:left w:val="nil"/>
              <w:bottom w:val="single" w:sz="4" w:space="0" w:color="auto"/>
              <w:right w:val="single" w:sz="4" w:space="0" w:color="auto"/>
            </w:tcBorders>
            <w:shd w:val="clear" w:color="auto" w:fill="auto"/>
            <w:noWrap/>
            <w:vAlign w:val="bottom"/>
          </w:tcPr>
          <w:p w14:paraId="0DDA61FF" w14:textId="1260FE5A"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8.2</w:t>
            </w:r>
          </w:p>
        </w:tc>
        <w:tc>
          <w:tcPr>
            <w:tcW w:w="1006" w:type="dxa"/>
            <w:tcBorders>
              <w:top w:val="nil"/>
              <w:left w:val="nil"/>
              <w:bottom w:val="single" w:sz="4" w:space="0" w:color="auto"/>
              <w:right w:val="single" w:sz="4" w:space="0" w:color="auto"/>
            </w:tcBorders>
            <w:shd w:val="clear" w:color="auto" w:fill="auto"/>
            <w:noWrap/>
            <w:vAlign w:val="bottom"/>
          </w:tcPr>
          <w:p w14:paraId="0DEE1F40" w14:textId="656F449B"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142.0</w:t>
            </w:r>
          </w:p>
        </w:tc>
        <w:tc>
          <w:tcPr>
            <w:tcW w:w="1335" w:type="dxa"/>
            <w:tcBorders>
              <w:top w:val="nil"/>
              <w:left w:val="nil"/>
              <w:bottom w:val="single" w:sz="4" w:space="0" w:color="auto"/>
              <w:right w:val="single" w:sz="4" w:space="0" w:color="auto"/>
            </w:tcBorders>
            <w:shd w:val="clear" w:color="auto" w:fill="auto"/>
            <w:noWrap/>
            <w:vAlign w:val="bottom"/>
          </w:tcPr>
          <w:p w14:paraId="033182CA" w14:textId="5CC0D16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523.1</w:t>
            </w:r>
          </w:p>
        </w:tc>
        <w:tc>
          <w:tcPr>
            <w:tcW w:w="931" w:type="dxa"/>
            <w:tcBorders>
              <w:top w:val="nil"/>
              <w:left w:val="nil"/>
              <w:bottom w:val="single" w:sz="4" w:space="0" w:color="auto"/>
              <w:right w:val="single" w:sz="4" w:space="0" w:color="auto"/>
            </w:tcBorders>
            <w:shd w:val="clear" w:color="auto" w:fill="auto"/>
            <w:noWrap/>
            <w:vAlign w:val="bottom"/>
          </w:tcPr>
          <w:p w14:paraId="1D733D20" w14:textId="4DFF5F41"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992" w:type="dxa"/>
            <w:tcBorders>
              <w:top w:val="nil"/>
              <w:left w:val="nil"/>
              <w:bottom w:val="single" w:sz="4" w:space="0" w:color="auto"/>
              <w:right w:val="single" w:sz="4" w:space="0" w:color="auto"/>
            </w:tcBorders>
            <w:shd w:val="clear" w:color="auto" w:fill="auto"/>
            <w:noWrap/>
            <w:vAlign w:val="bottom"/>
          </w:tcPr>
          <w:p w14:paraId="68FCC1E0" w14:textId="762D911E"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1134" w:type="dxa"/>
            <w:tcBorders>
              <w:top w:val="nil"/>
              <w:left w:val="nil"/>
              <w:bottom w:val="single" w:sz="4" w:space="0" w:color="auto"/>
              <w:right w:val="single" w:sz="4" w:space="0" w:color="auto"/>
            </w:tcBorders>
            <w:shd w:val="clear" w:color="auto" w:fill="auto"/>
            <w:noWrap/>
            <w:vAlign w:val="bottom"/>
          </w:tcPr>
          <w:p w14:paraId="43A6A9A2" w14:textId="24F4806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851" w:type="dxa"/>
            <w:tcBorders>
              <w:top w:val="nil"/>
              <w:left w:val="nil"/>
              <w:bottom w:val="single" w:sz="4" w:space="0" w:color="auto"/>
              <w:right w:val="single" w:sz="4" w:space="0" w:color="auto"/>
            </w:tcBorders>
            <w:shd w:val="clear" w:color="auto" w:fill="auto"/>
            <w:noWrap/>
            <w:vAlign w:val="bottom"/>
          </w:tcPr>
          <w:p w14:paraId="6BC67DF8" w14:textId="52EE0E4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 </w:t>
            </w:r>
          </w:p>
        </w:tc>
        <w:tc>
          <w:tcPr>
            <w:tcW w:w="709" w:type="dxa"/>
            <w:tcBorders>
              <w:top w:val="single" w:sz="4" w:space="0" w:color="auto"/>
              <w:left w:val="nil"/>
              <w:bottom w:val="single" w:sz="4" w:space="0" w:color="auto"/>
              <w:right w:val="single" w:sz="4" w:space="0" w:color="auto"/>
            </w:tcBorders>
            <w:vAlign w:val="bottom"/>
          </w:tcPr>
          <w:p w14:paraId="04B54178" w14:textId="77777777" w:rsidR="00AF5FF8" w:rsidRPr="005A7A0A" w:rsidRDefault="00AF5FF8" w:rsidP="00845E0C">
            <w:pPr>
              <w:adjustRightInd/>
              <w:snapToGrid/>
              <w:spacing w:line="240" w:lineRule="auto"/>
              <w:jc w:val="center"/>
              <w:rPr>
                <w:color w:val="auto"/>
                <w:sz w:val="18"/>
                <w:szCs w:val="18"/>
                <w:lang w:eastAsia="en-GB" w:bidi="ar-SA"/>
              </w:rPr>
            </w:pPr>
          </w:p>
        </w:tc>
        <w:tc>
          <w:tcPr>
            <w:tcW w:w="992" w:type="dxa"/>
            <w:tcBorders>
              <w:top w:val="single" w:sz="4" w:space="0" w:color="auto"/>
              <w:left w:val="single" w:sz="4" w:space="0" w:color="auto"/>
              <w:bottom w:val="single" w:sz="4" w:space="0" w:color="auto"/>
              <w:right w:val="single" w:sz="4" w:space="0" w:color="auto"/>
            </w:tcBorders>
            <w:vAlign w:val="bottom"/>
          </w:tcPr>
          <w:p w14:paraId="36B5B417" w14:textId="71B69669"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{"citationItems":[{"id":"ITEM-1","itemData":{"DOI":"10.1016/j.jlp.2017.02.010","ISSN":"0950-4230","abstract":"The rate of pressure rise (KSt) of explosion reactions in dust/air mixtures under atmospheric conditions is an important safety parameter for describing the kinetics of explosions. The value is used during the planning of protective measures like pressure release or suppression systems. The KSt is not a value inherent to the substance, since it varies according to the shape of the test apparatus, ignition energy, time delay, and dispersion system, which all affects the degree of turbulence. Keeping these boundary conditions constant the KSt is determined essentially by the chemical properties of the dust and its reactive surface area. 3–4 fractions differing in particle size distribution between 7 μm and 400 μm and in related specific surface area were produced from four carbonaceous dusts (activated charcoal, polyethylene, lignite and sucrose), and the Kst values of the fractions were determined by experimentation. The experimental results were classified into four stages depending upon the suitable surface concentrations and the different processes involved. The stage in which dp/dt changes in surface concentration are most intense comply best with the Arrhenius equation. As a function of the specific geometric surface area, the Kst value characterizes the chemical reactivity of the substance clearly and permits extrapolation to other particle size distributions.","author":[{"dropping-particle":"","family":"Stahmer","given":"Klaus-Werner","non-dropping-particle":"","parse-names":false,"suffix":""},{"dropping-particle":"","family":"Gerhold","given":"Malte","non-dropping-particle":"","parse-names":false,"suffix":""}],"container-title":"Journal of Loss Prevention in the Process Industries","id":"ITEM-1","issued":{"date-parts":[["2017"]]},"page":"177-184","title":"Study of the explosion reactions of sucrose, activated charcoal, polyethylene and lignite Part 1: Effect of variation in particle surface area upon explosion reaction","type":"article-journal","volume":"46"},"uris":["http://www.mendeley.com/documents/?uuid=3ab41729-6f7b-4213-bd58-ae9bbc56f418"]}],"mendeley":{"formattedCitation":"[152]","plainTextFormattedCitation":"[152]","previouslyFormattedCitation":"[152]"},"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[152]</w:t>
            </w:r>
            <w:r w:rsidRPr="005A7A0A">
              <w:rPr>
                <w:color w:val="auto"/>
                <w:sz w:val="18"/>
                <w:szCs w:val="18"/>
                <w:lang w:eastAsia="en-GB" w:bidi="ar-SA"/>
              </w:rPr>
              <w:fldChar w:fldCharType="end"/>
            </w:r>
          </w:p>
        </w:tc>
      </w:tr>
      <w:tr w:rsidR="005A7A0A" w:rsidRPr="005A7A0A" w14:paraId="1526FA60" w14:textId="75D3F531"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776A2785"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112</w:t>
            </w:r>
          </w:p>
        </w:tc>
        <w:tc>
          <w:tcPr>
            <w:tcW w:w="4204" w:type="dxa"/>
            <w:tcBorders>
              <w:top w:val="nil"/>
              <w:left w:val="nil"/>
              <w:bottom w:val="single" w:sz="4" w:space="0" w:color="auto"/>
              <w:right w:val="single" w:sz="4" w:space="0" w:color="auto"/>
            </w:tcBorders>
            <w:shd w:val="clear" w:color="auto" w:fill="auto"/>
            <w:noWrap/>
            <w:vAlign w:val="center"/>
            <w:hideMark/>
          </w:tcPr>
          <w:p w14:paraId="3E7B05D0"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Lignite (Germany)</w:t>
            </w:r>
          </w:p>
        </w:tc>
        <w:tc>
          <w:tcPr>
            <w:tcW w:w="1055" w:type="dxa"/>
            <w:tcBorders>
              <w:top w:val="nil"/>
              <w:left w:val="nil"/>
              <w:bottom w:val="single" w:sz="4" w:space="0" w:color="auto"/>
              <w:right w:val="single" w:sz="4" w:space="0" w:color="auto"/>
            </w:tcBorders>
            <w:shd w:val="clear" w:color="auto" w:fill="auto"/>
            <w:noWrap/>
            <w:vAlign w:val="bottom"/>
          </w:tcPr>
          <w:p w14:paraId="109AD701" w14:textId="6FE2467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7.7</w:t>
            </w:r>
          </w:p>
        </w:tc>
        <w:tc>
          <w:tcPr>
            <w:tcW w:w="1006" w:type="dxa"/>
            <w:tcBorders>
              <w:top w:val="nil"/>
              <w:left w:val="nil"/>
              <w:bottom w:val="single" w:sz="4" w:space="0" w:color="auto"/>
              <w:right w:val="single" w:sz="4" w:space="0" w:color="auto"/>
            </w:tcBorders>
            <w:shd w:val="clear" w:color="auto" w:fill="auto"/>
            <w:noWrap/>
            <w:vAlign w:val="bottom"/>
          </w:tcPr>
          <w:p w14:paraId="1F36FE0F" w14:textId="47ED2A03"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105.0</w:t>
            </w:r>
          </w:p>
        </w:tc>
        <w:tc>
          <w:tcPr>
            <w:tcW w:w="1335" w:type="dxa"/>
            <w:tcBorders>
              <w:top w:val="nil"/>
              <w:left w:val="nil"/>
              <w:bottom w:val="single" w:sz="4" w:space="0" w:color="auto"/>
              <w:right w:val="single" w:sz="4" w:space="0" w:color="auto"/>
            </w:tcBorders>
            <w:shd w:val="clear" w:color="auto" w:fill="auto"/>
            <w:noWrap/>
            <w:vAlign w:val="bottom"/>
          </w:tcPr>
          <w:p w14:paraId="1BBD3DDF" w14:textId="4EFDF83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386.8</w:t>
            </w:r>
          </w:p>
        </w:tc>
        <w:tc>
          <w:tcPr>
            <w:tcW w:w="931" w:type="dxa"/>
            <w:tcBorders>
              <w:top w:val="nil"/>
              <w:left w:val="nil"/>
              <w:bottom w:val="single" w:sz="4" w:space="0" w:color="auto"/>
              <w:right w:val="single" w:sz="4" w:space="0" w:color="auto"/>
            </w:tcBorders>
            <w:shd w:val="clear" w:color="auto" w:fill="auto"/>
            <w:noWrap/>
            <w:vAlign w:val="bottom"/>
          </w:tcPr>
          <w:p w14:paraId="45FB653C" w14:textId="1B391C9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30</w:t>
            </w:r>
          </w:p>
        </w:tc>
        <w:tc>
          <w:tcPr>
            <w:tcW w:w="992" w:type="dxa"/>
            <w:tcBorders>
              <w:top w:val="nil"/>
              <w:left w:val="nil"/>
              <w:bottom w:val="single" w:sz="4" w:space="0" w:color="auto"/>
              <w:right w:val="single" w:sz="4" w:space="0" w:color="auto"/>
            </w:tcBorders>
            <w:shd w:val="clear" w:color="auto" w:fill="auto"/>
            <w:noWrap/>
            <w:vAlign w:val="bottom"/>
          </w:tcPr>
          <w:p w14:paraId="586784BD" w14:textId="27BE255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230</w:t>
            </w:r>
          </w:p>
        </w:tc>
        <w:tc>
          <w:tcPr>
            <w:tcW w:w="1134" w:type="dxa"/>
            <w:tcBorders>
              <w:top w:val="nil"/>
              <w:left w:val="nil"/>
              <w:bottom w:val="single" w:sz="4" w:space="0" w:color="auto"/>
              <w:right w:val="single" w:sz="4" w:space="0" w:color="auto"/>
            </w:tcBorders>
            <w:shd w:val="clear" w:color="auto" w:fill="auto"/>
            <w:noWrap/>
            <w:vAlign w:val="bottom"/>
          </w:tcPr>
          <w:p w14:paraId="165C2D9D" w14:textId="68B14774"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w:t>
            </w:r>
          </w:p>
        </w:tc>
        <w:tc>
          <w:tcPr>
            <w:tcW w:w="851" w:type="dxa"/>
            <w:tcBorders>
              <w:top w:val="nil"/>
              <w:left w:val="nil"/>
              <w:bottom w:val="single" w:sz="4" w:space="0" w:color="auto"/>
              <w:right w:val="single" w:sz="4" w:space="0" w:color="auto"/>
            </w:tcBorders>
            <w:shd w:val="clear" w:color="auto" w:fill="auto"/>
            <w:noWrap/>
            <w:vAlign w:val="bottom"/>
          </w:tcPr>
          <w:p w14:paraId="694EA98A" w14:textId="740F2EB0"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60</w:t>
            </w:r>
          </w:p>
        </w:tc>
        <w:tc>
          <w:tcPr>
            <w:tcW w:w="709" w:type="dxa"/>
            <w:tcBorders>
              <w:top w:val="single" w:sz="4" w:space="0" w:color="auto"/>
              <w:left w:val="nil"/>
              <w:bottom w:val="single" w:sz="4" w:space="0" w:color="auto"/>
              <w:right w:val="single" w:sz="4" w:space="0" w:color="auto"/>
            </w:tcBorders>
            <w:vAlign w:val="bottom"/>
          </w:tcPr>
          <w:p w14:paraId="05C11D1C" w14:textId="16DFB3E1" w:rsidR="00AF5FF8" w:rsidRPr="005A7A0A" w:rsidRDefault="00386C99"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9.0</w:t>
            </w:r>
          </w:p>
        </w:tc>
        <w:tc>
          <w:tcPr>
            <w:tcW w:w="992" w:type="dxa"/>
            <w:tcBorders>
              <w:top w:val="single" w:sz="4" w:space="0" w:color="auto"/>
              <w:left w:val="single" w:sz="4" w:space="0" w:color="auto"/>
              <w:bottom w:val="single" w:sz="4" w:space="0" w:color="auto"/>
              <w:right w:val="single" w:sz="4" w:space="0" w:color="auto"/>
            </w:tcBorders>
            <w:vAlign w:val="bottom"/>
          </w:tcPr>
          <w:p w14:paraId="1E8D76DD" w14:textId="389D4DDE"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r w:rsidR="00AF5FF8" w:rsidRPr="005A7A0A" w14:paraId="3660499B" w14:textId="4162C663" w:rsidTr="00845E0C">
        <w:trPr>
          <w:trHeight w:val="27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14:paraId="135FF76A"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113</w:t>
            </w:r>
          </w:p>
        </w:tc>
        <w:tc>
          <w:tcPr>
            <w:tcW w:w="4204" w:type="dxa"/>
            <w:tcBorders>
              <w:top w:val="nil"/>
              <w:left w:val="nil"/>
              <w:bottom w:val="single" w:sz="4" w:space="0" w:color="auto"/>
              <w:right w:val="single" w:sz="4" w:space="0" w:color="auto"/>
            </w:tcBorders>
            <w:shd w:val="clear" w:color="auto" w:fill="auto"/>
            <w:noWrap/>
            <w:vAlign w:val="center"/>
            <w:hideMark/>
          </w:tcPr>
          <w:p w14:paraId="63A35C5F" w14:textId="77777777"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Lignite (Spain)</w:t>
            </w:r>
          </w:p>
        </w:tc>
        <w:tc>
          <w:tcPr>
            <w:tcW w:w="1055" w:type="dxa"/>
            <w:tcBorders>
              <w:top w:val="nil"/>
              <w:left w:val="nil"/>
              <w:bottom w:val="single" w:sz="4" w:space="0" w:color="auto"/>
              <w:right w:val="single" w:sz="4" w:space="0" w:color="auto"/>
            </w:tcBorders>
            <w:shd w:val="clear" w:color="auto" w:fill="auto"/>
            <w:noWrap/>
            <w:vAlign w:val="bottom"/>
          </w:tcPr>
          <w:p w14:paraId="0D1B9191" w14:textId="77D490FF"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7.8</w:t>
            </w:r>
          </w:p>
        </w:tc>
        <w:tc>
          <w:tcPr>
            <w:tcW w:w="1006" w:type="dxa"/>
            <w:tcBorders>
              <w:top w:val="nil"/>
              <w:left w:val="nil"/>
              <w:bottom w:val="single" w:sz="4" w:space="0" w:color="auto"/>
              <w:right w:val="single" w:sz="4" w:space="0" w:color="auto"/>
            </w:tcBorders>
            <w:shd w:val="clear" w:color="auto" w:fill="auto"/>
            <w:noWrap/>
            <w:vAlign w:val="bottom"/>
          </w:tcPr>
          <w:p w14:paraId="75AC0E1C" w14:textId="0A45E05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107.0</w:t>
            </w:r>
          </w:p>
        </w:tc>
        <w:tc>
          <w:tcPr>
            <w:tcW w:w="1335" w:type="dxa"/>
            <w:tcBorders>
              <w:top w:val="nil"/>
              <w:left w:val="nil"/>
              <w:bottom w:val="single" w:sz="4" w:space="0" w:color="auto"/>
              <w:right w:val="single" w:sz="4" w:space="0" w:color="auto"/>
            </w:tcBorders>
            <w:shd w:val="clear" w:color="auto" w:fill="auto"/>
            <w:noWrap/>
            <w:vAlign w:val="bottom"/>
          </w:tcPr>
          <w:p w14:paraId="64A64F57" w14:textId="08E04C68"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394.2</w:t>
            </w:r>
          </w:p>
        </w:tc>
        <w:tc>
          <w:tcPr>
            <w:tcW w:w="931" w:type="dxa"/>
            <w:tcBorders>
              <w:top w:val="nil"/>
              <w:left w:val="nil"/>
              <w:bottom w:val="single" w:sz="4" w:space="0" w:color="auto"/>
              <w:right w:val="single" w:sz="4" w:space="0" w:color="auto"/>
            </w:tcBorders>
            <w:shd w:val="clear" w:color="auto" w:fill="auto"/>
            <w:noWrap/>
            <w:vAlign w:val="bottom"/>
          </w:tcPr>
          <w:p w14:paraId="5B3EB085" w14:textId="693A5FDD"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420</w:t>
            </w:r>
          </w:p>
        </w:tc>
        <w:tc>
          <w:tcPr>
            <w:tcW w:w="992" w:type="dxa"/>
            <w:tcBorders>
              <w:top w:val="nil"/>
              <w:left w:val="nil"/>
              <w:bottom w:val="single" w:sz="4" w:space="0" w:color="auto"/>
              <w:right w:val="single" w:sz="4" w:space="0" w:color="auto"/>
            </w:tcBorders>
            <w:shd w:val="clear" w:color="auto" w:fill="auto"/>
            <w:noWrap/>
            <w:vAlign w:val="bottom"/>
          </w:tcPr>
          <w:p w14:paraId="0F06B815" w14:textId="6AED2E59"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240</w:t>
            </w:r>
          </w:p>
        </w:tc>
        <w:tc>
          <w:tcPr>
            <w:tcW w:w="1134" w:type="dxa"/>
            <w:tcBorders>
              <w:top w:val="nil"/>
              <w:left w:val="nil"/>
              <w:bottom w:val="single" w:sz="4" w:space="0" w:color="auto"/>
              <w:right w:val="single" w:sz="4" w:space="0" w:color="auto"/>
            </w:tcBorders>
            <w:shd w:val="clear" w:color="auto" w:fill="auto"/>
            <w:noWrap/>
            <w:vAlign w:val="bottom"/>
          </w:tcPr>
          <w:p w14:paraId="0FD0C856" w14:textId="3AF9944C"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400</w:t>
            </w:r>
          </w:p>
        </w:tc>
        <w:tc>
          <w:tcPr>
            <w:tcW w:w="851" w:type="dxa"/>
            <w:tcBorders>
              <w:top w:val="nil"/>
              <w:left w:val="nil"/>
              <w:bottom w:val="single" w:sz="4" w:space="0" w:color="auto"/>
              <w:right w:val="single" w:sz="4" w:space="0" w:color="auto"/>
            </w:tcBorders>
            <w:shd w:val="clear" w:color="auto" w:fill="auto"/>
            <w:noWrap/>
            <w:vAlign w:val="bottom"/>
          </w:tcPr>
          <w:p w14:paraId="57A24263" w14:textId="13BAF756" w:rsidR="00AF5FF8" w:rsidRPr="005A7A0A" w:rsidRDefault="00AF5FF8" w:rsidP="008C6428">
            <w:pPr>
              <w:adjustRightInd/>
              <w:snapToGrid/>
              <w:spacing w:line="240" w:lineRule="auto"/>
              <w:jc w:val="center"/>
              <w:rPr>
                <w:color w:val="auto"/>
                <w:sz w:val="18"/>
                <w:szCs w:val="18"/>
                <w:lang w:eastAsia="en-GB" w:bidi="ar-SA"/>
              </w:rPr>
            </w:pPr>
            <w:r w:rsidRPr="005A7A0A">
              <w:rPr>
                <w:color w:val="auto"/>
                <w:sz w:val="18"/>
                <w:szCs w:val="18"/>
                <w:lang w:eastAsia="en-GB" w:bidi="ar-SA"/>
              </w:rPr>
              <w:t>90</w:t>
            </w:r>
          </w:p>
        </w:tc>
        <w:tc>
          <w:tcPr>
            <w:tcW w:w="709" w:type="dxa"/>
            <w:tcBorders>
              <w:top w:val="single" w:sz="4" w:space="0" w:color="auto"/>
              <w:left w:val="nil"/>
              <w:bottom w:val="single" w:sz="4" w:space="0" w:color="auto"/>
              <w:right w:val="single" w:sz="4" w:space="0" w:color="auto"/>
            </w:tcBorders>
            <w:vAlign w:val="bottom"/>
          </w:tcPr>
          <w:p w14:paraId="2EAB4CD2" w14:textId="2A65C703" w:rsidR="00AF5FF8" w:rsidRPr="005A7A0A" w:rsidRDefault="00386C99"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t>8.0</w:t>
            </w:r>
          </w:p>
        </w:tc>
        <w:tc>
          <w:tcPr>
            <w:tcW w:w="992" w:type="dxa"/>
            <w:tcBorders>
              <w:top w:val="single" w:sz="4" w:space="0" w:color="auto"/>
              <w:left w:val="single" w:sz="4" w:space="0" w:color="auto"/>
              <w:bottom w:val="single" w:sz="4" w:space="0" w:color="auto"/>
              <w:right w:val="single" w:sz="4" w:space="0" w:color="auto"/>
            </w:tcBorders>
            <w:vAlign w:val="bottom"/>
          </w:tcPr>
          <w:p w14:paraId="778C6BCF" w14:textId="5C867E62" w:rsidR="00AF5FF8" w:rsidRPr="005A7A0A" w:rsidRDefault="00AF5FF8" w:rsidP="00845E0C">
            <w:pPr>
              <w:adjustRightInd/>
              <w:snapToGrid/>
              <w:spacing w:line="240" w:lineRule="auto"/>
              <w:jc w:val="center"/>
              <w:rPr>
                <w:color w:val="auto"/>
                <w:sz w:val="18"/>
                <w:szCs w:val="18"/>
                <w:lang w:eastAsia="en-GB" w:bidi="ar-SA"/>
              </w:rPr>
            </w:pPr>
            <w:r w:rsidRPr="005A7A0A">
              <w:rPr>
                <w:color w:val="auto"/>
                <w:sz w:val="18"/>
                <w:szCs w:val="18"/>
                <w:lang w:eastAsia="en-GB" w:bidi="ar-SA"/>
              </w:rPr>
              <w:fldChar w:fldCharType="begin" w:fldLock="1"/>
            </w:r>
            <w:r w:rsidRPr="005A7A0A">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5A7A0A">
              <w:rPr>
                <w:color w:val="auto"/>
                <w:sz w:val="18"/>
                <w:szCs w:val="18"/>
                <w:lang w:eastAsia="en-GB" w:bidi="ar-SA"/>
              </w:rPr>
              <w:fldChar w:fldCharType="separate"/>
            </w:r>
            <w:r w:rsidRPr="005A7A0A">
              <w:rPr>
                <w:noProof/>
                <w:color w:val="auto"/>
                <w:sz w:val="18"/>
                <w:szCs w:val="18"/>
                <w:lang w:eastAsia="en-GB" w:bidi="ar-SA"/>
              </w:rPr>
              <w:t>[17]</w:t>
            </w:r>
            <w:r w:rsidRPr="005A7A0A">
              <w:rPr>
                <w:color w:val="auto"/>
                <w:sz w:val="18"/>
                <w:szCs w:val="18"/>
                <w:lang w:eastAsia="en-GB" w:bidi="ar-SA"/>
              </w:rPr>
              <w:fldChar w:fldCharType="end"/>
            </w:r>
          </w:p>
        </w:tc>
      </w:tr>
    </w:tbl>
    <w:p w14:paraId="542A0691" w14:textId="7D23E87A" w:rsidR="00F60917" w:rsidRPr="005A7A0A" w:rsidRDefault="00F60917" w:rsidP="00744E5A">
      <w:pPr>
        <w:rPr>
          <w:color w:val="auto"/>
        </w:rPr>
      </w:pPr>
    </w:p>
    <w:p w14:paraId="43A59D40" w14:textId="5F47170C" w:rsidR="00325A41" w:rsidRPr="005A7A0A" w:rsidRDefault="00325A41" w:rsidP="006C4C4F">
      <w:pPr>
        <w:rPr>
          <w:color w:val="auto"/>
        </w:rPr>
      </w:pPr>
      <w:r w:rsidRPr="005A7A0A">
        <w:rPr>
          <w:color w:val="auto"/>
          <w:vertAlign w:val="superscript"/>
        </w:rPr>
        <w:t>a</w:t>
      </w:r>
      <w:r w:rsidR="00A16E29" w:rsidRPr="005A7A0A">
        <w:rPr>
          <w:color w:val="auto"/>
        </w:rPr>
        <w:t xml:space="preserve"> </w:t>
      </w:r>
      <w:r w:rsidR="00DC6265" w:rsidRPr="005A7A0A">
        <w:rPr>
          <w:color w:val="auto"/>
        </w:rPr>
        <w:t xml:space="preserve">The following units are used: </w:t>
      </w:r>
      <w:r w:rsidR="00DC6265" w:rsidRPr="005A7A0A">
        <w:rPr>
          <w:bCs/>
          <w:i/>
          <w:color w:val="auto"/>
          <w:sz w:val="18"/>
          <w:szCs w:val="18"/>
          <w:lang w:eastAsia="en-GB" w:bidi="ar-SA"/>
        </w:rPr>
        <w:t>P</w:t>
      </w:r>
      <w:r w:rsidR="00DC6265" w:rsidRPr="005A7A0A">
        <w:rPr>
          <w:bCs/>
          <w:i/>
          <w:color w:val="auto"/>
          <w:sz w:val="18"/>
          <w:szCs w:val="18"/>
          <w:vertAlign w:val="subscript"/>
          <w:lang w:eastAsia="en-GB" w:bidi="ar-SA"/>
        </w:rPr>
        <w:t>max</w:t>
      </w:r>
      <w:r w:rsidR="00DC6265" w:rsidRPr="005A7A0A">
        <w:rPr>
          <w:bCs/>
          <w:color w:val="auto"/>
          <w:sz w:val="18"/>
          <w:szCs w:val="18"/>
          <w:lang w:eastAsia="en-GB" w:bidi="ar-SA"/>
        </w:rPr>
        <w:t xml:space="preserve"> (bar(g)), </w:t>
      </w:r>
      <w:r w:rsidR="00DC6265" w:rsidRPr="005A7A0A">
        <w:rPr>
          <w:bCs/>
          <w:i/>
          <w:color w:val="auto"/>
          <w:sz w:val="18"/>
          <w:szCs w:val="18"/>
          <w:lang w:eastAsia="en-GB" w:bidi="ar-SA"/>
        </w:rPr>
        <w:t>K</w:t>
      </w:r>
      <w:r w:rsidR="00DC6265" w:rsidRPr="005A7A0A">
        <w:rPr>
          <w:bCs/>
          <w:i/>
          <w:color w:val="auto"/>
          <w:sz w:val="18"/>
          <w:szCs w:val="18"/>
          <w:vertAlign w:val="subscript"/>
          <w:lang w:eastAsia="en-GB" w:bidi="ar-SA"/>
        </w:rPr>
        <w:t>St</w:t>
      </w:r>
      <w:r w:rsidR="00DC6265" w:rsidRPr="005A7A0A">
        <w:rPr>
          <w:bCs/>
          <w:color w:val="auto"/>
          <w:sz w:val="18"/>
          <w:szCs w:val="18"/>
          <w:lang w:eastAsia="en-GB" w:bidi="ar-SA"/>
        </w:rPr>
        <w:t xml:space="preserve"> (bar·m/s), </w:t>
      </w:r>
      <w:r w:rsidR="00DC6265" w:rsidRPr="005A7A0A">
        <w:rPr>
          <w:bCs/>
          <w:i/>
          <w:color w:val="auto"/>
          <w:sz w:val="18"/>
          <w:szCs w:val="18"/>
          <w:lang w:eastAsia="en-GB" w:bidi="ar-SA"/>
        </w:rPr>
        <w:t>dP/dt</w:t>
      </w:r>
      <w:r w:rsidR="00DC6265" w:rsidRPr="005A7A0A">
        <w:rPr>
          <w:bCs/>
          <w:i/>
          <w:color w:val="auto"/>
          <w:sz w:val="18"/>
          <w:szCs w:val="18"/>
          <w:vertAlign w:val="subscript"/>
          <w:lang w:eastAsia="en-GB" w:bidi="ar-SA"/>
        </w:rPr>
        <w:t>max</w:t>
      </w:r>
      <w:r w:rsidR="00DC6265" w:rsidRPr="005A7A0A">
        <w:rPr>
          <w:bCs/>
          <w:color w:val="auto"/>
          <w:sz w:val="18"/>
          <w:szCs w:val="18"/>
          <w:lang w:eastAsia="en-GB" w:bidi="ar-SA"/>
        </w:rPr>
        <w:t xml:space="preserve"> (bar/s), MIE (mJ), MIT</w:t>
      </w:r>
      <w:r w:rsidR="00DC6265" w:rsidRPr="005A7A0A">
        <w:rPr>
          <w:bCs/>
          <w:color w:val="auto"/>
          <w:sz w:val="18"/>
          <w:szCs w:val="18"/>
          <w:vertAlign w:val="subscript"/>
          <w:lang w:eastAsia="en-GB" w:bidi="ar-SA"/>
        </w:rPr>
        <w:t>l</w:t>
      </w:r>
      <w:r w:rsidR="00DC6265" w:rsidRPr="005A7A0A">
        <w:rPr>
          <w:bCs/>
          <w:color w:val="auto"/>
          <w:sz w:val="18"/>
          <w:szCs w:val="18"/>
          <w:lang w:eastAsia="en-GB" w:bidi="ar-SA"/>
        </w:rPr>
        <w:t xml:space="preserve"> (</w:t>
      </w:r>
      <w:r w:rsidR="006C4C4F" w:rsidRPr="005A7A0A">
        <w:rPr>
          <w:bCs/>
          <w:color w:val="auto"/>
          <w:sz w:val="18"/>
          <w:szCs w:val="18"/>
          <w:lang w:eastAsia="en-GB" w:bidi="ar-SA"/>
        </w:rPr>
        <w:t>ºC</w:t>
      </w:r>
      <w:r w:rsidR="00DC6265" w:rsidRPr="005A7A0A">
        <w:rPr>
          <w:bCs/>
          <w:color w:val="auto"/>
          <w:sz w:val="18"/>
          <w:szCs w:val="18"/>
          <w:lang w:eastAsia="en-GB" w:bidi="ar-SA"/>
        </w:rPr>
        <w:t>), MIT</w:t>
      </w:r>
      <w:r w:rsidR="00DC6265" w:rsidRPr="005A7A0A">
        <w:rPr>
          <w:bCs/>
          <w:color w:val="auto"/>
          <w:sz w:val="18"/>
          <w:szCs w:val="18"/>
          <w:vertAlign w:val="subscript"/>
          <w:lang w:eastAsia="en-GB" w:bidi="ar-SA"/>
        </w:rPr>
        <w:t>c</w:t>
      </w:r>
      <w:r w:rsidR="006C4C4F" w:rsidRPr="005A7A0A">
        <w:rPr>
          <w:bCs/>
          <w:color w:val="auto"/>
          <w:sz w:val="18"/>
          <w:szCs w:val="18"/>
          <w:lang w:eastAsia="en-GB" w:bidi="ar-SA"/>
        </w:rPr>
        <w:t xml:space="preserve"> (ºC), </w:t>
      </w:r>
      <w:r w:rsidR="00DC6265" w:rsidRPr="005A7A0A">
        <w:rPr>
          <w:bCs/>
          <w:color w:val="auto"/>
          <w:sz w:val="18"/>
          <w:szCs w:val="18"/>
          <w:lang w:eastAsia="en-GB" w:bidi="ar-SA"/>
        </w:rPr>
        <w:t>MEC</w:t>
      </w:r>
      <w:r w:rsidR="006C4C4F" w:rsidRPr="005A7A0A">
        <w:rPr>
          <w:bCs/>
          <w:color w:val="auto"/>
          <w:sz w:val="18"/>
          <w:szCs w:val="18"/>
          <w:lang w:eastAsia="en-GB" w:bidi="ar-SA"/>
        </w:rPr>
        <w:t xml:space="preserve"> (g/m</w:t>
      </w:r>
      <w:r w:rsidR="006C4C4F" w:rsidRPr="005A7A0A">
        <w:rPr>
          <w:bCs/>
          <w:color w:val="auto"/>
          <w:sz w:val="18"/>
          <w:szCs w:val="18"/>
          <w:vertAlign w:val="superscript"/>
          <w:lang w:eastAsia="en-GB" w:bidi="ar-SA"/>
        </w:rPr>
        <w:t>3</w:t>
      </w:r>
      <w:r w:rsidR="006C4C4F" w:rsidRPr="005A7A0A">
        <w:rPr>
          <w:bCs/>
          <w:color w:val="auto"/>
          <w:sz w:val="18"/>
          <w:szCs w:val="18"/>
          <w:lang w:eastAsia="en-GB" w:bidi="ar-SA"/>
        </w:rPr>
        <w:t xml:space="preserve">), </w:t>
      </w:r>
      <w:r w:rsidR="00DC6265" w:rsidRPr="005A7A0A">
        <w:rPr>
          <w:bCs/>
          <w:color w:val="auto"/>
          <w:sz w:val="18"/>
          <w:szCs w:val="18"/>
          <w:lang w:eastAsia="en-GB" w:bidi="ar-SA"/>
        </w:rPr>
        <w:t>LOC</w:t>
      </w:r>
      <w:r w:rsidR="006C4C4F" w:rsidRPr="005A7A0A">
        <w:rPr>
          <w:bCs/>
          <w:color w:val="auto"/>
          <w:sz w:val="18"/>
          <w:szCs w:val="18"/>
          <w:lang w:eastAsia="en-GB" w:bidi="ar-SA"/>
        </w:rPr>
        <w:t xml:space="preserve"> (%)</w:t>
      </w:r>
    </w:p>
    <w:p w14:paraId="181A5BCC" w14:textId="2D95E8E4" w:rsidR="008B47B8" w:rsidRPr="005A7A0A" w:rsidRDefault="008B47B8" w:rsidP="006C4C4F">
      <w:pPr>
        <w:rPr>
          <w:color w:val="auto"/>
        </w:rPr>
      </w:pPr>
      <w:r w:rsidRPr="005A7A0A">
        <w:rPr>
          <w:color w:val="auto"/>
          <w:vertAlign w:val="superscript"/>
        </w:rPr>
        <w:t>b</w:t>
      </w:r>
      <w:r w:rsidRPr="005A7A0A">
        <w:rPr>
          <w:color w:val="auto"/>
        </w:rPr>
        <w:t xml:space="preserve"> </w:t>
      </w:r>
      <w:r w:rsidR="00DC6265" w:rsidRPr="005A7A0A">
        <w:rPr>
          <w:color w:val="auto"/>
        </w:rPr>
        <w:t>The paper reports bar(a), this table repots bar(g)</w:t>
      </w:r>
    </w:p>
    <w:p w14:paraId="6DD70262" w14:textId="28C5AD44" w:rsidR="008B47B8" w:rsidRPr="005A7A0A" w:rsidRDefault="008B47B8" w:rsidP="006C4C4F">
      <w:pPr>
        <w:rPr>
          <w:color w:val="auto"/>
        </w:rPr>
      </w:pPr>
      <w:r w:rsidRPr="005A7A0A">
        <w:rPr>
          <w:color w:val="auto"/>
          <w:vertAlign w:val="superscript"/>
        </w:rPr>
        <w:t>c</w:t>
      </w:r>
      <w:r w:rsidRPr="005A7A0A">
        <w:rPr>
          <w:color w:val="auto"/>
        </w:rPr>
        <w:t xml:space="preserve"> </w:t>
      </w:r>
      <w:r w:rsidR="00DC6265" w:rsidRPr="005A7A0A">
        <w:rPr>
          <w:color w:val="auto"/>
        </w:rPr>
        <w:t>The paper reports MIT</w:t>
      </w:r>
      <w:r w:rsidR="00DC6265" w:rsidRPr="005A7A0A">
        <w:rPr>
          <w:color w:val="auto"/>
          <w:vertAlign w:val="subscript"/>
        </w:rPr>
        <w:t>c</w:t>
      </w:r>
      <w:r w:rsidR="00DC6265" w:rsidRPr="005A7A0A">
        <w:rPr>
          <w:color w:val="auto"/>
        </w:rPr>
        <w:t xml:space="preserve"> values obtained from previously published literature</w:t>
      </w:r>
    </w:p>
    <w:p w14:paraId="3C35D856" w14:textId="4003D65D" w:rsidR="00EE18C8" w:rsidRPr="005A7A0A" w:rsidRDefault="006B3391" w:rsidP="006C4C4F">
      <w:pPr>
        <w:adjustRightInd/>
        <w:snapToGrid/>
        <w:rPr>
          <w:color w:val="auto"/>
          <w:lang w:eastAsia="en-GB" w:bidi="ar-SA"/>
        </w:rPr>
      </w:pPr>
      <w:r w:rsidRPr="005A7A0A">
        <w:rPr>
          <w:color w:val="auto"/>
          <w:vertAlign w:val="superscript"/>
        </w:rPr>
        <w:t>d</w:t>
      </w:r>
      <w:r w:rsidR="00EE18C8" w:rsidRPr="005A7A0A">
        <w:rPr>
          <w:color w:val="auto"/>
        </w:rPr>
        <w:t xml:space="preserve"> </w:t>
      </w:r>
      <w:r w:rsidR="00DC6265" w:rsidRPr="005A7A0A">
        <w:rPr>
          <w:color w:val="auto"/>
        </w:rPr>
        <w:t xml:space="preserve">The paper reports </w:t>
      </w:r>
      <w:r w:rsidR="00DC6265" w:rsidRPr="005A7A0A">
        <w:rPr>
          <w:i/>
          <w:color w:val="auto"/>
        </w:rPr>
        <w:t>P</w:t>
      </w:r>
      <w:r w:rsidR="00DC6265" w:rsidRPr="005A7A0A">
        <w:rPr>
          <w:i/>
          <w:color w:val="auto"/>
          <w:vertAlign w:val="subscript"/>
        </w:rPr>
        <w:t>max</w:t>
      </w:r>
      <w:r w:rsidR="00DC6265" w:rsidRPr="005A7A0A">
        <w:rPr>
          <w:color w:val="auto"/>
        </w:rPr>
        <w:t xml:space="preserve"> as a ratio</w:t>
      </w:r>
    </w:p>
    <w:p w14:paraId="700E8B2B" w14:textId="0133FF3A" w:rsidR="006B2FBF" w:rsidRPr="005A7A0A" w:rsidRDefault="006B2FBF" w:rsidP="006C4C4F">
      <w:pPr>
        <w:adjustRightInd/>
        <w:snapToGrid/>
        <w:rPr>
          <w:color w:val="auto"/>
          <w:lang w:eastAsia="en-GB" w:bidi="ar-SA"/>
        </w:rPr>
      </w:pPr>
      <w:r w:rsidRPr="005A7A0A">
        <w:rPr>
          <w:color w:val="auto"/>
          <w:vertAlign w:val="superscript"/>
          <w:lang w:eastAsia="en-GB" w:bidi="ar-SA"/>
        </w:rPr>
        <w:t>e</w:t>
      </w:r>
      <w:r w:rsidRPr="005A7A0A">
        <w:rPr>
          <w:color w:val="auto"/>
          <w:lang w:eastAsia="en-GB" w:bidi="ar-SA"/>
        </w:rPr>
        <w:t xml:space="preserve"> </w:t>
      </w:r>
      <w:r w:rsidR="00DC6265" w:rsidRPr="005A7A0A">
        <w:rPr>
          <w:color w:val="auto"/>
        </w:rPr>
        <w:t xml:space="preserve">The paper reports </w:t>
      </w:r>
      <w:r w:rsidR="00DC6265" w:rsidRPr="005A7A0A">
        <w:rPr>
          <w:color w:val="auto"/>
          <w:lang w:eastAsia="en-GB" w:bidi="ar-SA"/>
        </w:rPr>
        <w:t>MEC expressed as burnt equivalence ratio</w:t>
      </w:r>
    </w:p>
    <w:p w14:paraId="248493C4" w14:textId="52DB6AD0" w:rsidR="00080BB5" w:rsidRPr="005A7A0A" w:rsidRDefault="00080BB5" w:rsidP="006C4C4F">
      <w:pPr>
        <w:adjustRightInd/>
        <w:snapToGrid/>
        <w:rPr>
          <w:color w:val="auto"/>
          <w:lang w:eastAsia="en-GB" w:bidi="ar-SA"/>
        </w:rPr>
      </w:pPr>
      <w:r w:rsidRPr="005A7A0A">
        <w:rPr>
          <w:color w:val="auto"/>
          <w:vertAlign w:val="superscript"/>
          <w:lang w:eastAsia="en-GB" w:bidi="ar-SA"/>
        </w:rPr>
        <w:t>f</w:t>
      </w:r>
      <w:r w:rsidRPr="005A7A0A">
        <w:rPr>
          <w:color w:val="auto"/>
          <w:lang w:eastAsia="en-GB" w:bidi="ar-SA"/>
        </w:rPr>
        <w:t xml:space="preserve"> </w:t>
      </w:r>
      <w:r w:rsidR="00DC6265" w:rsidRPr="005A7A0A">
        <w:rPr>
          <w:color w:val="auto"/>
          <w:lang w:eastAsia="en-GB" w:bidi="ar-SA"/>
        </w:rPr>
        <w:t>The paper reports MEC values represented as an equivalence ratio, i.e. the ratio between the real fuel concentration in air and the stoichiometric fuel to air concentration</w:t>
      </w:r>
    </w:p>
    <w:p w14:paraId="026714AB" w14:textId="609EFDF9" w:rsidR="00E83EEA" w:rsidRPr="005A7A0A" w:rsidRDefault="00E83EEA" w:rsidP="006C4C4F">
      <w:pPr>
        <w:adjustRightInd/>
        <w:snapToGrid/>
        <w:rPr>
          <w:color w:val="auto"/>
          <w:lang w:eastAsia="en-GB" w:bidi="ar-SA"/>
        </w:rPr>
      </w:pPr>
      <w:r w:rsidRPr="005A7A0A">
        <w:rPr>
          <w:color w:val="auto"/>
          <w:vertAlign w:val="superscript"/>
          <w:lang w:eastAsia="en-GB" w:bidi="ar-SA"/>
        </w:rPr>
        <w:t>g</w:t>
      </w:r>
      <w:r w:rsidRPr="005A7A0A">
        <w:rPr>
          <w:color w:val="auto"/>
          <w:lang w:eastAsia="en-GB" w:bidi="ar-SA"/>
        </w:rPr>
        <w:t xml:space="preserve"> The paper reports MIE (inductancce) as a range</w:t>
      </w:r>
    </w:p>
    <w:p w14:paraId="4E8216BE" w14:textId="148917B8" w:rsidR="00A55054" w:rsidRPr="005A7A0A" w:rsidRDefault="00A55054" w:rsidP="006C4C4F">
      <w:pPr>
        <w:adjustRightInd/>
        <w:snapToGrid/>
        <w:rPr>
          <w:color w:val="auto"/>
          <w:lang w:eastAsia="en-GB" w:bidi="ar-SA"/>
        </w:rPr>
      </w:pPr>
      <w:r w:rsidRPr="005A7A0A">
        <w:rPr>
          <w:color w:val="auto"/>
          <w:vertAlign w:val="superscript"/>
          <w:lang w:eastAsia="en-GB" w:bidi="ar-SA"/>
        </w:rPr>
        <w:t>h</w:t>
      </w:r>
      <w:r w:rsidRPr="005A7A0A">
        <w:rPr>
          <w:color w:val="auto"/>
          <w:lang w:eastAsia="en-GB" w:bidi="ar-SA"/>
        </w:rPr>
        <w:t xml:space="preserve"> The paper reports </w:t>
      </w:r>
      <w:r w:rsidRPr="005A7A0A">
        <w:rPr>
          <w:i/>
          <w:color w:val="auto"/>
          <w:lang w:eastAsia="en-GB" w:bidi="ar-SA"/>
        </w:rPr>
        <w:t>dP/dt</w:t>
      </w:r>
      <w:r w:rsidR="00AF5FF8" w:rsidRPr="005A7A0A">
        <w:rPr>
          <w:i/>
          <w:color w:val="auto"/>
          <w:vertAlign w:val="subscript"/>
          <w:lang w:eastAsia="en-GB" w:bidi="ar-SA"/>
        </w:rPr>
        <w:t>max</w:t>
      </w:r>
      <w:r w:rsidRPr="005A7A0A">
        <w:rPr>
          <w:color w:val="auto"/>
          <w:lang w:eastAsia="en-GB" w:bidi="ar-SA"/>
        </w:rPr>
        <w:t xml:space="preserve"> as </w:t>
      </w:r>
      <w:r w:rsidR="00AF5FF8" w:rsidRPr="005A7A0A">
        <w:rPr>
          <w:color w:val="auto"/>
          <w:lang w:eastAsia="en-GB" w:bidi="ar-SA"/>
        </w:rPr>
        <w:t>r</w:t>
      </w:r>
      <w:r w:rsidR="004A5141" w:rsidRPr="005A7A0A">
        <w:rPr>
          <w:color w:val="auto"/>
          <w:lang w:eastAsia="en-GB" w:bidi="ar-SA"/>
        </w:rPr>
        <w:t xml:space="preserve">ate of </w:t>
      </w:r>
      <w:r w:rsidR="00AF5FF8" w:rsidRPr="005A7A0A">
        <w:rPr>
          <w:color w:val="auto"/>
          <w:lang w:eastAsia="en-GB" w:bidi="ar-SA"/>
        </w:rPr>
        <w:t>p</w:t>
      </w:r>
      <w:r w:rsidR="004A5141" w:rsidRPr="005A7A0A">
        <w:rPr>
          <w:color w:val="auto"/>
          <w:lang w:eastAsia="en-GB" w:bidi="ar-SA"/>
        </w:rPr>
        <w:t>ressure rise vs. equivalence ratio and MEC values as a ratio</w:t>
      </w:r>
    </w:p>
    <w:p w14:paraId="47B3315C" w14:textId="77777777" w:rsidR="004A5141" w:rsidRPr="005A7A0A" w:rsidRDefault="004A5141" w:rsidP="00E83EEA">
      <w:pPr>
        <w:adjustRightInd/>
        <w:snapToGrid/>
        <w:spacing w:line="240" w:lineRule="auto"/>
        <w:rPr>
          <w:color w:val="auto"/>
          <w:lang w:eastAsia="en-GB" w:bidi="ar-SA"/>
        </w:rPr>
      </w:pPr>
    </w:p>
    <w:p w14:paraId="3B9AD6FB" w14:textId="77777777" w:rsidR="00080BB5" w:rsidRPr="005A7A0A" w:rsidRDefault="00080BB5" w:rsidP="006B2FBF">
      <w:pPr>
        <w:adjustRightInd/>
        <w:snapToGrid/>
        <w:spacing w:line="240" w:lineRule="auto"/>
        <w:rPr>
          <w:color w:val="auto"/>
          <w:lang w:eastAsia="en-GB" w:bidi="ar-SA"/>
        </w:rPr>
      </w:pPr>
    </w:p>
    <w:p w14:paraId="40277B79" w14:textId="6A026269" w:rsidR="006B2FBF" w:rsidRPr="005A7A0A" w:rsidRDefault="006B2FBF" w:rsidP="00EE18C8">
      <w:pPr>
        <w:adjustRightInd/>
        <w:snapToGrid/>
        <w:spacing w:line="240" w:lineRule="auto"/>
        <w:rPr>
          <w:color w:val="auto"/>
          <w:lang w:eastAsia="en-GB" w:bidi="ar-SA"/>
        </w:rPr>
      </w:pPr>
    </w:p>
    <w:p w14:paraId="04ADDA14" w14:textId="2D023C80" w:rsidR="006B3391" w:rsidRPr="005A7A0A" w:rsidRDefault="006B3391" w:rsidP="000C0CBA">
      <w:pPr>
        <w:rPr>
          <w:color w:val="auto"/>
        </w:rPr>
      </w:pPr>
    </w:p>
    <w:p w14:paraId="60BEA3A6" w14:textId="0C98F6D7" w:rsidR="00963F8E" w:rsidRPr="005A7A0A" w:rsidRDefault="00963F8E" w:rsidP="00744E5A">
      <w:pPr>
        <w:rPr>
          <w:color w:val="auto"/>
        </w:rPr>
      </w:pPr>
    </w:p>
    <w:p w14:paraId="63426048" w14:textId="0474A39E" w:rsidR="00963F8E" w:rsidRPr="005A7A0A" w:rsidRDefault="00963F8E" w:rsidP="00744E5A">
      <w:pPr>
        <w:rPr>
          <w:color w:val="auto"/>
        </w:rPr>
      </w:pPr>
    </w:p>
    <w:p w14:paraId="09B5A8BD" w14:textId="77777777" w:rsidR="00963F8E" w:rsidRPr="005A7A0A" w:rsidRDefault="00963F8E" w:rsidP="00744E5A">
      <w:pPr>
        <w:rPr>
          <w:color w:val="auto"/>
        </w:rPr>
      </w:pPr>
    </w:p>
    <w:sectPr w:rsidR="00963F8E" w:rsidRPr="005A7A0A" w:rsidSect="005A7A0A">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1"/>
    <w:family w:val="roman"/>
    <w:notTrueType/>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start w:val="1"/>
      <w:numFmt w:val="lowerLetter"/>
      <w:lvlText w:val="%2."/>
      <w:lvlJc w:val="left"/>
      <w:pPr>
        <w:ind w:left="2149" w:hanging="360"/>
      </w:pPr>
    </w:lvl>
    <w:lvl w:ilvl="2" w:tplc="0807001B">
      <w:start w:val="1"/>
      <w:numFmt w:val="lowerRoman"/>
      <w:lvlText w:val="%3."/>
      <w:lvlJc w:val="right"/>
      <w:pPr>
        <w:ind w:left="2869" w:hanging="180"/>
      </w:pPr>
    </w:lvl>
    <w:lvl w:ilvl="3" w:tplc="0807000F">
      <w:start w:val="1"/>
      <w:numFmt w:val="decimal"/>
      <w:lvlText w:val="%4."/>
      <w:lvlJc w:val="left"/>
      <w:pPr>
        <w:ind w:left="3589" w:hanging="360"/>
      </w:pPr>
    </w:lvl>
    <w:lvl w:ilvl="4" w:tplc="08070019">
      <w:start w:val="1"/>
      <w:numFmt w:val="lowerLetter"/>
      <w:lvlText w:val="%5."/>
      <w:lvlJc w:val="left"/>
      <w:pPr>
        <w:ind w:left="4309" w:hanging="360"/>
      </w:pPr>
    </w:lvl>
    <w:lvl w:ilvl="5" w:tplc="0807001B">
      <w:start w:val="1"/>
      <w:numFmt w:val="lowerRoman"/>
      <w:lvlText w:val="%6."/>
      <w:lvlJc w:val="right"/>
      <w:pPr>
        <w:ind w:left="5029" w:hanging="180"/>
      </w:pPr>
    </w:lvl>
    <w:lvl w:ilvl="6" w:tplc="0807000F">
      <w:start w:val="1"/>
      <w:numFmt w:val="decimal"/>
      <w:lvlText w:val="%7."/>
      <w:lvlJc w:val="left"/>
      <w:pPr>
        <w:ind w:left="5749" w:hanging="360"/>
      </w:pPr>
    </w:lvl>
    <w:lvl w:ilvl="7" w:tplc="08070019">
      <w:start w:val="1"/>
      <w:numFmt w:val="lowerLetter"/>
      <w:lvlText w:val="%8."/>
      <w:lvlJc w:val="left"/>
      <w:pPr>
        <w:ind w:left="6469" w:hanging="360"/>
      </w:pPr>
    </w:lvl>
    <w:lvl w:ilvl="8" w:tplc="0807001B">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start w:val="1"/>
      <w:numFmt w:val="bullet"/>
      <w:lvlText w:val="o"/>
      <w:lvlJc w:val="left"/>
      <w:pPr>
        <w:ind w:left="2149" w:hanging="360"/>
      </w:pPr>
      <w:rPr>
        <w:rFonts w:ascii="Courier New" w:hAnsi="Courier New" w:cs="Courier New" w:hint="default"/>
      </w:rPr>
    </w:lvl>
    <w:lvl w:ilvl="2" w:tplc="08070005">
      <w:start w:val="1"/>
      <w:numFmt w:val="bullet"/>
      <w:lvlText w:val=""/>
      <w:lvlJc w:val="left"/>
      <w:pPr>
        <w:ind w:left="2869" w:hanging="360"/>
      </w:pPr>
      <w:rPr>
        <w:rFonts w:ascii="Wingdings" w:hAnsi="Wingdings" w:hint="default"/>
      </w:rPr>
    </w:lvl>
    <w:lvl w:ilvl="3" w:tplc="08070001">
      <w:start w:val="1"/>
      <w:numFmt w:val="bullet"/>
      <w:lvlText w:val=""/>
      <w:lvlJc w:val="left"/>
      <w:pPr>
        <w:ind w:left="3589" w:hanging="360"/>
      </w:pPr>
      <w:rPr>
        <w:rFonts w:ascii="Symbol" w:hAnsi="Symbol" w:hint="default"/>
      </w:rPr>
    </w:lvl>
    <w:lvl w:ilvl="4" w:tplc="08070003">
      <w:start w:val="1"/>
      <w:numFmt w:val="bullet"/>
      <w:lvlText w:val="o"/>
      <w:lvlJc w:val="left"/>
      <w:pPr>
        <w:ind w:left="4309" w:hanging="360"/>
      </w:pPr>
      <w:rPr>
        <w:rFonts w:ascii="Courier New" w:hAnsi="Courier New" w:cs="Courier New" w:hint="default"/>
      </w:rPr>
    </w:lvl>
    <w:lvl w:ilvl="5" w:tplc="08070005">
      <w:start w:val="1"/>
      <w:numFmt w:val="bullet"/>
      <w:lvlText w:val=""/>
      <w:lvlJc w:val="left"/>
      <w:pPr>
        <w:ind w:left="5029" w:hanging="360"/>
      </w:pPr>
      <w:rPr>
        <w:rFonts w:ascii="Wingdings" w:hAnsi="Wingdings" w:hint="default"/>
      </w:rPr>
    </w:lvl>
    <w:lvl w:ilvl="6" w:tplc="08070001">
      <w:start w:val="1"/>
      <w:numFmt w:val="bullet"/>
      <w:lvlText w:val=""/>
      <w:lvlJc w:val="left"/>
      <w:pPr>
        <w:ind w:left="5749" w:hanging="360"/>
      </w:pPr>
      <w:rPr>
        <w:rFonts w:ascii="Symbol" w:hAnsi="Symbol" w:hint="default"/>
      </w:rPr>
    </w:lvl>
    <w:lvl w:ilvl="7" w:tplc="08070003">
      <w:start w:val="1"/>
      <w:numFmt w:val="bullet"/>
      <w:lvlText w:val="o"/>
      <w:lvlJc w:val="left"/>
      <w:pPr>
        <w:ind w:left="6469" w:hanging="360"/>
      </w:pPr>
      <w:rPr>
        <w:rFonts w:ascii="Courier New" w:hAnsi="Courier New" w:cs="Courier New" w:hint="default"/>
      </w:rPr>
    </w:lvl>
    <w:lvl w:ilvl="8" w:tplc="08070005">
      <w:start w:val="1"/>
      <w:numFmt w:val="bullet"/>
      <w:lvlText w:val=""/>
      <w:lvlJc w:val="left"/>
      <w:pPr>
        <w:ind w:left="7189"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E5A"/>
    <w:rsid w:val="00022312"/>
    <w:rsid w:val="00055130"/>
    <w:rsid w:val="00080BB5"/>
    <w:rsid w:val="00090ED2"/>
    <w:rsid w:val="000C0CBA"/>
    <w:rsid w:val="00134B8E"/>
    <w:rsid w:val="001D6A8D"/>
    <w:rsid w:val="002106B9"/>
    <w:rsid w:val="00214850"/>
    <w:rsid w:val="002A27D0"/>
    <w:rsid w:val="002D147A"/>
    <w:rsid w:val="00311672"/>
    <w:rsid w:val="00325A41"/>
    <w:rsid w:val="00386C99"/>
    <w:rsid w:val="00440ED4"/>
    <w:rsid w:val="004A5141"/>
    <w:rsid w:val="004A74DF"/>
    <w:rsid w:val="0054619F"/>
    <w:rsid w:val="00566F77"/>
    <w:rsid w:val="00581AB4"/>
    <w:rsid w:val="005849BD"/>
    <w:rsid w:val="005A7A0A"/>
    <w:rsid w:val="005B2FD1"/>
    <w:rsid w:val="005C7856"/>
    <w:rsid w:val="005F5ED9"/>
    <w:rsid w:val="00644C86"/>
    <w:rsid w:val="00671ABB"/>
    <w:rsid w:val="0069072B"/>
    <w:rsid w:val="006A08F4"/>
    <w:rsid w:val="006B2FBF"/>
    <w:rsid w:val="006B3391"/>
    <w:rsid w:val="006C4C4F"/>
    <w:rsid w:val="00732400"/>
    <w:rsid w:val="00744E5A"/>
    <w:rsid w:val="00776D2A"/>
    <w:rsid w:val="007954FB"/>
    <w:rsid w:val="008162B9"/>
    <w:rsid w:val="008348F0"/>
    <w:rsid w:val="00840E64"/>
    <w:rsid w:val="00845E0C"/>
    <w:rsid w:val="008531D2"/>
    <w:rsid w:val="008B3E54"/>
    <w:rsid w:val="008B47B8"/>
    <w:rsid w:val="008C6428"/>
    <w:rsid w:val="009159C4"/>
    <w:rsid w:val="00946BA6"/>
    <w:rsid w:val="00963F8E"/>
    <w:rsid w:val="00997DA9"/>
    <w:rsid w:val="009D1F3F"/>
    <w:rsid w:val="009D754D"/>
    <w:rsid w:val="00A16E29"/>
    <w:rsid w:val="00A3076F"/>
    <w:rsid w:val="00A55054"/>
    <w:rsid w:val="00A57EA1"/>
    <w:rsid w:val="00A91BC2"/>
    <w:rsid w:val="00A96B6C"/>
    <w:rsid w:val="00AD08FE"/>
    <w:rsid w:val="00AF5FF8"/>
    <w:rsid w:val="00B04CEC"/>
    <w:rsid w:val="00B712EA"/>
    <w:rsid w:val="00B71435"/>
    <w:rsid w:val="00BB009C"/>
    <w:rsid w:val="00BD2595"/>
    <w:rsid w:val="00BD61FD"/>
    <w:rsid w:val="00DA74FC"/>
    <w:rsid w:val="00DC6265"/>
    <w:rsid w:val="00E67703"/>
    <w:rsid w:val="00E83EEA"/>
    <w:rsid w:val="00EE18C8"/>
    <w:rsid w:val="00F14071"/>
    <w:rsid w:val="00F14EC3"/>
    <w:rsid w:val="00F2022A"/>
    <w:rsid w:val="00F21252"/>
    <w:rsid w:val="00F60917"/>
    <w:rsid w:val="00FF66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CB454"/>
  <w15:chartTrackingRefBased/>
  <w15:docId w15:val="{E7640CB9-4477-4000-898D-D02CE841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E5A"/>
    <w:pPr>
      <w:adjustRightInd w:val="0"/>
      <w:snapToGrid w:val="0"/>
      <w:spacing w:after="0" w:line="360" w:lineRule="auto"/>
      <w:jc w:val="both"/>
    </w:pPr>
    <w:rPr>
      <w:rFonts w:ascii="Arial" w:eastAsia="Times New Roman" w:hAnsi="Arial" w:cs="Arial"/>
      <w:color w:val="000000"/>
      <w:lang w:val="en-GB" w:eastAsia="de-DE"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44E5A"/>
    <w:rPr>
      <w:color w:val="0563C1"/>
      <w:u w:val="single"/>
    </w:rPr>
  </w:style>
  <w:style w:type="character" w:styleId="FollowedHyperlink">
    <w:name w:val="FollowedHyperlink"/>
    <w:basedOn w:val="DefaultParagraphFont"/>
    <w:uiPriority w:val="99"/>
    <w:semiHidden/>
    <w:unhideWhenUsed/>
    <w:rsid w:val="00744E5A"/>
    <w:rPr>
      <w:color w:val="954F72" w:themeColor="followedHyperlink"/>
      <w:u w:val="single"/>
    </w:rPr>
  </w:style>
  <w:style w:type="paragraph" w:customStyle="1" w:styleId="msonormal0">
    <w:name w:val="msonormal"/>
    <w:basedOn w:val="Normal"/>
    <w:rsid w:val="00744E5A"/>
    <w:pPr>
      <w:adjustRightInd/>
      <w:snapToGrid/>
      <w:spacing w:before="100" w:beforeAutospacing="1" w:after="100" w:afterAutospacing="1" w:line="240" w:lineRule="auto"/>
      <w:jc w:val="left"/>
    </w:pPr>
    <w:rPr>
      <w:rFonts w:ascii="Times New Roman" w:hAnsi="Times New Roman" w:cs="Times New Roman"/>
      <w:color w:val="auto"/>
      <w:sz w:val="24"/>
      <w:szCs w:val="24"/>
      <w:lang w:eastAsia="en-GB" w:bidi="ar-SA"/>
    </w:rPr>
  </w:style>
  <w:style w:type="paragraph" w:styleId="CommentText">
    <w:name w:val="annotation text"/>
    <w:basedOn w:val="Normal"/>
    <w:link w:val="CommentTextChar"/>
    <w:uiPriority w:val="99"/>
    <w:semiHidden/>
    <w:unhideWhenUsed/>
    <w:rsid w:val="00744E5A"/>
    <w:pPr>
      <w:spacing w:line="240" w:lineRule="auto"/>
    </w:pPr>
    <w:rPr>
      <w:sz w:val="20"/>
    </w:rPr>
  </w:style>
  <w:style w:type="character" w:customStyle="1" w:styleId="CommentTextChar">
    <w:name w:val="Comment Text Char"/>
    <w:basedOn w:val="DefaultParagraphFont"/>
    <w:link w:val="CommentText"/>
    <w:uiPriority w:val="99"/>
    <w:semiHidden/>
    <w:rsid w:val="00744E5A"/>
    <w:rPr>
      <w:rFonts w:ascii="Arial" w:eastAsia="Times New Roman" w:hAnsi="Arial" w:cs="Arial"/>
      <w:color w:val="000000"/>
      <w:sz w:val="20"/>
      <w:lang w:val="en-GB" w:eastAsia="de-DE" w:bidi="en-US"/>
    </w:rPr>
  </w:style>
  <w:style w:type="paragraph" w:styleId="Header">
    <w:name w:val="header"/>
    <w:basedOn w:val="Normal"/>
    <w:link w:val="HeaderChar"/>
    <w:uiPriority w:val="99"/>
    <w:semiHidden/>
    <w:unhideWhenUsed/>
    <w:rsid w:val="00744E5A"/>
    <w:pPr>
      <w:pBdr>
        <w:bottom w:val="single" w:sz="6" w:space="1" w:color="auto"/>
      </w:pBdr>
      <w:tabs>
        <w:tab w:val="center" w:pos="4153"/>
        <w:tab w:val="right" w:pos="8306"/>
      </w:tabs>
      <w:spacing w:line="240" w:lineRule="atLeast"/>
      <w:jc w:val="center"/>
    </w:pPr>
    <w:rPr>
      <w:sz w:val="18"/>
      <w:szCs w:val="18"/>
    </w:rPr>
  </w:style>
  <w:style w:type="character" w:customStyle="1" w:styleId="HeaderChar">
    <w:name w:val="Header Char"/>
    <w:basedOn w:val="DefaultParagraphFont"/>
    <w:link w:val="Header"/>
    <w:uiPriority w:val="99"/>
    <w:semiHidden/>
    <w:rsid w:val="00744E5A"/>
    <w:rPr>
      <w:rFonts w:ascii="Arial" w:eastAsia="Times New Roman" w:hAnsi="Arial" w:cs="Arial"/>
      <w:color w:val="000000"/>
      <w:sz w:val="18"/>
      <w:szCs w:val="18"/>
      <w:lang w:val="en-GB" w:eastAsia="de-DE" w:bidi="en-US"/>
    </w:rPr>
  </w:style>
  <w:style w:type="paragraph" w:styleId="Footer">
    <w:name w:val="footer"/>
    <w:basedOn w:val="Normal"/>
    <w:link w:val="FooterChar"/>
    <w:uiPriority w:val="99"/>
    <w:semiHidden/>
    <w:unhideWhenUsed/>
    <w:rsid w:val="00744E5A"/>
    <w:pPr>
      <w:tabs>
        <w:tab w:val="center" w:pos="4153"/>
        <w:tab w:val="right" w:pos="8306"/>
      </w:tabs>
    </w:pPr>
  </w:style>
  <w:style w:type="character" w:customStyle="1" w:styleId="FooterChar">
    <w:name w:val="Footer Char"/>
    <w:basedOn w:val="DefaultParagraphFont"/>
    <w:link w:val="Footer"/>
    <w:uiPriority w:val="99"/>
    <w:semiHidden/>
    <w:rsid w:val="00744E5A"/>
    <w:rPr>
      <w:rFonts w:ascii="Arial" w:eastAsia="Times New Roman" w:hAnsi="Arial" w:cs="Arial"/>
      <w:color w:val="000000"/>
      <w:lang w:val="en-GB" w:eastAsia="de-DE" w:bidi="en-US"/>
    </w:rPr>
  </w:style>
  <w:style w:type="paragraph" w:styleId="Caption">
    <w:name w:val="caption"/>
    <w:basedOn w:val="Normal"/>
    <w:next w:val="Normal"/>
    <w:semiHidden/>
    <w:unhideWhenUsed/>
    <w:qFormat/>
    <w:rsid w:val="00744E5A"/>
    <w:pPr>
      <w:spacing w:before="60" w:after="180" w:line="240" w:lineRule="auto"/>
      <w:jc w:val="left"/>
    </w:pPr>
    <w:rPr>
      <w:b/>
      <w:bCs/>
      <w:i/>
      <w:szCs w:val="18"/>
      <w:lang w:eastAsia="en-US"/>
    </w:rPr>
  </w:style>
  <w:style w:type="paragraph" w:styleId="CommentSubject">
    <w:name w:val="annotation subject"/>
    <w:basedOn w:val="CommentText"/>
    <w:next w:val="CommentText"/>
    <w:link w:val="CommentSubjectChar"/>
    <w:uiPriority w:val="99"/>
    <w:semiHidden/>
    <w:unhideWhenUsed/>
    <w:rsid w:val="00744E5A"/>
    <w:rPr>
      <w:b/>
      <w:bCs/>
    </w:rPr>
  </w:style>
  <w:style w:type="character" w:customStyle="1" w:styleId="CommentSubjectChar">
    <w:name w:val="Comment Subject Char"/>
    <w:basedOn w:val="CommentTextChar"/>
    <w:link w:val="CommentSubject"/>
    <w:uiPriority w:val="99"/>
    <w:semiHidden/>
    <w:rsid w:val="00744E5A"/>
    <w:rPr>
      <w:rFonts w:ascii="Arial" w:eastAsia="Times New Roman" w:hAnsi="Arial" w:cs="Arial"/>
      <w:b/>
      <w:bCs/>
      <w:color w:val="000000"/>
      <w:sz w:val="20"/>
      <w:lang w:val="en-GB" w:eastAsia="de-DE" w:bidi="en-US"/>
    </w:rPr>
  </w:style>
  <w:style w:type="paragraph" w:styleId="BalloonText">
    <w:name w:val="Balloon Text"/>
    <w:basedOn w:val="Normal"/>
    <w:link w:val="BalloonTextChar"/>
    <w:uiPriority w:val="99"/>
    <w:semiHidden/>
    <w:unhideWhenUsed/>
    <w:rsid w:val="00744E5A"/>
    <w:pPr>
      <w:spacing w:line="240" w:lineRule="auto"/>
    </w:pPr>
    <w:rPr>
      <w:sz w:val="18"/>
      <w:szCs w:val="18"/>
    </w:rPr>
  </w:style>
  <w:style w:type="character" w:customStyle="1" w:styleId="BalloonTextChar">
    <w:name w:val="Balloon Text Char"/>
    <w:basedOn w:val="DefaultParagraphFont"/>
    <w:link w:val="BalloonText"/>
    <w:uiPriority w:val="99"/>
    <w:semiHidden/>
    <w:rsid w:val="00744E5A"/>
    <w:rPr>
      <w:rFonts w:ascii="Arial" w:eastAsia="Times New Roman" w:hAnsi="Arial" w:cs="Arial"/>
      <w:color w:val="000000"/>
      <w:sz w:val="18"/>
      <w:szCs w:val="18"/>
      <w:lang w:val="en-GB" w:eastAsia="de-DE" w:bidi="en-US"/>
    </w:rPr>
  </w:style>
  <w:style w:type="paragraph" w:styleId="Revision">
    <w:name w:val="Revision"/>
    <w:uiPriority w:val="99"/>
    <w:semiHidden/>
    <w:rsid w:val="00744E5A"/>
    <w:pPr>
      <w:spacing w:after="0" w:line="240" w:lineRule="auto"/>
    </w:pPr>
    <w:rPr>
      <w:rFonts w:ascii="Times New Roman" w:eastAsia="Times New Roman" w:hAnsi="Times New Roman" w:cs="Times New Roman"/>
      <w:color w:val="000000"/>
      <w:sz w:val="24"/>
      <w:szCs w:val="20"/>
      <w:lang w:val="en-US" w:eastAsia="de-DE"/>
    </w:rPr>
  </w:style>
  <w:style w:type="paragraph" w:styleId="ListParagraph">
    <w:name w:val="List Paragraph"/>
    <w:basedOn w:val="Normal"/>
    <w:uiPriority w:val="99"/>
    <w:qFormat/>
    <w:rsid w:val="00744E5A"/>
    <w:pPr>
      <w:spacing w:after="200" w:line="276" w:lineRule="auto"/>
      <w:ind w:left="720"/>
      <w:contextualSpacing/>
      <w:jc w:val="left"/>
    </w:pPr>
    <w:rPr>
      <w:color w:val="auto"/>
      <w:lang w:eastAsia="en-US"/>
    </w:rPr>
  </w:style>
  <w:style w:type="paragraph" w:customStyle="1" w:styleId="MDPI13authornames">
    <w:name w:val="MDPI_1.3_authornames"/>
    <w:basedOn w:val="MDPI31text"/>
    <w:next w:val="MDPI14history"/>
    <w:rsid w:val="00744E5A"/>
    <w:pPr>
      <w:spacing w:after="120"/>
      <w:ind w:firstLine="0"/>
      <w:jc w:val="left"/>
    </w:pPr>
    <w:rPr>
      <w:b/>
    </w:rPr>
  </w:style>
  <w:style w:type="paragraph" w:customStyle="1" w:styleId="MDPI12title">
    <w:name w:val="MDPI_1.2_title"/>
    <w:next w:val="MDPI13authornames"/>
    <w:rsid w:val="00744E5A"/>
    <w:pPr>
      <w:adjustRightInd w:val="0"/>
      <w:snapToGrid w:val="0"/>
      <w:spacing w:after="240" w:line="400" w:lineRule="exact"/>
    </w:pPr>
    <w:rPr>
      <w:rFonts w:ascii="Palatino Linotype" w:eastAsia="Times New Roman" w:hAnsi="Palatino Linotype" w:cs="Times New Roman"/>
      <w:b/>
      <w:color w:val="000000"/>
      <w:sz w:val="36"/>
      <w:szCs w:val="20"/>
      <w:lang w:val="en-US" w:eastAsia="de-DE" w:bidi="en-US"/>
    </w:rPr>
  </w:style>
  <w:style w:type="paragraph" w:customStyle="1" w:styleId="MDPIheaderjournallogo">
    <w:name w:val="MDPI_header_journal_logo"/>
    <w:rsid w:val="00744E5A"/>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MDPI62Acknowledgments">
    <w:name w:val="MDPI_6.2_Acknowledgments"/>
    <w:rsid w:val="00744E5A"/>
    <w:pPr>
      <w:adjustRightInd w:val="0"/>
      <w:snapToGrid w:val="0"/>
      <w:spacing w:before="120" w:after="0" w:line="200" w:lineRule="atLeast"/>
      <w:jc w:val="both"/>
    </w:pPr>
    <w:rPr>
      <w:rFonts w:ascii="Palatino Linotype" w:eastAsia="Times New Roman" w:hAnsi="Palatino Linotype" w:cs="Times New Roman"/>
      <w:color w:val="000000"/>
      <w:sz w:val="18"/>
      <w:szCs w:val="20"/>
      <w:lang w:val="en-US" w:eastAsia="de-DE" w:bidi="en-US"/>
    </w:rPr>
  </w:style>
  <w:style w:type="paragraph" w:customStyle="1" w:styleId="MDPI41tablecaption">
    <w:name w:val="MDPI_4.1_table_caption"/>
    <w:basedOn w:val="MDPI62Acknowledgments"/>
    <w:rsid w:val="00744E5A"/>
    <w:pPr>
      <w:spacing w:before="240" w:after="120" w:line="260" w:lineRule="atLeast"/>
      <w:ind w:left="425" w:right="425"/>
    </w:pPr>
    <w:rPr>
      <w:szCs w:val="22"/>
    </w:rPr>
  </w:style>
  <w:style w:type="paragraph" w:customStyle="1" w:styleId="MDPI42tablebody">
    <w:name w:val="MDPI_4.2_table_body"/>
    <w:rsid w:val="00744E5A"/>
    <w:pPr>
      <w:adjustRightInd w:val="0"/>
      <w:snapToGrid w:val="0"/>
      <w:spacing w:after="0" w:line="260" w:lineRule="atLeast"/>
      <w:jc w:val="center"/>
    </w:pPr>
    <w:rPr>
      <w:rFonts w:ascii="Palatino Linotype" w:eastAsia="Times New Roman" w:hAnsi="Palatino Linotype" w:cs="Times New Roman"/>
      <w:color w:val="000000"/>
      <w:sz w:val="20"/>
      <w:szCs w:val="20"/>
      <w:lang w:val="en-US" w:eastAsia="de-DE" w:bidi="en-US"/>
    </w:rPr>
  </w:style>
  <w:style w:type="paragraph" w:customStyle="1" w:styleId="MDPI31text">
    <w:name w:val="MDPI_3.1_text"/>
    <w:rsid w:val="00744E5A"/>
    <w:pPr>
      <w:adjustRightInd w:val="0"/>
      <w:snapToGrid w:val="0"/>
      <w:spacing w:after="0" w:line="260" w:lineRule="atLeast"/>
      <w:ind w:firstLine="425"/>
      <w:jc w:val="both"/>
    </w:pPr>
    <w:rPr>
      <w:rFonts w:ascii="Palatino Linotype" w:eastAsia="Times New Roman" w:hAnsi="Palatino Linotype" w:cs="Times New Roman"/>
      <w:color w:val="000000"/>
      <w:sz w:val="20"/>
      <w:lang w:val="en-US" w:eastAsia="de-DE" w:bidi="en-US"/>
    </w:rPr>
  </w:style>
  <w:style w:type="paragraph" w:customStyle="1" w:styleId="MDPI43tablefooter">
    <w:name w:val="MDPI_4.3_table_footer"/>
    <w:basedOn w:val="MDPI41tablecaption"/>
    <w:next w:val="MDPI31text"/>
    <w:rsid w:val="00744E5A"/>
    <w:pPr>
      <w:spacing w:before="0"/>
      <w:ind w:left="0" w:right="0"/>
    </w:pPr>
  </w:style>
  <w:style w:type="paragraph" w:customStyle="1" w:styleId="MDPI51figurecaption">
    <w:name w:val="MDPI_5.1_figure_caption"/>
    <w:basedOn w:val="MDPI62Acknowledgments"/>
    <w:rsid w:val="00744E5A"/>
    <w:pPr>
      <w:spacing w:after="240" w:line="260" w:lineRule="atLeast"/>
      <w:ind w:left="425" w:right="425"/>
    </w:pPr>
  </w:style>
  <w:style w:type="paragraph" w:customStyle="1" w:styleId="MDPI52figure">
    <w:name w:val="MDPI_5.2_figure"/>
    <w:rsid w:val="00744E5A"/>
    <w:pPr>
      <w:snapToGrid w:val="0"/>
      <w:spacing w:after="0" w:line="240" w:lineRule="auto"/>
      <w:jc w:val="center"/>
    </w:pPr>
    <w:rPr>
      <w:rFonts w:ascii="Palatino Linotype" w:eastAsia="Times New Roman" w:hAnsi="Palatino Linotype" w:cs="Times New Roman"/>
      <w:color w:val="000000"/>
      <w:sz w:val="24"/>
      <w:szCs w:val="20"/>
      <w:lang w:val="en-US" w:eastAsia="de-DE" w:bidi="en-US"/>
    </w:rPr>
  </w:style>
  <w:style w:type="paragraph" w:customStyle="1" w:styleId="MDPI61Supplementary">
    <w:name w:val="MDPI_6.1_Supplementary"/>
    <w:basedOn w:val="MDPI62Acknowledgments"/>
    <w:rsid w:val="00744E5A"/>
    <w:pPr>
      <w:spacing w:before="240"/>
    </w:pPr>
    <w:rPr>
      <w:lang w:eastAsia="en-US"/>
    </w:rPr>
  </w:style>
  <w:style w:type="paragraph" w:customStyle="1" w:styleId="MDPI63AuthorContributions">
    <w:name w:val="MDPI_6.3_AuthorContributions"/>
    <w:basedOn w:val="MDPI62Acknowledgments"/>
    <w:rsid w:val="00744E5A"/>
    <w:rPr>
      <w:rFonts w:eastAsia="SimSun"/>
      <w:color w:val="auto"/>
      <w:lang w:eastAsia="en-US"/>
    </w:rPr>
  </w:style>
  <w:style w:type="paragraph" w:customStyle="1" w:styleId="MDPI64CoI">
    <w:name w:val="MDPI_6.4_CoI"/>
    <w:basedOn w:val="MDPI62Acknowledgments"/>
    <w:rsid w:val="00744E5A"/>
  </w:style>
  <w:style w:type="paragraph" w:customStyle="1" w:styleId="MDPI23heading3">
    <w:name w:val="MDPI_2.3_heading3"/>
    <w:basedOn w:val="MDPI31text"/>
    <w:rsid w:val="00744E5A"/>
    <w:pPr>
      <w:spacing w:before="240" w:after="120"/>
      <w:ind w:firstLine="0"/>
      <w:jc w:val="left"/>
      <w:outlineLvl w:val="2"/>
    </w:pPr>
  </w:style>
  <w:style w:type="paragraph" w:customStyle="1" w:styleId="MDPI21heading1">
    <w:name w:val="MDPI_2.1_heading1"/>
    <w:basedOn w:val="MDPI23heading3"/>
    <w:rsid w:val="00744E5A"/>
    <w:pPr>
      <w:outlineLvl w:val="0"/>
    </w:pPr>
    <w:rPr>
      <w:b/>
    </w:rPr>
  </w:style>
  <w:style w:type="paragraph" w:customStyle="1" w:styleId="MDPI22heading2">
    <w:name w:val="MDPI_2.2_heading2"/>
    <w:basedOn w:val="Normal"/>
    <w:rsid w:val="00744E5A"/>
    <w:pPr>
      <w:kinsoku w:val="0"/>
      <w:overflowPunct w:val="0"/>
      <w:autoSpaceDE w:val="0"/>
      <w:autoSpaceDN w:val="0"/>
      <w:spacing w:before="240" w:after="120" w:line="260" w:lineRule="atLeast"/>
      <w:jc w:val="left"/>
      <w:outlineLvl w:val="1"/>
    </w:pPr>
    <w:rPr>
      <w:rFonts w:ascii="Palatino Linotype" w:hAnsi="Palatino Linotype"/>
      <w:i/>
      <w:noProof/>
      <w:sz w:val="20"/>
    </w:rPr>
  </w:style>
  <w:style w:type="paragraph" w:customStyle="1" w:styleId="MDPI71References">
    <w:name w:val="MDPI_7.1_References"/>
    <w:basedOn w:val="MDPI62Acknowledgments"/>
    <w:rsid w:val="00744E5A"/>
    <w:pPr>
      <w:numPr>
        <w:numId w:val="1"/>
      </w:numPr>
      <w:spacing w:before="0" w:line="260" w:lineRule="atLeast"/>
      <w:ind w:left="425" w:hanging="425"/>
    </w:pPr>
  </w:style>
  <w:style w:type="paragraph" w:customStyle="1" w:styleId="MDPI74PublishersNote">
    <w:name w:val="MDPI_7.4_Publisher'sNote"/>
    <w:rsid w:val="00744E5A"/>
    <w:pPr>
      <w:adjustRightInd w:val="0"/>
      <w:snapToGrid w:val="0"/>
      <w:spacing w:before="240" w:after="240" w:line="200" w:lineRule="atLeast"/>
    </w:pPr>
    <w:rPr>
      <w:rFonts w:ascii="Palatino Linotype" w:eastAsia="SimSun" w:hAnsi="Palatino Linotype" w:cs="Times New Roman"/>
      <w:sz w:val="18"/>
      <w:lang w:val="en-US" w:eastAsia="zh-CN"/>
    </w:rPr>
  </w:style>
  <w:style w:type="paragraph" w:customStyle="1" w:styleId="Default">
    <w:name w:val="Default"/>
    <w:rsid w:val="00744E5A"/>
    <w:pPr>
      <w:autoSpaceDE w:val="0"/>
      <w:autoSpaceDN w:val="0"/>
      <w:adjustRightInd w:val="0"/>
      <w:spacing w:after="0" w:line="240" w:lineRule="auto"/>
    </w:pPr>
    <w:rPr>
      <w:rFonts w:ascii="Calibri" w:eastAsia="SimSun" w:hAnsi="Calibri" w:cs="Calibri"/>
      <w:color w:val="000000"/>
      <w:sz w:val="24"/>
      <w:szCs w:val="24"/>
      <w:lang w:eastAsia="es-ES"/>
    </w:rPr>
  </w:style>
  <w:style w:type="paragraph" w:customStyle="1" w:styleId="font5">
    <w:name w:val="font5"/>
    <w:basedOn w:val="Normal"/>
    <w:rsid w:val="00744E5A"/>
    <w:pPr>
      <w:adjustRightInd/>
      <w:snapToGrid/>
      <w:spacing w:before="100" w:beforeAutospacing="1" w:after="100" w:afterAutospacing="1" w:line="240" w:lineRule="auto"/>
      <w:jc w:val="left"/>
    </w:pPr>
    <w:rPr>
      <w:rFonts w:ascii="Tahoma" w:hAnsi="Tahoma" w:cs="Tahoma"/>
      <w:sz w:val="18"/>
      <w:szCs w:val="18"/>
      <w:lang w:eastAsia="en-GB" w:bidi="ar-SA"/>
    </w:rPr>
  </w:style>
  <w:style w:type="paragraph" w:customStyle="1" w:styleId="font6">
    <w:name w:val="font6"/>
    <w:basedOn w:val="Normal"/>
    <w:rsid w:val="00744E5A"/>
    <w:pPr>
      <w:adjustRightInd/>
      <w:snapToGrid/>
      <w:spacing w:before="100" w:beforeAutospacing="1" w:after="100" w:afterAutospacing="1" w:line="240" w:lineRule="auto"/>
      <w:jc w:val="left"/>
    </w:pPr>
    <w:rPr>
      <w:rFonts w:ascii="Tahoma" w:hAnsi="Tahoma" w:cs="Tahoma"/>
      <w:b/>
      <w:bCs/>
      <w:sz w:val="18"/>
      <w:szCs w:val="18"/>
      <w:lang w:eastAsia="en-GB" w:bidi="ar-SA"/>
    </w:rPr>
  </w:style>
  <w:style w:type="paragraph" w:customStyle="1" w:styleId="xl67">
    <w:name w:val="xl67"/>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68">
    <w:name w:val="xl68"/>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b/>
      <w:bCs/>
      <w:color w:val="auto"/>
      <w:sz w:val="24"/>
      <w:szCs w:val="24"/>
      <w:lang w:eastAsia="en-GB" w:bidi="ar-SA"/>
    </w:rPr>
  </w:style>
  <w:style w:type="paragraph" w:customStyle="1" w:styleId="xl69">
    <w:name w:val="xl69"/>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70">
    <w:name w:val="xl70"/>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right"/>
    </w:pPr>
    <w:rPr>
      <w:color w:val="auto"/>
      <w:sz w:val="24"/>
      <w:szCs w:val="24"/>
      <w:lang w:eastAsia="en-GB" w:bidi="ar-SA"/>
    </w:rPr>
  </w:style>
  <w:style w:type="paragraph" w:customStyle="1" w:styleId="xl71">
    <w:name w:val="xl71"/>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72">
    <w:name w:val="xl72"/>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73">
    <w:name w:val="xl73"/>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color w:val="auto"/>
      <w:sz w:val="24"/>
      <w:szCs w:val="24"/>
      <w:lang w:eastAsia="en-GB" w:bidi="ar-SA"/>
    </w:rPr>
  </w:style>
  <w:style w:type="paragraph" w:customStyle="1" w:styleId="xl74">
    <w:name w:val="xl74"/>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75">
    <w:name w:val="xl75"/>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color w:val="auto"/>
      <w:sz w:val="24"/>
      <w:szCs w:val="24"/>
      <w:lang w:eastAsia="en-GB" w:bidi="ar-SA"/>
    </w:rPr>
  </w:style>
  <w:style w:type="paragraph" w:customStyle="1" w:styleId="xl76">
    <w:name w:val="xl76"/>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color w:val="auto"/>
      <w:sz w:val="24"/>
      <w:szCs w:val="24"/>
      <w:lang w:eastAsia="en-GB" w:bidi="ar-SA"/>
    </w:rPr>
  </w:style>
  <w:style w:type="paragraph" w:customStyle="1" w:styleId="xl77">
    <w:name w:val="xl77"/>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FF0000"/>
      <w:sz w:val="24"/>
      <w:szCs w:val="24"/>
      <w:lang w:eastAsia="en-GB" w:bidi="ar-SA"/>
    </w:rPr>
  </w:style>
  <w:style w:type="character" w:styleId="CommentReference">
    <w:name w:val="annotation reference"/>
    <w:basedOn w:val="DefaultParagraphFont"/>
    <w:uiPriority w:val="99"/>
    <w:semiHidden/>
    <w:unhideWhenUsed/>
    <w:rsid w:val="00744E5A"/>
    <w:rPr>
      <w:sz w:val="16"/>
      <w:szCs w:val="16"/>
    </w:rPr>
  </w:style>
  <w:style w:type="character" w:styleId="PlaceholderText">
    <w:name w:val="Placeholder Text"/>
    <w:basedOn w:val="DefaultParagraphFont"/>
    <w:uiPriority w:val="99"/>
    <w:semiHidden/>
    <w:rsid w:val="00744E5A"/>
    <w:rPr>
      <w:color w:val="808080"/>
    </w:rPr>
  </w:style>
  <w:style w:type="character" w:customStyle="1" w:styleId="anchor-text">
    <w:name w:val="anchor-text"/>
    <w:basedOn w:val="DefaultParagraphFont"/>
    <w:rsid w:val="00744E5A"/>
  </w:style>
  <w:style w:type="table" w:styleId="TableGrid">
    <w:name w:val="Table Grid"/>
    <w:basedOn w:val="TableNormal"/>
    <w:uiPriority w:val="59"/>
    <w:rsid w:val="00744E5A"/>
    <w:pPr>
      <w:spacing w:after="0" w:line="240" w:lineRule="auto"/>
    </w:pPr>
    <w:rPr>
      <w:rFonts w:ascii="Calibri" w:eastAsia="SimSun" w:hAnsi="Calibri" w:cs="Times New Roman"/>
      <w:sz w:val="20"/>
      <w:szCs w:val="20"/>
      <w:lang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744E5A"/>
    <w:pPr>
      <w:spacing w:after="0" w:line="240" w:lineRule="auto"/>
    </w:pPr>
    <w:rPr>
      <w:rFonts w:ascii="Calibri" w:eastAsia="SimSun" w:hAnsi="Calibri" w:cs="Times New Roman"/>
      <w:sz w:val="20"/>
      <w:szCs w:val="20"/>
      <w:lang w:eastAsia="es-ES"/>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DPI41threelinetable">
    <w:name w:val="MDPI_4.1_three_line_table"/>
    <w:basedOn w:val="TableNormal"/>
    <w:uiPriority w:val="99"/>
    <w:rsid w:val="00744E5A"/>
    <w:pPr>
      <w:adjustRightInd w:val="0"/>
      <w:snapToGrid w:val="0"/>
      <w:spacing w:after="0" w:line="240" w:lineRule="auto"/>
      <w:jc w:val="center"/>
    </w:pPr>
    <w:rPr>
      <w:rFonts w:ascii="Palatino Linotype" w:eastAsia="SimSun" w:hAnsi="Palatino Linotype" w:cs="Times New Roman"/>
      <w:color w:val="000000"/>
      <w:sz w:val="20"/>
      <w:szCs w:val="20"/>
      <w:lang w:eastAsia="es-ES"/>
    </w:rPr>
    <w:tblPr>
      <w:tblInd w:w="0" w:type="nil"/>
      <w:tblBorders>
        <w:top w:val="single" w:sz="8" w:space="0" w:color="auto"/>
        <w:bottom w:val="single" w:sz="8" w:space="0" w:color="auto"/>
      </w:tblBorders>
    </w:tblPr>
    <w:tcPr>
      <w:vAlign w:val="center"/>
    </w:tcPr>
    <w:tblStylePr w:type="firstRow">
      <w:rPr>
        <w:rFonts w:ascii="Calibri Light" w:hAnsi="Calibri Light" w:cs="Calibri Light" w:hint="default"/>
        <w:b/>
        <w:i w:val="0"/>
        <w:sz w:val="20"/>
        <w:szCs w:val="20"/>
      </w:rPr>
      <w:tblPr/>
      <w:tcPr>
        <w:tcBorders>
          <w:bottom w:val="single" w:sz="4" w:space="0" w:color="auto"/>
        </w:tcBorders>
      </w:tcPr>
    </w:tblStylePr>
  </w:style>
  <w:style w:type="paragraph" w:customStyle="1" w:styleId="MDPI11articletype">
    <w:name w:val="MDPI_1.1_article_type"/>
    <w:basedOn w:val="MDPI31text"/>
    <w:next w:val="MDPI12title"/>
    <w:rsid w:val="00744E5A"/>
    <w:pPr>
      <w:spacing w:before="240" w:line="240" w:lineRule="auto"/>
      <w:ind w:firstLine="0"/>
      <w:jc w:val="left"/>
    </w:pPr>
    <w:rPr>
      <w:i/>
    </w:rPr>
  </w:style>
  <w:style w:type="paragraph" w:customStyle="1" w:styleId="MDPI14history">
    <w:name w:val="MDPI_1.4_history"/>
    <w:basedOn w:val="MDPI62Acknowledgments"/>
    <w:next w:val="Normal"/>
    <w:rsid w:val="00744E5A"/>
    <w:pPr>
      <w:ind w:left="113"/>
      <w:jc w:val="left"/>
    </w:pPr>
  </w:style>
  <w:style w:type="paragraph" w:customStyle="1" w:styleId="MDPI16affiliation">
    <w:name w:val="MDPI_1.6_affiliation"/>
    <w:basedOn w:val="MDPI62Acknowledgments"/>
    <w:rsid w:val="00744E5A"/>
    <w:pPr>
      <w:spacing w:before="0"/>
      <w:ind w:left="311" w:hanging="198"/>
      <w:jc w:val="left"/>
    </w:pPr>
    <w:rPr>
      <w:szCs w:val="18"/>
    </w:rPr>
  </w:style>
  <w:style w:type="paragraph" w:customStyle="1" w:styleId="MDPI18keywords">
    <w:name w:val="MDPI_1.8_keywords"/>
    <w:basedOn w:val="MDPI31text"/>
    <w:next w:val="Normal"/>
    <w:rsid w:val="00744E5A"/>
    <w:pPr>
      <w:spacing w:before="240"/>
      <w:ind w:left="113" w:firstLine="0"/>
    </w:pPr>
  </w:style>
  <w:style w:type="paragraph" w:customStyle="1" w:styleId="MDPI17abstract">
    <w:name w:val="MDPI_1.7_abstract"/>
    <w:basedOn w:val="MDPI31text"/>
    <w:next w:val="MDPI18keywords"/>
    <w:rsid w:val="00744E5A"/>
    <w:pPr>
      <w:spacing w:before="240"/>
      <w:ind w:left="113" w:firstLine="0"/>
    </w:pPr>
  </w:style>
  <w:style w:type="paragraph" w:customStyle="1" w:styleId="MDPI19line">
    <w:name w:val="MDPI_1.9_line"/>
    <w:basedOn w:val="MDPI31text"/>
    <w:rsid w:val="00744E5A"/>
    <w:pPr>
      <w:pBdr>
        <w:bottom w:val="single" w:sz="6" w:space="1" w:color="auto"/>
      </w:pBdr>
      <w:ind w:firstLine="0"/>
    </w:pPr>
    <w:rPr>
      <w:szCs w:val="24"/>
    </w:rPr>
  </w:style>
  <w:style w:type="paragraph" w:customStyle="1" w:styleId="MDPI32textnoindent">
    <w:name w:val="MDPI_3.2_text_no_indent"/>
    <w:basedOn w:val="MDPI31text"/>
    <w:rsid w:val="00744E5A"/>
    <w:pPr>
      <w:ind w:firstLine="0"/>
    </w:pPr>
  </w:style>
  <w:style w:type="paragraph" w:customStyle="1" w:styleId="MDPI33textspaceafter">
    <w:name w:val="MDPI_3.3_text_space_after"/>
    <w:basedOn w:val="MDPI31text"/>
    <w:rsid w:val="00744E5A"/>
    <w:pPr>
      <w:spacing w:after="240"/>
    </w:pPr>
  </w:style>
  <w:style w:type="paragraph" w:customStyle="1" w:styleId="MDPI35textbeforelist">
    <w:name w:val="MDPI_3.5_text_before_list"/>
    <w:basedOn w:val="MDPI31text"/>
    <w:rsid w:val="00744E5A"/>
    <w:pPr>
      <w:spacing w:after="120"/>
    </w:pPr>
  </w:style>
  <w:style w:type="paragraph" w:customStyle="1" w:styleId="MDPI36textafterlist">
    <w:name w:val="MDPI_3.6_text_after_list"/>
    <w:basedOn w:val="MDPI31text"/>
    <w:rsid w:val="00744E5A"/>
    <w:pPr>
      <w:spacing w:before="120"/>
    </w:pPr>
  </w:style>
  <w:style w:type="paragraph" w:customStyle="1" w:styleId="MDPI37itemize">
    <w:name w:val="MDPI_3.7_itemize"/>
    <w:basedOn w:val="MDPI31text"/>
    <w:rsid w:val="00744E5A"/>
    <w:pPr>
      <w:numPr>
        <w:numId w:val="3"/>
      </w:numPr>
      <w:ind w:left="425" w:hanging="425"/>
    </w:pPr>
  </w:style>
  <w:style w:type="paragraph" w:customStyle="1" w:styleId="MDPI38bullet">
    <w:name w:val="MDPI_3.8_bullet"/>
    <w:basedOn w:val="MDPI31text"/>
    <w:rsid w:val="00744E5A"/>
    <w:pPr>
      <w:numPr>
        <w:numId w:val="5"/>
      </w:numPr>
      <w:ind w:left="425" w:hanging="425"/>
    </w:pPr>
  </w:style>
  <w:style w:type="paragraph" w:customStyle="1" w:styleId="MDPI39equation">
    <w:name w:val="MDPI_3.9_equation"/>
    <w:basedOn w:val="MDPI31text"/>
    <w:rsid w:val="00744E5A"/>
    <w:pPr>
      <w:spacing w:before="120" w:after="120"/>
      <w:ind w:left="709" w:firstLine="0"/>
      <w:jc w:val="center"/>
    </w:pPr>
  </w:style>
  <w:style w:type="paragraph" w:customStyle="1" w:styleId="MDPI3aequationnumber">
    <w:name w:val="MDPI_3.a_equation_number"/>
    <w:basedOn w:val="MDPI31text"/>
    <w:rsid w:val="00744E5A"/>
    <w:pPr>
      <w:spacing w:before="120" w:after="120" w:line="240" w:lineRule="auto"/>
      <w:ind w:firstLine="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5398">
      <w:bodyDiv w:val="1"/>
      <w:marLeft w:val="0"/>
      <w:marRight w:val="0"/>
      <w:marTop w:val="0"/>
      <w:marBottom w:val="0"/>
      <w:divBdr>
        <w:top w:val="none" w:sz="0" w:space="0" w:color="auto"/>
        <w:left w:val="none" w:sz="0" w:space="0" w:color="auto"/>
        <w:bottom w:val="none" w:sz="0" w:space="0" w:color="auto"/>
        <w:right w:val="none" w:sz="0" w:space="0" w:color="auto"/>
      </w:divBdr>
    </w:div>
    <w:div w:id="373694935">
      <w:bodyDiv w:val="1"/>
      <w:marLeft w:val="0"/>
      <w:marRight w:val="0"/>
      <w:marTop w:val="0"/>
      <w:marBottom w:val="0"/>
      <w:divBdr>
        <w:top w:val="none" w:sz="0" w:space="0" w:color="auto"/>
        <w:left w:val="none" w:sz="0" w:space="0" w:color="auto"/>
        <w:bottom w:val="none" w:sz="0" w:space="0" w:color="auto"/>
        <w:right w:val="none" w:sz="0" w:space="0" w:color="auto"/>
      </w:divBdr>
    </w:div>
    <w:div w:id="882987366">
      <w:bodyDiv w:val="1"/>
      <w:marLeft w:val="0"/>
      <w:marRight w:val="0"/>
      <w:marTop w:val="0"/>
      <w:marBottom w:val="0"/>
      <w:divBdr>
        <w:top w:val="none" w:sz="0" w:space="0" w:color="auto"/>
        <w:left w:val="none" w:sz="0" w:space="0" w:color="auto"/>
        <w:bottom w:val="none" w:sz="0" w:space="0" w:color="auto"/>
        <w:right w:val="none" w:sz="0" w:space="0" w:color="auto"/>
      </w:divBdr>
    </w:div>
    <w:div w:id="1003629167">
      <w:bodyDiv w:val="1"/>
      <w:marLeft w:val="0"/>
      <w:marRight w:val="0"/>
      <w:marTop w:val="0"/>
      <w:marBottom w:val="0"/>
      <w:divBdr>
        <w:top w:val="none" w:sz="0" w:space="0" w:color="auto"/>
        <w:left w:val="none" w:sz="0" w:space="0" w:color="auto"/>
        <w:bottom w:val="none" w:sz="0" w:space="0" w:color="auto"/>
        <w:right w:val="none" w:sz="0" w:space="0" w:color="auto"/>
      </w:divBdr>
    </w:div>
    <w:div w:id="130878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03F7BC561DE6604EA82480FDF2044697" ma:contentTypeVersion="8" ma:contentTypeDescription="Crear nuevo documento." ma:contentTypeScope="" ma:versionID="62150e84b48732907e4ce3ae526f0d67">
  <xsd:schema xmlns:xsd="http://www.w3.org/2001/XMLSchema" xmlns:xs="http://www.w3.org/2001/XMLSchema" xmlns:p="http://schemas.microsoft.com/office/2006/metadata/properties" xmlns:ns2="f8db0a90-58eb-4bdd-9f33-44a7662891fb" targetNamespace="http://schemas.microsoft.com/office/2006/metadata/properties" ma:root="true" ma:fieldsID="07c1197a97fc893e7237aae4ba1bdfb6" ns2:_="">
    <xsd:import namespace="f8db0a90-58eb-4bdd-9f33-44a7662891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b0a90-58eb-4bdd-9f33-44a766289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F529AD-EE9B-43C8-A7D2-13CC9097B9F1}">
  <ds:schemaRefs>
    <ds:schemaRef ds:uri="http://schemas.microsoft.com/sharepoint/v3/contenttype/forms"/>
  </ds:schemaRefs>
</ds:datastoreItem>
</file>

<file path=customXml/itemProps2.xml><?xml version="1.0" encoding="utf-8"?>
<ds:datastoreItem xmlns:ds="http://schemas.openxmlformats.org/officeDocument/2006/customXml" ds:itemID="{B593E4B4-3441-4B95-B218-443F31A0B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b0a90-58eb-4bdd-9f33-44a766289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AF5E2B-3C58-4DFA-8743-9E6090B9DE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997</TotalTime>
  <Pages>5</Pages>
  <Words>45870</Words>
  <Characters>261464</Characters>
  <Application>Microsoft Office Word</Application>
  <DocSecurity>0</DocSecurity>
  <Lines>2178</Lines>
  <Paragraphs>613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Castells Somoza</dc:creator>
  <cp:keywords/>
  <dc:description/>
  <cp:lastModifiedBy>Vignesh Selvaraj</cp:lastModifiedBy>
  <cp:revision>59</cp:revision>
  <dcterms:created xsi:type="dcterms:W3CDTF">2022-07-13T16:22:00Z</dcterms:created>
  <dcterms:modified xsi:type="dcterms:W3CDTF">2023-07-26T11:46:00Z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0x01010003F7BC561DE6604EA82480FDF2044697</vt:lpwstr>
  </property>
</Properties>
</file>