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1B458" w14:textId="77777777" w:rsidR="0026672F" w:rsidRDefault="0026672F" w:rsidP="00795D59">
      <w:pPr>
        <w:jc w:val="center"/>
        <w:rPr>
          <w:sz w:val="28"/>
          <w:szCs w:val="28"/>
          <w:lang w:val="en-GB"/>
        </w:rPr>
      </w:pPr>
      <w:r w:rsidRPr="0026672F">
        <w:rPr>
          <w:sz w:val="28"/>
          <w:szCs w:val="28"/>
          <w:lang w:val="en-GB"/>
        </w:rPr>
        <w:t>Reaction to fire of birch plywood bonded with three different adhesive systems at multiple scales</w:t>
      </w:r>
    </w:p>
    <w:p w14:paraId="2D361143" w14:textId="41B469F5" w:rsidR="00863C30" w:rsidRPr="00795D59" w:rsidRDefault="00795D59" w:rsidP="00795D59">
      <w:pPr>
        <w:jc w:val="center"/>
        <w:rPr>
          <w:sz w:val="28"/>
          <w:szCs w:val="28"/>
          <w:lang w:val="en-GB"/>
        </w:rPr>
      </w:pPr>
      <w:bookmarkStart w:id="0" w:name="_GoBack"/>
      <w:bookmarkEnd w:id="0"/>
      <w:r w:rsidRPr="00795D59">
        <w:rPr>
          <w:sz w:val="28"/>
          <w:szCs w:val="28"/>
          <w:lang w:val="en-GB"/>
        </w:rPr>
        <w:t>Supplementary Information</w:t>
      </w:r>
    </w:p>
    <w:p w14:paraId="7CC2340D" w14:textId="5E5CB6DE" w:rsidR="004D6048" w:rsidRDefault="004D6048" w:rsidP="004D6048">
      <w:pPr>
        <w:pStyle w:val="Beschriftung"/>
      </w:pPr>
      <w:r>
        <w:t xml:space="preserve">S </w:t>
      </w:r>
      <w:r>
        <w:fldChar w:fldCharType="begin"/>
      </w:r>
      <w:r>
        <w:instrText xml:space="preserve"> SEQ S \* ARABIC </w:instrText>
      </w:r>
      <w:r>
        <w:fldChar w:fldCharType="separate"/>
      </w:r>
      <w:r>
        <w:rPr>
          <w:noProof/>
        </w:rPr>
        <w:t>1</w:t>
      </w:r>
      <w:r>
        <w:fldChar w:fldCharType="end"/>
      </w:r>
      <w:r>
        <w:t xml:space="preserve"> </w:t>
      </w:r>
      <w:r w:rsidRPr="0039105B">
        <w:rPr>
          <w:b w:val="0"/>
        </w:rPr>
        <w:t xml:space="preserve">Results of the Shapiro–Wilk normality tests and Levene homogeneity tests for the </w:t>
      </w:r>
      <w:r>
        <w:rPr>
          <w:b w:val="0"/>
        </w:rPr>
        <w:t>density of the Mini-SBI boards</w:t>
      </w:r>
      <w:r w:rsidRPr="0039105B">
        <w:rPr>
          <w:b w:val="0"/>
        </w:rPr>
        <w:t>. Shapiro–Wilk tests were performed for the residuals of the respective datasets. Assumption assessment refers to the applicability of ANOVA-based analysis.</w:t>
      </w:r>
    </w:p>
    <w:tbl>
      <w:tblPr>
        <w:tblW w:w="9639" w:type="dxa"/>
        <w:tblCellMar>
          <w:left w:w="70" w:type="dxa"/>
          <w:right w:w="70" w:type="dxa"/>
        </w:tblCellMar>
        <w:tblLook w:val="04A0" w:firstRow="1" w:lastRow="0" w:firstColumn="1" w:lastColumn="0" w:noHBand="0" w:noVBand="1"/>
      </w:tblPr>
      <w:tblGrid>
        <w:gridCol w:w="3402"/>
        <w:gridCol w:w="1701"/>
        <w:gridCol w:w="1701"/>
        <w:gridCol w:w="2835"/>
      </w:tblGrid>
      <w:tr w:rsidR="004D6048" w:rsidRPr="00863C30" w14:paraId="6C1AA2AA" w14:textId="77777777" w:rsidTr="00BE3103">
        <w:trPr>
          <w:trHeight w:val="283"/>
        </w:trPr>
        <w:tc>
          <w:tcPr>
            <w:tcW w:w="3402" w:type="dxa"/>
            <w:tcBorders>
              <w:bottom w:val="single" w:sz="4" w:space="0" w:color="auto"/>
            </w:tcBorders>
            <w:shd w:val="clear" w:color="auto" w:fill="auto"/>
            <w:noWrap/>
            <w:vAlign w:val="center"/>
            <w:hideMark/>
          </w:tcPr>
          <w:p w14:paraId="3C4E1D01" w14:textId="77777777" w:rsidR="004D6048" w:rsidRPr="00863C30" w:rsidRDefault="004D6048" w:rsidP="00BE3103">
            <w:pPr>
              <w:spacing w:after="0" w:line="240" w:lineRule="auto"/>
              <w:jc w:val="center"/>
              <w:rPr>
                <w:rFonts w:eastAsia="Times New Roman"/>
                <w:color w:val="000000"/>
                <w:lang w:eastAsia="de-AT"/>
              </w:rPr>
            </w:pPr>
            <w:r w:rsidRPr="00D2098B">
              <w:t>Cone Calorimeter</w:t>
            </w:r>
          </w:p>
        </w:tc>
        <w:tc>
          <w:tcPr>
            <w:tcW w:w="1701" w:type="dxa"/>
            <w:tcBorders>
              <w:bottom w:val="single" w:sz="4" w:space="0" w:color="auto"/>
            </w:tcBorders>
            <w:shd w:val="clear" w:color="auto" w:fill="auto"/>
            <w:noWrap/>
            <w:vAlign w:val="center"/>
            <w:hideMark/>
          </w:tcPr>
          <w:p w14:paraId="1BBB74E6" w14:textId="77777777" w:rsidR="004D6048" w:rsidRPr="00863C30" w:rsidRDefault="004D6048" w:rsidP="00BE3103">
            <w:pPr>
              <w:spacing w:after="0" w:line="240" w:lineRule="auto"/>
              <w:jc w:val="center"/>
              <w:rPr>
                <w:rFonts w:eastAsia="Times New Roman"/>
                <w:color w:val="000000"/>
                <w:lang w:eastAsia="de-AT"/>
              </w:rPr>
            </w:pPr>
            <w:r w:rsidRPr="00D2098B">
              <w:t>Shapiro-Wilk p</w:t>
            </w:r>
          </w:p>
        </w:tc>
        <w:tc>
          <w:tcPr>
            <w:tcW w:w="1701" w:type="dxa"/>
            <w:tcBorders>
              <w:bottom w:val="single" w:sz="4" w:space="0" w:color="auto"/>
            </w:tcBorders>
            <w:shd w:val="clear" w:color="auto" w:fill="auto"/>
            <w:noWrap/>
            <w:vAlign w:val="center"/>
            <w:hideMark/>
          </w:tcPr>
          <w:p w14:paraId="0180649D" w14:textId="77777777" w:rsidR="004D6048" w:rsidRPr="00863C30" w:rsidRDefault="004D6048" w:rsidP="00BE3103">
            <w:pPr>
              <w:spacing w:after="0" w:line="240" w:lineRule="auto"/>
              <w:jc w:val="center"/>
              <w:rPr>
                <w:rFonts w:eastAsia="Times New Roman"/>
                <w:color w:val="000000"/>
                <w:lang w:eastAsia="de-AT"/>
              </w:rPr>
            </w:pPr>
            <w:r w:rsidRPr="00D2098B">
              <w:t>Levene p</w:t>
            </w:r>
          </w:p>
        </w:tc>
        <w:tc>
          <w:tcPr>
            <w:tcW w:w="2835" w:type="dxa"/>
            <w:tcBorders>
              <w:bottom w:val="single" w:sz="4" w:space="0" w:color="auto"/>
            </w:tcBorders>
            <w:shd w:val="clear" w:color="auto" w:fill="auto"/>
            <w:noWrap/>
            <w:vAlign w:val="center"/>
            <w:hideMark/>
          </w:tcPr>
          <w:p w14:paraId="35A09255" w14:textId="77777777" w:rsidR="004D6048" w:rsidRPr="00863C30" w:rsidRDefault="004D6048" w:rsidP="00BE3103">
            <w:pPr>
              <w:spacing w:after="0" w:line="240" w:lineRule="auto"/>
              <w:jc w:val="center"/>
              <w:rPr>
                <w:rFonts w:eastAsia="Times New Roman"/>
                <w:color w:val="000000"/>
                <w:lang w:eastAsia="de-AT"/>
              </w:rPr>
            </w:pPr>
            <w:r w:rsidRPr="00D2098B">
              <w:t>Assumption assessment</w:t>
            </w:r>
          </w:p>
        </w:tc>
      </w:tr>
      <w:tr w:rsidR="004D6048" w:rsidRPr="00863C30" w14:paraId="48E9B293" w14:textId="77777777" w:rsidTr="00BE3103">
        <w:trPr>
          <w:trHeight w:val="283"/>
        </w:trPr>
        <w:tc>
          <w:tcPr>
            <w:tcW w:w="3402" w:type="dxa"/>
            <w:tcBorders>
              <w:top w:val="single" w:sz="4" w:space="0" w:color="auto"/>
            </w:tcBorders>
            <w:shd w:val="clear" w:color="auto" w:fill="auto"/>
            <w:vAlign w:val="center"/>
            <w:hideMark/>
          </w:tcPr>
          <w:p w14:paraId="54DF4C9E" w14:textId="5327A739" w:rsidR="004D6048" w:rsidRPr="00863C30" w:rsidRDefault="004D6048" w:rsidP="004D6048">
            <w:pPr>
              <w:spacing w:after="0" w:line="240" w:lineRule="auto"/>
              <w:jc w:val="center"/>
              <w:rPr>
                <w:rFonts w:eastAsia="Times New Roman"/>
                <w:color w:val="000000"/>
                <w:lang w:eastAsia="de-AT"/>
              </w:rPr>
            </w:pPr>
            <w:r>
              <w:t>Density (kg/m³)</w:t>
            </w:r>
          </w:p>
        </w:tc>
        <w:tc>
          <w:tcPr>
            <w:tcW w:w="1701" w:type="dxa"/>
            <w:tcBorders>
              <w:top w:val="single" w:sz="4" w:space="0" w:color="auto"/>
            </w:tcBorders>
            <w:shd w:val="clear" w:color="auto" w:fill="auto"/>
            <w:vAlign w:val="center"/>
            <w:hideMark/>
          </w:tcPr>
          <w:p w14:paraId="158B22CA" w14:textId="5EA07C6F" w:rsidR="004D6048" w:rsidRPr="00863C30" w:rsidRDefault="004D6048" w:rsidP="004D6048">
            <w:pPr>
              <w:spacing w:after="0" w:line="240" w:lineRule="auto"/>
              <w:jc w:val="center"/>
              <w:rPr>
                <w:rFonts w:eastAsia="Times New Roman"/>
                <w:color w:val="000000"/>
                <w:lang w:eastAsia="de-AT"/>
              </w:rPr>
            </w:pPr>
            <w:r w:rsidRPr="00D2098B">
              <w:t>0.</w:t>
            </w:r>
            <w:r>
              <w:t>615</w:t>
            </w:r>
          </w:p>
        </w:tc>
        <w:tc>
          <w:tcPr>
            <w:tcW w:w="1701" w:type="dxa"/>
            <w:tcBorders>
              <w:top w:val="single" w:sz="4" w:space="0" w:color="auto"/>
            </w:tcBorders>
            <w:shd w:val="clear" w:color="auto" w:fill="auto"/>
            <w:vAlign w:val="center"/>
            <w:hideMark/>
          </w:tcPr>
          <w:p w14:paraId="15C26D9C" w14:textId="64C85550" w:rsidR="004D6048" w:rsidRPr="00863C30" w:rsidRDefault="004D6048" w:rsidP="004D6048">
            <w:pPr>
              <w:spacing w:after="0" w:line="240" w:lineRule="auto"/>
              <w:jc w:val="center"/>
              <w:rPr>
                <w:rFonts w:eastAsia="Times New Roman"/>
                <w:color w:val="000000"/>
                <w:lang w:eastAsia="de-AT"/>
              </w:rPr>
            </w:pPr>
            <w:r>
              <w:t>0.008</w:t>
            </w:r>
          </w:p>
        </w:tc>
        <w:tc>
          <w:tcPr>
            <w:tcW w:w="2835" w:type="dxa"/>
            <w:tcBorders>
              <w:top w:val="single" w:sz="4" w:space="0" w:color="auto"/>
            </w:tcBorders>
            <w:shd w:val="clear" w:color="auto" w:fill="auto"/>
            <w:vAlign w:val="center"/>
            <w:hideMark/>
          </w:tcPr>
          <w:p w14:paraId="5EF3C56C" w14:textId="18EAD699" w:rsidR="004D6048" w:rsidRPr="00863C30" w:rsidRDefault="004D6048" w:rsidP="004D6048">
            <w:pPr>
              <w:spacing w:after="0" w:line="240" w:lineRule="auto"/>
              <w:jc w:val="center"/>
              <w:rPr>
                <w:rFonts w:eastAsia="Times New Roman"/>
                <w:color w:val="000000"/>
                <w:lang w:eastAsia="de-AT"/>
              </w:rPr>
            </w:pPr>
            <w:r w:rsidRPr="00D2098B">
              <w:t>heterogeneity of variance</w:t>
            </w:r>
          </w:p>
        </w:tc>
      </w:tr>
    </w:tbl>
    <w:p w14:paraId="2A1C4CE8" w14:textId="77777777" w:rsidR="004D6048" w:rsidRDefault="004D6048" w:rsidP="00BA37A2"/>
    <w:p w14:paraId="329AC039" w14:textId="065974BB" w:rsidR="00863C30" w:rsidRPr="00863C30" w:rsidRDefault="00863C30" w:rsidP="00863C30">
      <w:pPr>
        <w:pStyle w:val="Beschriftung"/>
        <w:rPr>
          <w:b w:val="0"/>
        </w:rPr>
      </w:pPr>
      <w:r>
        <w:t xml:space="preserve">S </w:t>
      </w:r>
      <w:r>
        <w:fldChar w:fldCharType="begin"/>
      </w:r>
      <w:r>
        <w:instrText xml:space="preserve"> SEQ S \* ARABIC </w:instrText>
      </w:r>
      <w:r>
        <w:fldChar w:fldCharType="separate"/>
      </w:r>
      <w:r w:rsidR="004D6048">
        <w:rPr>
          <w:noProof/>
        </w:rPr>
        <w:t>2</w:t>
      </w:r>
      <w:r>
        <w:fldChar w:fldCharType="end"/>
      </w:r>
      <w:r>
        <w:t xml:space="preserve"> </w:t>
      </w:r>
      <w:r w:rsidR="0039105B" w:rsidRPr="0039105B">
        <w:rPr>
          <w:b w:val="0"/>
        </w:rPr>
        <w:t>Results of the Shapiro–Wilk normality tests and Levene homogeneity tests for the cone calorimeter variables. Shapiro–Wilk tests were performed for the residuals of the respective datasets. Assumption assessment refers to the applicability of ANOVA-based analysis.</w:t>
      </w:r>
    </w:p>
    <w:tbl>
      <w:tblPr>
        <w:tblW w:w="9639" w:type="dxa"/>
        <w:tblCellMar>
          <w:left w:w="70" w:type="dxa"/>
          <w:right w:w="70" w:type="dxa"/>
        </w:tblCellMar>
        <w:tblLook w:val="04A0" w:firstRow="1" w:lastRow="0" w:firstColumn="1" w:lastColumn="0" w:noHBand="0" w:noVBand="1"/>
      </w:tblPr>
      <w:tblGrid>
        <w:gridCol w:w="3402"/>
        <w:gridCol w:w="1701"/>
        <w:gridCol w:w="1701"/>
        <w:gridCol w:w="2835"/>
      </w:tblGrid>
      <w:tr w:rsidR="00EE6CAB" w:rsidRPr="00863C30" w14:paraId="3CE2ACB6" w14:textId="77777777" w:rsidTr="00FE59EF">
        <w:trPr>
          <w:trHeight w:val="283"/>
        </w:trPr>
        <w:tc>
          <w:tcPr>
            <w:tcW w:w="3402" w:type="dxa"/>
            <w:tcBorders>
              <w:bottom w:val="single" w:sz="4" w:space="0" w:color="auto"/>
            </w:tcBorders>
            <w:shd w:val="clear" w:color="auto" w:fill="auto"/>
            <w:noWrap/>
            <w:vAlign w:val="center"/>
            <w:hideMark/>
          </w:tcPr>
          <w:p w14:paraId="136705C5" w14:textId="3BDC1994" w:rsidR="00EE6CAB" w:rsidRPr="00863C30" w:rsidRDefault="00EE6CAB" w:rsidP="00FE59EF">
            <w:pPr>
              <w:spacing w:after="0" w:line="240" w:lineRule="auto"/>
              <w:jc w:val="center"/>
              <w:rPr>
                <w:rFonts w:eastAsia="Times New Roman"/>
                <w:color w:val="000000"/>
                <w:lang w:eastAsia="de-AT"/>
              </w:rPr>
            </w:pPr>
            <w:r w:rsidRPr="00D2098B">
              <w:t>Cone Calorimeter</w:t>
            </w:r>
          </w:p>
        </w:tc>
        <w:tc>
          <w:tcPr>
            <w:tcW w:w="1701" w:type="dxa"/>
            <w:tcBorders>
              <w:bottom w:val="single" w:sz="4" w:space="0" w:color="auto"/>
            </w:tcBorders>
            <w:shd w:val="clear" w:color="auto" w:fill="auto"/>
            <w:noWrap/>
            <w:vAlign w:val="center"/>
            <w:hideMark/>
          </w:tcPr>
          <w:p w14:paraId="72550C96" w14:textId="4E464253" w:rsidR="00EE6CAB" w:rsidRPr="00863C30" w:rsidRDefault="00EE6CAB" w:rsidP="00FE59EF">
            <w:pPr>
              <w:spacing w:after="0" w:line="240" w:lineRule="auto"/>
              <w:jc w:val="center"/>
              <w:rPr>
                <w:rFonts w:eastAsia="Times New Roman"/>
                <w:color w:val="000000"/>
                <w:lang w:eastAsia="de-AT"/>
              </w:rPr>
            </w:pPr>
            <w:r w:rsidRPr="00D2098B">
              <w:t>Shapiro-Wilk p</w:t>
            </w:r>
          </w:p>
        </w:tc>
        <w:tc>
          <w:tcPr>
            <w:tcW w:w="1701" w:type="dxa"/>
            <w:tcBorders>
              <w:bottom w:val="single" w:sz="4" w:space="0" w:color="auto"/>
            </w:tcBorders>
            <w:shd w:val="clear" w:color="auto" w:fill="auto"/>
            <w:noWrap/>
            <w:vAlign w:val="center"/>
            <w:hideMark/>
          </w:tcPr>
          <w:p w14:paraId="43D0D545" w14:textId="4974D268" w:rsidR="00EE6CAB" w:rsidRPr="00863C30" w:rsidRDefault="00EE6CAB" w:rsidP="00FE59EF">
            <w:pPr>
              <w:spacing w:after="0" w:line="240" w:lineRule="auto"/>
              <w:jc w:val="center"/>
              <w:rPr>
                <w:rFonts w:eastAsia="Times New Roman"/>
                <w:color w:val="000000"/>
                <w:lang w:eastAsia="de-AT"/>
              </w:rPr>
            </w:pPr>
            <w:r w:rsidRPr="00D2098B">
              <w:t>Levene p</w:t>
            </w:r>
          </w:p>
        </w:tc>
        <w:tc>
          <w:tcPr>
            <w:tcW w:w="2835" w:type="dxa"/>
            <w:tcBorders>
              <w:bottom w:val="single" w:sz="4" w:space="0" w:color="auto"/>
            </w:tcBorders>
            <w:shd w:val="clear" w:color="auto" w:fill="auto"/>
            <w:noWrap/>
            <w:vAlign w:val="center"/>
            <w:hideMark/>
          </w:tcPr>
          <w:p w14:paraId="3D929ECB" w14:textId="46935BFC" w:rsidR="00EE6CAB" w:rsidRPr="00863C30" w:rsidRDefault="00EE6CAB" w:rsidP="00FE59EF">
            <w:pPr>
              <w:spacing w:after="0" w:line="240" w:lineRule="auto"/>
              <w:jc w:val="center"/>
              <w:rPr>
                <w:rFonts w:eastAsia="Times New Roman"/>
                <w:color w:val="000000"/>
                <w:lang w:eastAsia="de-AT"/>
              </w:rPr>
            </w:pPr>
            <w:r w:rsidRPr="00D2098B">
              <w:t>Assumption assessment</w:t>
            </w:r>
          </w:p>
        </w:tc>
      </w:tr>
      <w:tr w:rsidR="00FE59EF" w:rsidRPr="00863C30" w14:paraId="2528E278" w14:textId="77777777" w:rsidTr="00FE59EF">
        <w:trPr>
          <w:trHeight w:val="283"/>
        </w:trPr>
        <w:tc>
          <w:tcPr>
            <w:tcW w:w="3402" w:type="dxa"/>
            <w:tcBorders>
              <w:top w:val="single" w:sz="4" w:space="0" w:color="auto"/>
            </w:tcBorders>
            <w:shd w:val="clear" w:color="auto" w:fill="auto"/>
            <w:vAlign w:val="center"/>
            <w:hideMark/>
          </w:tcPr>
          <w:p w14:paraId="5F088939" w14:textId="1A465146" w:rsidR="00EE6CAB" w:rsidRPr="00863C30" w:rsidRDefault="00EE6CAB" w:rsidP="00FE59EF">
            <w:pPr>
              <w:spacing w:after="0" w:line="240" w:lineRule="auto"/>
              <w:jc w:val="center"/>
              <w:rPr>
                <w:rFonts w:eastAsia="Times New Roman"/>
                <w:color w:val="000000"/>
                <w:lang w:eastAsia="de-AT"/>
              </w:rPr>
            </w:pPr>
            <w:r w:rsidRPr="00D2098B">
              <w:t>Time to ignition (s)</w:t>
            </w:r>
          </w:p>
        </w:tc>
        <w:tc>
          <w:tcPr>
            <w:tcW w:w="1701" w:type="dxa"/>
            <w:tcBorders>
              <w:top w:val="single" w:sz="4" w:space="0" w:color="auto"/>
            </w:tcBorders>
            <w:shd w:val="clear" w:color="auto" w:fill="auto"/>
            <w:vAlign w:val="center"/>
            <w:hideMark/>
          </w:tcPr>
          <w:p w14:paraId="65853801" w14:textId="61F76E53" w:rsidR="00EE6CAB" w:rsidRPr="00863C30" w:rsidRDefault="00EE6CAB" w:rsidP="00FE59EF">
            <w:pPr>
              <w:spacing w:after="0" w:line="240" w:lineRule="auto"/>
              <w:jc w:val="center"/>
              <w:rPr>
                <w:rFonts w:eastAsia="Times New Roman"/>
                <w:color w:val="000000"/>
                <w:lang w:eastAsia="de-AT"/>
              </w:rPr>
            </w:pPr>
            <w:r w:rsidRPr="00D2098B">
              <w:t>0.141</w:t>
            </w:r>
          </w:p>
        </w:tc>
        <w:tc>
          <w:tcPr>
            <w:tcW w:w="1701" w:type="dxa"/>
            <w:tcBorders>
              <w:top w:val="single" w:sz="4" w:space="0" w:color="auto"/>
            </w:tcBorders>
            <w:shd w:val="clear" w:color="auto" w:fill="auto"/>
            <w:vAlign w:val="center"/>
            <w:hideMark/>
          </w:tcPr>
          <w:p w14:paraId="42C27892" w14:textId="61235D5F" w:rsidR="00EE6CAB" w:rsidRPr="00863C30" w:rsidRDefault="00EE6CAB" w:rsidP="00FE59EF">
            <w:pPr>
              <w:spacing w:after="0" w:line="240" w:lineRule="auto"/>
              <w:jc w:val="center"/>
              <w:rPr>
                <w:rFonts w:eastAsia="Times New Roman"/>
                <w:color w:val="000000"/>
                <w:lang w:eastAsia="de-AT"/>
              </w:rPr>
            </w:pPr>
            <w:r w:rsidRPr="00D2098B">
              <w:t>0.289</w:t>
            </w:r>
          </w:p>
        </w:tc>
        <w:tc>
          <w:tcPr>
            <w:tcW w:w="2835" w:type="dxa"/>
            <w:tcBorders>
              <w:top w:val="single" w:sz="4" w:space="0" w:color="auto"/>
            </w:tcBorders>
            <w:shd w:val="clear" w:color="auto" w:fill="auto"/>
            <w:vAlign w:val="center"/>
            <w:hideMark/>
          </w:tcPr>
          <w:p w14:paraId="39985CB2" w14:textId="3D4EC99C"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658D5B74" w14:textId="77777777" w:rsidTr="00FE59EF">
        <w:trPr>
          <w:trHeight w:val="283"/>
        </w:trPr>
        <w:tc>
          <w:tcPr>
            <w:tcW w:w="3402" w:type="dxa"/>
            <w:shd w:val="clear" w:color="auto" w:fill="auto"/>
            <w:vAlign w:val="center"/>
            <w:hideMark/>
          </w:tcPr>
          <w:p w14:paraId="2C84EC36" w14:textId="1985B487" w:rsidR="00EE6CAB" w:rsidRPr="00863C30" w:rsidRDefault="00EE6CAB" w:rsidP="00FE59EF">
            <w:pPr>
              <w:spacing w:after="0" w:line="240" w:lineRule="auto"/>
              <w:jc w:val="center"/>
              <w:rPr>
                <w:rFonts w:eastAsia="Times New Roman"/>
                <w:color w:val="000000"/>
                <w:lang w:eastAsia="de-AT"/>
              </w:rPr>
            </w:pPr>
            <w:r w:rsidRPr="00D2098B">
              <w:t>Time to flame off (s)</w:t>
            </w:r>
          </w:p>
        </w:tc>
        <w:tc>
          <w:tcPr>
            <w:tcW w:w="1701" w:type="dxa"/>
            <w:shd w:val="clear" w:color="auto" w:fill="auto"/>
            <w:vAlign w:val="center"/>
            <w:hideMark/>
          </w:tcPr>
          <w:p w14:paraId="0266AC90" w14:textId="660181B6" w:rsidR="00EE6CAB" w:rsidRPr="00863C30" w:rsidRDefault="00EE6CAB" w:rsidP="00FE59EF">
            <w:pPr>
              <w:spacing w:after="0" w:line="240" w:lineRule="auto"/>
              <w:jc w:val="center"/>
              <w:rPr>
                <w:rFonts w:eastAsia="Times New Roman"/>
                <w:color w:val="000000"/>
                <w:lang w:eastAsia="de-AT"/>
              </w:rPr>
            </w:pPr>
            <w:r w:rsidRPr="00D2098B">
              <w:t>0.188</w:t>
            </w:r>
          </w:p>
        </w:tc>
        <w:tc>
          <w:tcPr>
            <w:tcW w:w="1701" w:type="dxa"/>
            <w:shd w:val="clear" w:color="auto" w:fill="auto"/>
            <w:vAlign w:val="center"/>
            <w:hideMark/>
          </w:tcPr>
          <w:p w14:paraId="37F6B4BA" w14:textId="6070CD2C" w:rsidR="00EE6CAB" w:rsidRPr="00863C30" w:rsidRDefault="00EE6CAB" w:rsidP="00FE59EF">
            <w:pPr>
              <w:spacing w:after="0" w:line="240" w:lineRule="auto"/>
              <w:jc w:val="center"/>
              <w:rPr>
                <w:rFonts w:eastAsia="Times New Roman"/>
                <w:color w:val="000000"/>
                <w:lang w:eastAsia="de-AT"/>
              </w:rPr>
            </w:pPr>
            <w:r w:rsidRPr="00D2098B">
              <w:t>0.091</w:t>
            </w:r>
          </w:p>
        </w:tc>
        <w:tc>
          <w:tcPr>
            <w:tcW w:w="2835" w:type="dxa"/>
            <w:shd w:val="clear" w:color="auto" w:fill="auto"/>
            <w:vAlign w:val="center"/>
            <w:hideMark/>
          </w:tcPr>
          <w:p w14:paraId="0E80280E" w14:textId="4B47C025"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28365379" w14:textId="77777777" w:rsidTr="00FE59EF">
        <w:trPr>
          <w:trHeight w:val="283"/>
        </w:trPr>
        <w:tc>
          <w:tcPr>
            <w:tcW w:w="3402" w:type="dxa"/>
            <w:shd w:val="clear" w:color="auto" w:fill="auto"/>
            <w:vAlign w:val="center"/>
            <w:hideMark/>
          </w:tcPr>
          <w:p w14:paraId="7AFA5E15" w14:textId="01A03866" w:rsidR="00EE6CAB" w:rsidRPr="00863C30" w:rsidRDefault="00EE6CAB" w:rsidP="00FE59EF">
            <w:pPr>
              <w:spacing w:after="0" w:line="240" w:lineRule="auto"/>
              <w:jc w:val="center"/>
              <w:rPr>
                <w:rFonts w:eastAsia="Times New Roman"/>
                <w:color w:val="000000"/>
                <w:lang w:eastAsia="de-AT"/>
              </w:rPr>
            </w:pPr>
            <w:r w:rsidRPr="00D2098B">
              <w:t>Total heat release (MJ/m²)</w:t>
            </w:r>
          </w:p>
        </w:tc>
        <w:tc>
          <w:tcPr>
            <w:tcW w:w="1701" w:type="dxa"/>
            <w:shd w:val="clear" w:color="auto" w:fill="auto"/>
            <w:vAlign w:val="center"/>
            <w:hideMark/>
          </w:tcPr>
          <w:p w14:paraId="71F84FE0" w14:textId="73EEB60B" w:rsidR="00EE6CAB" w:rsidRPr="00863C30" w:rsidRDefault="00EE6CAB" w:rsidP="00FE59EF">
            <w:pPr>
              <w:spacing w:after="0" w:line="240" w:lineRule="auto"/>
              <w:jc w:val="center"/>
              <w:rPr>
                <w:rFonts w:eastAsia="Times New Roman"/>
                <w:color w:val="000000"/>
                <w:lang w:eastAsia="de-AT"/>
              </w:rPr>
            </w:pPr>
            <w:r w:rsidRPr="00D2098B">
              <w:t>0.888</w:t>
            </w:r>
          </w:p>
        </w:tc>
        <w:tc>
          <w:tcPr>
            <w:tcW w:w="1701" w:type="dxa"/>
            <w:shd w:val="clear" w:color="auto" w:fill="auto"/>
            <w:vAlign w:val="center"/>
            <w:hideMark/>
          </w:tcPr>
          <w:p w14:paraId="5E1D3524" w14:textId="258E500A" w:rsidR="00EE6CAB" w:rsidRPr="00863C30" w:rsidRDefault="00EE6CAB" w:rsidP="00FE59EF">
            <w:pPr>
              <w:spacing w:after="0" w:line="240" w:lineRule="auto"/>
              <w:jc w:val="center"/>
              <w:rPr>
                <w:rFonts w:eastAsia="Times New Roman"/>
                <w:color w:val="000000"/>
                <w:lang w:eastAsia="de-AT"/>
              </w:rPr>
            </w:pPr>
            <w:r w:rsidRPr="00D2098B">
              <w:t>0.308</w:t>
            </w:r>
          </w:p>
        </w:tc>
        <w:tc>
          <w:tcPr>
            <w:tcW w:w="2835" w:type="dxa"/>
            <w:shd w:val="clear" w:color="auto" w:fill="auto"/>
            <w:vAlign w:val="center"/>
            <w:hideMark/>
          </w:tcPr>
          <w:p w14:paraId="218C8E28" w14:textId="4BAED747"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2CF8138B" w14:textId="77777777" w:rsidTr="00FE59EF">
        <w:trPr>
          <w:trHeight w:val="283"/>
        </w:trPr>
        <w:tc>
          <w:tcPr>
            <w:tcW w:w="3402" w:type="dxa"/>
            <w:tcBorders>
              <w:bottom w:val="single" w:sz="4" w:space="0" w:color="auto"/>
            </w:tcBorders>
            <w:shd w:val="clear" w:color="auto" w:fill="auto"/>
            <w:vAlign w:val="center"/>
            <w:hideMark/>
          </w:tcPr>
          <w:p w14:paraId="472D129D" w14:textId="5BCF92E8" w:rsidR="00EE6CAB" w:rsidRPr="00863C30" w:rsidRDefault="00EE6CAB" w:rsidP="00FE59EF">
            <w:pPr>
              <w:spacing w:after="0" w:line="240" w:lineRule="auto"/>
              <w:jc w:val="center"/>
              <w:rPr>
                <w:rFonts w:eastAsia="Times New Roman"/>
                <w:color w:val="000000"/>
                <w:lang w:eastAsia="de-AT"/>
              </w:rPr>
            </w:pPr>
            <w:r w:rsidRPr="00D2098B">
              <w:t>Total heat release rate 600s (MJ/m²)</w:t>
            </w:r>
          </w:p>
        </w:tc>
        <w:tc>
          <w:tcPr>
            <w:tcW w:w="1701" w:type="dxa"/>
            <w:tcBorders>
              <w:bottom w:val="single" w:sz="4" w:space="0" w:color="auto"/>
            </w:tcBorders>
            <w:shd w:val="clear" w:color="auto" w:fill="auto"/>
            <w:vAlign w:val="center"/>
            <w:hideMark/>
          </w:tcPr>
          <w:p w14:paraId="272FD9B8" w14:textId="51D18532" w:rsidR="00EE6CAB" w:rsidRPr="00863C30" w:rsidRDefault="00EE6CAB" w:rsidP="00FE59EF">
            <w:pPr>
              <w:spacing w:after="0" w:line="240" w:lineRule="auto"/>
              <w:jc w:val="center"/>
              <w:rPr>
                <w:rFonts w:eastAsia="Times New Roman"/>
                <w:color w:val="000000"/>
                <w:lang w:eastAsia="de-AT"/>
              </w:rPr>
            </w:pPr>
            <w:r w:rsidRPr="00D2098B">
              <w:t>0.695</w:t>
            </w:r>
          </w:p>
        </w:tc>
        <w:tc>
          <w:tcPr>
            <w:tcW w:w="1701" w:type="dxa"/>
            <w:tcBorders>
              <w:bottom w:val="single" w:sz="4" w:space="0" w:color="auto"/>
            </w:tcBorders>
            <w:shd w:val="clear" w:color="auto" w:fill="auto"/>
            <w:vAlign w:val="center"/>
            <w:hideMark/>
          </w:tcPr>
          <w:p w14:paraId="71C022A9" w14:textId="21B7148F" w:rsidR="00EE6CAB" w:rsidRPr="00863C30" w:rsidRDefault="00EE6CAB" w:rsidP="00FE59EF">
            <w:pPr>
              <w:spacing w:after="0" w:line="240" w:lineRule="auto"/>
              <w:jc w:val="center"/>
              <w:rPr>
                <w:rFonts w:eastAsia="Times New Roman"/>
                <w:color w:val="000000"/>
                <w:lang w:eastAsia="de-AT"/>
              </w:rPr>
            </w:pPr>
            <w:r w:rsidRPr="00D2098B">
              <w:t>0.479</w:t>
            </w:r>
          </w:p>
        </w:tc>
        <w:tc>
          <w:tcPr>
            <w:tcW w:w="2835" w:type="dxa"/>
            <w:tcBorders>
              <w:bottom w:val="single" w:sz="4" w:space="0" w:color="auto"/>
            </w:tcBorders>
            <w:shd w:val="clear" w:color="auto" w:fill="auto"/>
            <w:vAlign w:val="center"/>
            <w:hideMark/>
          </w:tcPr>
          <w:p w14:paraId="72FE9DC9" w14:textId="18083FF6"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04C1C2F8" w14:textId="77777777" w:rsidTr="00FE59EF">
        <w:trPr>
          <w:trHeight w:val="283"/>
        </w:trPr>
        <w:tc>
          <w:tcPr>
            <w:tcW w:w="3402" w:type="dxa"/>
            <w:tcBorders>
              <w:top w:val="single" w:sz="4" w:space="0" w:color="auto"/>
            </w:tcBorders>
            <w:shd w:val="clear" w:color="auto" w:fill="auto"/>
            <w:vAlign w:val="center"/>
            <w:hideMark/>
          </w:tcPr>
          <w:p w14:paraId="44128826" w14:textId="4C5A44D9" w:rsidR="00EE6CAB" w:rsidRPr="00863C30" w:rsidRDefault="00EE6CAB" w:rsidP="00FE59EF">
            <w:pPr>
              <w:spacing w:after="0" w:line="240" w:lineRule="auto"/>
              <w:jc w:val="center"/>
              <w:rPr>
                <w:rFonts w:eastAsia="Times New Roman"/>
                <w:color w:val="000000"/>
                <w:lang w:eastAsia="de-AT"/>
              </w:rPr>
            </w:pPr>
            <w:r w:rsidRPr="00D2098B">
              <w:t>Peak heat release 1 (kW/m²)</w:t>
            </w:r>
          </w:p>
        </w:tc>
        <w:tc>
          <w:tcPr>
            <w:tcW w:w="1701" w:type="dxa"/>
            <w:tcBorders>
              <w:top w:val="single" w:sz="4" w:space="0" w:color="auto"/>
            </w:tcBorders>
            <w:shd w:val="clear" w:color="auto" w:fill="auto"/>
            <w:vAlign w:val="center"/>
            <w:hideMark/>
          </w:tcPr>
          <w:p w14:paraId="15FDECAE" w14:textId="0BD10954" w:rsidR="00EE6CAB" w:rsidRPr="00863C30" w:rsidRDefault="00EE6CAB" w:rsidP="00FE59EF">
            <w:pPr>
              <w:spacing w:after="0" w:line="240" w:lineRule="auto"/>
              <w:jc w:val="center"/>
              <w:rPr>
                <w:rFonts w:eastAsia="Times New Roman"/>
                <w:color w:val="000000"/>
                <w:lang w:eastAsia="de-AT"/>
              </w:rPr>
            </w:pPr>
            <w:r w:rsidRPr="00D2098B">
              <w:t>0.585</w:t>
            </w:r>
          </w:p>
        </w:tc>
        <w:tc>
          <w:tcPr>
            <w:tcW w:w="1701" w:type="dxa"/>
            <w:tcBorders>
              <w:top w:val="single" w:sz="4" w:space="0" w:color="auto"/>
            </w:tcBorders>
            <w:shd w:val="clear" w:color="auto" w:fill="auto"/>
            <w:vAlign w:val="center"/>
            <w:hideMark/>
          </w:tcPr>
          <w:p w14:paraId="496D7EA4" w14:textId="08141FE5" w:rsidR="00EE6CAB" w:rsidRPr="00863C30" w:rsidRDefault="00EE6CAB" w:rsidP="00FE59EF">
            <w:pPr>
              <w:spacing w:after="0" w:line="240" w:lineRule="auto"/>
              <w:jc w:val="center"/>
              <w:rPr>
                <w:rFonts w:eastAsia="Times New Roman"/>
                <w:color w:val="000000"/>
                <w:lang w:eastAsia="de-AT"/>
              </w:rPr>
            </w:pPr>
            <w:r w:rsidRPr="00D2098B">
              <w:t>&lt;0.001</w:t>
            </w:r>
          </w:p>
        </w:tc>
        <w:tc>
          <w:tcPr>
            <w:tcW w:w="2835" w:type="dxa"/>
            <w:tcBorders>
              <w:top w:val="single" w:sz="4" w:space="0" w:color="auto"/>
            </w:tcBorders>
            <w:shd w:val="clear" w:color="auto" w:fill="auto"/>
            <w:vAlign w:val="center"/>
            <w:hideMark/>
          </w:tcPr>
          <w:p w14:paraId="08A03299" w14:textId="498DBC46" w:rsidR="00EE6CAB" w:rsidRPr="00863C30" w:rsidRDefault="00EE6CAB" w:rsidP="00FE59EF">
            <w:pPr>
              <w:spacing w:after="0" w:line="240" w:lineRule="auto"/>
              <w:jc w:val="center"/>
              <w:rPr>
                <w:rFonts w:eastAsia="Times New Roman"/>
                <w:color w:val="000000"/>
                <w:lang w:eastAsia="de-AT"/>
              </w:rPr>
            </w:pPr>
            <w:r w:rsidRPr="00D2098B">
              <w:t>heterogeneity of variance</w:t>
            </w:r>
          </w:p>
        </w:tc>
      </w:tr>
      <w:tr w:rsidR="00FE59EF" w:rsidRPr="00863C30" w14:paraId="5DF1BBFF" w14:textId="77777777" w:rsidTr="00FE59EF">
        <w:trPr>
          <w:trHeight w:val="283"/>
        </w:trPr>
        <w:tc>
          <w:tcPr>
            <w:tcW w:w="3402" w:type="dxa"/>
            <w:shd w:val="clear" w:color="auto" w:fill="auto"/>
            <w:vAlign w:val="center"/>
            <w:hideMark/>
          </w:tcPr>
          <w:p w14:paraId="18615E17" w14:textId="14C67AC1" w:rsidR="00EE6CAB" w:rsidRPr="00863C30" w:rsidRDefault="00EE6CAB" w:rsidP="00FE59EF">
            <w:pPr>
              <w:spacing w:after="0" w:line="240" w:lineRule="auto"/>
              <w:jc w:val="center"/>
              <w:rPr>
                <w:rFonts w:eastAsia="Times New Roman"/>
                <w:color w:val="000000"/>
                <w:lang w:eastAsia="de-AT"/>
              </w:rPr>
            </w:pPr>
            <w:r w:rsidRPr="00D2098B">
              <w:t>Peak heat release 2 (kW/m²)</w:t>
            </w:r>
          </w:p>
        </w:tc>
        <w:tc>
          <w:tcPr>
            <w:tcW w:w="1701" w:type="dxa"/>
            <w:shd w:val="clear" w:color="auto" w:fill="auto"/>
            <w:vAlign w:val="center"/>
            <w:hideMark/>
          </w:tcPr>
          <w:p w14:paraId="6A636275" w14:textId="064AEDF1" w:rsidR="00EE6CAB" w:rsidRPr="00863C30" w:rsidRDefault="00EE6CAB" w:rsidP="00FE59EF">
            <w:pPr>
              <w:spacing w:after="0" w:line="240" w:lineRule="auto"/>
              <w:jc w:val="center"/>
              <w:rPr>
                <w:rFonts w:eastAsia="Times New Roman"/>
                <w:color w:val="000000"/>
                <w:lang w:eastAsia="de-AT"/>
              </w:rPr>
            </w:pPr>
            <w:r w:rsidRPr="00D2098B">
              <w:t>0.505</w:t>
            </w:r>
          </w:p>
        </w:tc>
        <w:tc>
          <w:tcPr>
            <w:tcW w:w="1701" w:type="dxa"/>
            <w:shd w:val="clear" w:color="auto" w:fill="auto"/>
            <w:vAlign w:val="center"/>
            <w:hideMark/>
          </w:tcPr>
          <w:p w14:paraId="01C51500" w14:textId="51CA8720" w:rsidR="00EE6CAB" w:rsidRPr="00863C30" w:rsidRDefault="00EE6CAB" w:rsidP="00FE59EF">
            <w:pPr>
              <w:spacing w:after="0" w:line="240" w:lineRule="auto"/>
              <w:jc w:val="center"/>
              <w:rPr>
                <w:rFonts w:eastAsia="Times New Roman"/>
                <w:color w:val="000000"/>
                <w:lang w:eastAsia="de-AT"/>
              </w:rPr>
            </w:pPr>
            <w:r w:rsidRPr="00D2098B">
              <w:t>0.156</w:t>
            </w:r>
          </w:p>
        </w:tc>
        <w:tc>
          <w:tcPr>
            <w:tcW w:w="2835" w:type="dxa"/>
            <w:shd w:val="clear" w:color="auto" w:fill="auto"/>
            <w:vAlign w:val="center"/>
            <w:hideMark/>
          </w:tcPr>
          <w:p w14:paraId="00C34319" w14:textId="068F0D14"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155B3F17" w14:textId="77777777" w:rsidTr="00FE59EF">
        <w:trPr>
          <w:trHeight w:val="283"/>
        </w:trPr>
        <w:tc>
          <w:tcPr>
            <w:tcW w:w="3402" w:type="dxa"/>
            <w:tcBorders>
              <w:bottom w:val="single" w:sz="4" w:space="0" w:color="auto"/>
            </w:tcBorders>
            <w:shd w:val="clear" w:color="auto" w:fill="auto"/>
            <w:vAlign w:val="center"/>
            <w:hideMark/>
          </w:tcPr>
          <w:p w14:paraId="1DC61307" w14:textId="39307556" w:rsidR="00EE6CAB" w:rsidRPr="00863C30" w:rsidRDefault="00EE6CAB" w:rsidP="00FE59EF">
            <w:pPr>
              <w:spacing w:after="0" w:line="240" w:lineRule="auto"/>
              <w:jc w:val="center"/>
              <w:rPr>
                <w:rFonts w:eastAsia="Times New Roman"/>
                <w:color w:val="000000"/>
                <w:lang w:eastAsia="de-AT"/>
              </w:rPr>
            </w:pPr>
            <w:r w:rsidRPr="00D2098B">
              <w:t>Maximum average rate of heat emission (kW/m²)</w:t>
            </w:r>
          </w:p>
        </w:tc>
        <w:tc>
          <w:tcPr>
            <w:tcW w:w="1701" w:type="dxa"/>
            <w:tcBorders>
              <w:bottom w:val="single" w:sz="4" w:space="0" w:color="auto"/>
            </w:tcBorders>
            <w:shd w:val="clear" w:color="auto" w:fill="auto"/>
            <w:vAlign w:val="center"/>
            <w:hideMark/>
          </w:tcPr>
          <w:p w14:paraId="52D4C1C4" w14:textId="3BEA9410" w:rsidR="00EE6CAB" w:rsidRPr="00863C30" w:rsidRDefault="00EE6CAB" w:rsidP="00FE59EF">
            <w:pPr>
              <w:spacing w:after="0" w:line="240" w:lineRule="auto"/>
              <w:jc w:val="center"/>
              <w:rPr>
                <w:rFonts w:eastAsia="Times New Roman"/>
                <w:color w:val="000000"/>
                <w:lang w:eastAsia="de-AT"/>
              </w:rPr>
            </w:pPr>
            <w:r w:rsidRPr="00D2098B">
              <w:t>0.065</w:t>
            </w:r>
          </w:p>
        </w:tc>
        <w:tc>
          <w:tcPr>
            <w:tcW w:w="1701" w:type="dxa"/>
            <w:tcBorders>
              <w:bottom w:val="single" w:sz="4" w:space="0" w:color="auto"/>
            </w:tcBorders>
            <w:shd w:val="clear" w:color="auto" w:fill="auto"/>
            <w:vAlign w:val="center"/>
            <w:hideMark/>
          </w:tcPr>
          <w:p w14:paraId="471A6E52" w14:textId="58E0B652" w:rsidR="00EE6CAB" w:rsidRPr="00863C30" w:rsidRDefault="00EE6CAB" w:rsidP="00FE59EF">
            <w:pPr>
              <w:spacing w:after="0" w:line="240" w:lineRule="auto"/>
              <w:jc w:val="center"/>
              <w:rPr>
                <w:rFonts w:eastAsia="Times New Roman"/>
                <w:color w:val="000000"/>
                <w:lang w:eastAsia="de-AT"/>
              </w:rPr>
            </w:pPr>
            <w:r w:rsidRPr="00D2098B">
              <w:t>0.119</w:t>
            </w:r>
          </w:p>
        </w:tc>
        <w:tc>
          <w:tcPr>
            <w:tcW w:w="2835" w:type="dxa"/>
            <w:tcBorders>
              <w:bottom w:val="single" w:sz="4" w:space="0" w:color="auto"/>
            </w:tcBorders>
            <w:shd w:val="clear" w:color="auto" w:fill="auto"/>
            <w:vAlign w:val="center"/>
            <w:hideMark/>
          </w:tcPr>
          <w:p w14:paraId="5C070BC4" w14:textId="2BCEDAEA"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18033C36" w14:textId="77777777" w:rsidTr="00FE59EF">
        <w:trPr>
          <w:trHeight w:val="283"/>
        </w:trPr>
        <w:tc>
          <w:tcPr>
            <w:tcW w:w="3402" w:type="dxa"/>
            <w:tcBorders>
              <w:top w:val="single" w:sz="4" w:space="0" w:color="auto"/>
            </w:tcBorders>
            <w:shd w:val="clear" w:color="auto" w:fill="auto"/>
            <w:vAlign w:val="center"/>
            <w:hideMark/>
          </w:tcPr>
          <w:p w14:paraId="68900382" w14:textId="5850DDA9" w:rsidR="00EE6CAB" w:rsidRPr="00863C30" w:rsidRDefault="00EE6CAB" w:rsidP="00FE59EF">
            <w:pPr>
              <w:spacing w:after="0" w:line="240" w:lineRule="auto"/>
              <w:jc w:val="center"/>
              <w:rPr>
                <w:rFonts w:eastAsia="Times New Roman"/>
                <w:color w:val="000000"/>
                <w:lang w:eastAsia="de-AT"/>
              </w:rPr>
            </w:pPr>
            <w:r w:rsidRPr="00D2098B">
              <w:t>Total smoke production (m²/m²)</w:t>
            </w:r>
          </w:p>
        </w:tc>
        <w:tc>
          <w:tcPr>
            <w:tcW w:w="1701" w:type="dxa"/>
            <w:tcBorders>
              <w:top w:val="single" w:sz="4" w:space="0" w:color="auto"/>
            </w:tcBorders>
            <w:shd w:val="clear" w:color="auto" w:fill="auto"/>
            <w:vAlign w:val="center"/>
            <w:hideMark/>
          </w:tcPr>
          <w:p w14:paraId="77E38E3B" w14:textId="136D8943" w:rsidR="00EE6CAB" w:rsidRPr="00863C30" w:rsidRDefault="00EE6CAB" w:rsidP="00FE59EF">
            <w:pPr>
              <w:spacing w:after="0" w:line="240" w:lineRule="auto"/>
              <w:jc w:val="center"/>
              <w:rPr>
                <w:rFonts w:eastAsia="Times New Roman"/>
                <w:color w:val="000000"/>
                <w:lang w:eastAsia="de-AT"/>
              </w:rPr>
            </w:pPr>
            <w:r w:rsidRPr="00D2098B">
              <w:t>0.997</w:t>
            </w:r>
          </w:p>
        </w:tc>
        <w:tc>
          <w:tcPr>
            <w:tcW w:w="1701" w:type="dxa"/>
            <w:tcBorders>
              <w:top w:val="single" w:sz="4" w:space="0" w:color="auto"/>
            </w:tcBorders>
            <w:shd w:val="clear" w:color="auto" w:fill="auto"/>
            <w:vAlign w:val="center"/>
            <w:hideMark/>
          </w:tcPr>
          <w:p w14:paraId="6FD45EDF" w14:textId="281E238C" w:rsidR="00EE6CAB" w:rsidRPr="00863C30" w:rsidRDefault="00EE6CAB" w:rsidP="00FE59EF">
            <w:pPr>
              <w:spacing w:after="0" w:line="240" w:lineRule="auto"/>
              <w:jc w:val="center"/>
              <w:rPr>
                <w:rFonts w:eastAsia="Times New Roman"/>
                <w:color w:val="000000"/>
                <w:lang w:eastAsia="de-AT"/>
              </w:rPr>
            </w:pPr>
            <w:r w:rsidRPr="00D2098B">
              <w:t>0.084</w:t>
            </w:r>
          </w:p>
        </w:tc>
        <w:tc>
          <w:tcPr>
            <w:tcW w:w="2835" w:type="dxa"/>
            <w:tcBorders>
              <w:top w:val="single" w:sz="4" w:space="0" w:color="auto"/>
            </w:tcBorders>
            <w:shd w:val="clear" w:color="auto" w:fill="auto"/>
            <w:vAlign w:val="center"/>
            <w:hideMark/>
          </w:tcPr>
          <w:p w14:paraId="41489184" w14:textId="5802A85B"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7C322A23" w14:textId="77777777" w:rsidTr="00FE59EF">
        <w:trPr>
          <w:trHeight w:val="283"/>
        </w:trPr>
        <w:tc>
          <w:tcPr>
            <w:tcW w:w="3402" w:type="dxa"/>
            <w:shd w:val="clear" w:color="auto" w:fill="auto"/>
            <w:vAlign w:val="center"/>
            <w:hideMark/>
          </w:tcPr>
          <w:p w14:paraId="4F29B37D" w14:textId="497F86CC" w:rsidR="00EE6CAB" w:rsidRPr="00863C30" w:rsidRDefault="00EE6CAB" w:rsidP="00FE59EF">
            <w:pPr>
              <w:spacing w:after="0" w:line="240" w:lineRule="auto"/>
              <w:jc w:val="center"/>
              <w:rPr>
                <w:rFonts w:eastAsia="Times New Roman"/>
                <w:color w:val="000000"/>
                <w:lang w:eastAsia="de-AT"/>
              </w:rPr>
            </w:pPr>
            <w:r w:rsidRPr="00D2098B">
              <w:t>Total smoke prod. nonfl. phase (m²/m²)</w:t>
            </w:r>
          </w:p>
        </w:tc>
        <w:tc>
          <w:tcPr>
            <w:tcW w:w="1701" w:type="dxa"/>
            <w:shd w:val="clear" w:color="auto" w:fill="auto"/>
            <w:vAlign w:val="center"/>
            <w:hideMark/>
          </w:tcPr>
          <w:p w14:paraId="0DD7B461" w14:textId="408B5517" w:rsidR="00EE6CAB" w:rsidRPr="00863C30" w:rsidRDefault="00EE6CAB" w:rsidP="00FE59EF">
            <w:pPr>
              <w:spacing w:after="0" w:line="240" w:lineRule="auto"/>
              <w:jc w:val="center"/>
              <w:rPr>
                <w:rFonts w:eastAsia="Times New Roman"/>
                <w:color w:val="000000"/>
                <w:lang w:eastAsia="de-AT"/>
              </w:rPr>
            </w:pPr>
            <w:r w:rsidRPr="00D2098B">
              <w:t>0.043</w:t>
            </w:r>
          </w:p>
        </w:tc>
        <w:tc>
          <w:tcPr>
            <w:tcW w:w="1701" w:type="dxa"/>
            <w:shd w:val="clear" w:color="auto" w:fill="auto"/>
            <w:vAlign w:val="center"/>
            <w:hideMark/>
          </w:tcPr>
          <w:p w14:paraId="272FAB48" w14:textId="4E218EDB" w:rsidR="00EE6CAB" w:rsidRPr="00863C30" w:rsidRDefault="00EE6CAB" w:rsidP="00FE59EF">
            <w:pPr>
              <w:spacing w:after="0" w:line="240" w:lineRule="auto"/>
              <w:jc w:val="center"/>
              <w:rPr>
                <w:rFonts w:eastAsia="Times New Roman"/>
                <w:color w:val="000000"/>
                <w:lang w:eastAsia="de-AT"/>
              </w:rPr>
            </w:pPr>
            <w:r w:rsidRPr="00D2098B">
              <w:t>0.06</w:t>
            </w:r>
          </w:p>
        </w:tc>
        <w:tc>
          <w:tcPr>
            <w:tcW w:w="2835" w:type="dxa"/>
            <w:shd w:val="clear" w:color="auto" w:fill="auto"/>
            <w:vAlign w:val="center"/>
            <w:hideMark/>
          </w:tcPr>
          <w:p w14:paraId="6ACAABEA" w14:textId="558B11F6" w:rsidR="00EE6CAB" w:rsidRPr="00863C30" w:rsidRDefault="00EE6CAB" w:rsidP="00FE59EF">
            <w:pPr>
              <w:spacing w:after="0" w:line="240" w:lineRule="auto"/>
              <w:jc w:val="center"/>
              <w:rPr>
                <w:rFonts w:eastAsia="Times New Roman"/>
                <w:color w:val="000000"/>
                <w:lang w:eastAsia="de-AT"/>
              </w:rPr>
            </w:pPr>
            <w:r w:rsidRPr="00D2098B">
              <w:t>deviation from normality</w:t>
            </w:r>
          </w:p>
        </w:tc>
      </w:tr>
      <w:tr w:rsidR="00FE59EF" w:rsidRPr="00863C30" w14:paraId="56211284" w14:textId="77777777" w:rsidTr="00FE59EF">
        <w:trPr>
          <w:trHeight w:val="283"/>
        </w:trPr>
        <w:tc>
          <w:tcPr>
            <w:tcW w:w="3402" w:type="dxa"/>
            <w:tcBorders>
              <w:bottom w:val="single" w:sz="4" w:space="0" w:color="auto"/>
            </w:tcBorders>
            <w:shd w:val="clear" w:color="auto" w:fill="auto"/>
            <w:vAlign w:val="center"/>
            <w:hideMark/>
          </w:tcPr>
          <w:p w14:paraId="2B8783EA" w14:textId="65A36D8A" w:rsidR="00EE6CAB" w:rsidRPr="00863C30" w:rsidRDefault="00EE6CAB" w:rsidP="00FE59EF">
            <w:pPr>
              <w:spacing w:after="0" w:line="240" w:lineRule="auto"/>
              <w:jc w:val="center"/>
              <w:rPr>
                <w:rFonts w:eastAsia="Times New Roman"/>
                <w:color w:val="000000"/>
                <w:lang w:eastAsia="de-AT"/>
              </w:rPr>
            </w:pPr>
            <w:r w:rsidRPr="00D2098B">
              <w:t>Total smoke prod. flaming phase (m²/m²)</w:t>
            </w:r>
          </w:p>
        </w:tc>
        <w:tc>
          <w:tcPr>
            <w:tcW w:w="1701" w:type="dxa"/>
            <w:tcBorders>
              <w:bottom w:val="single" w:sz="4" w:space="0" w:color="auto"/>
            </w:tcBorders>
            <w:shd w:val="clear" w:color="auto" w:fill="auto"/>
            <w:vAlign w:val="center"/>
            <w:hideMark/>
          </w:tcPr>
          <w:p w14:paraId="08DC83F3" w14:textId="3BBA5985" w:rsidR="00EE6CAB" w:rsidRPr="00863C30" w:rsidRDefault="00EE6CAB" w:rsidP="00FE59EF">
            <w:pPr>
              <w:spacing w:after="0" w:line="240" w:lineRule="auto"/>
              <w:jc w:val="center"/>
              <w:rPr>
                <w:rFonts w:eastAsia="Times New Roman"/>
                <w:color w:val="000000"/>
                <w:lang w:eastAsia="de-AT"/>
              </w:rPr>
            </w:pPr>
            <w:r w:rsidRPr="00D2098B">
              <w:t>0.972</w:t>
            </w:r>
          </w:p>
        </w:tc>
        <w:tc>
          <w:tcPr>
            <w:tcW w:w="1701" w:type="dxa"/>
            <w:tcBorders>
              <w:bottom w:val="single" w:sz="4" w:space="0" w:color="auto"/>
            </w:tcBorders>
            <w:shd w:val="clear" w:color="auto" w:fill="auto"/>
            <w:vAlign w:val="center"/>
            <w:hideMark/>
          </w:tcPr>
          <w:p w14:paraId="0EBEAFE3" w14:textId="352BC822" w:rsidR="00EE6CAB" w:rsidRPr="00863C30" w:rsidRDefault="00EE6CAB" w:rsidP="00FE59EF">
            <w:pPr>
              <w:spacing w:after="0" w:line="240" w:lineRule="auto"/>
              <w:jc w:val="center"/>
              <w:rPr>
                <w:rFonts w:eastAsia="Times New Roman"/>
                <w:color w:val="000000"/>
                <w:lang w:eastAsia="de-AT"/>
              </w:rPr>
            </w:pPr>
            <w:r w:rsidRPr="00D2098B">
              <w:t>0.225</w:t>
            </w:r>
          </w:p>
        </w:tc>
        <w:tc>
          <w:tcPr>
            <w:tcW w:w="2835" w:type="dxa"/>
            <w:tcBorders>
              <w:bottom w:val="single" w:sz="4" w:space="0" w:color="auto"/>
            </w:tcBorders>
            <w:shd w:val="clear" w:color="auto" w:fill="auto"/>
            <w:vAlign w:val="center"/>
            <w:hideMark/>
          </w:tcPr>
          <w:p w14:paraId="446E4A31" w14:textId="637927E3"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23E1A83D" w14:textId="77777777" w:rsidTr="00FE59EF">
        <w:trPr>
          <w:trHeight w:val="283"/>
        </w:trPr>
        <w:tc>
          <w:tcPr>
            <w:tcW w:w="3402" w:type="dxa"/>
            <w:tcBorders>
              <w:top w:val="single" w:sz="4" w:space="0" w:color="auto"/>
            </w:tcBorders>
            <w:shd w:val="clear" w:color="auto" w:fill="auto"/>
            <w:vAlign w:val="center"/>
            <w:hideMark/>
          </w:tcPr>
          <w:p w14:paraId="4DD02E30" w14:textId="16BE32D6" w:rsidR="00EE6CAB" w:rsidRPr="00863C30" w:rsidRDefault="00EE6CAB" w:rsidP="00FE59EF">
            <w:pPr>
              <w:spacing w:after="0" w:line="240" w:lineRule="auto"/>
              <w:jc w:val="center"/>
              <w:rPr>
                <w:rFonts w:eastAsia="Times New Roman"/>
                <w:color w:val="000000"/>
                <w:lang w:eastAsia="de-AT"/>
              </w:rPr>
            </w:pPr>
            <w:r w:rsidRPr="00D2098B">
              <w:t>Mass at sustained flaming (g)</w:t>
            </w:r>
          </w:p>
        </w:tc>
        <w:tc>
          <w:tcPr>
            <w:tcW w:w="1701" w:type="dxa"/>
            <w:tcBorders>
              <w:top w:val="single" w:sz="4" w:space="0" w:color="auto"/>
            </w:tcBorders>
            <w:shd w:val="clear" w:color="auto" w:fill="auto"/>
            <w:vAlign w:val="center"/>
            <w:hideMark/>
          </w:tcPr>
          <w:p w14:paraId="4688D848" w14:textId="352939C2" w:rsidR="00EE6CAB" w:rsidRPr="00863C30" w:rsidRDefault="00EE6CAB" w:rsidP="00FE59EF">
            <w:pPr>
              <w:spacing w:after="0" w:line="240" w:lineRule="auto"/>
              <w:jc w:val="center"/>
              <w:rPr>
                <w:rFonts w:eastAsia="Times New Roman"/>
                <w:color w:val="000000"/>
                <w:lang w:eastAsia="de-AT"/>
              </w:rPr>
            </w:pPr>
            <w:r w:rsidRPr="00D2098B">
              <w:t>0.447</w:t>
            </w:r>
          </w:p>
        </w:tc>
        <w:tc>
          <w:tcPr>
            <w:tcW w:w="1701" w:type="dxa"/>
            <w:tcBorders>
              <w:top w:val="single" w:sz="4" w:space="0" w:color="auto"/>
            </w:tcBorders>
            <w:shd w:val="clear" w:color="auto" w:fill="auto"/>
            <w:vAlign w:val="center"/>
            <w:hideMark/>
          </w:tcPr>
          <w:p w14:paraId="0ADE0AC4" w14:textId="61DA9F9E" w:rsidR="00EE6CAB" w:rsidRPr="00863C30" w:rsidRDefault="00EE6CAB" w:rsidP="00FE59EF">
            <w:pPr>
              <w:spacing w:after="0" w:line="240" w:lineRule="auto"/>
              <w:jc w:val="center"/>
              <w:rPr>
                <w:rFonts w:eastAsia="Times New Roman"/>
                <w:color w:val="000000"/>
                <w:lang w:eastAsia="de-AT"/>
              </w:rPr>
            </w:pPr>
            <w:r w:rsidRPr="00D2098B">
              <w:t>0.072</w:t>
            </w:r>
          </w:p>
        </w:tc>
        <w:tc>
          <w:tcPr>
            <w:tcW w:w="2835" w:type="dxa"/>
            <w:tcBorders>
              <w:top w:val="single" w:sz="4" w:space="0" w:color="auto"/>
            </w:tcBorders>
            <w:shd w:val="clear" w:color="auto" w:fill="auto"/>
            <w:vAlign w:val="center"/>
            <w:hideMark/>
          </w:tcPr>
          <w:p w14:paraId="034FB50F" w14:textId="450962CF"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23BAFC43" w14:textId="77777777" w:rsidTr="00FE59EF">
        <w:trPr>
          <w:trHeight w:val="283"/>
        </w:trPr>
        <w:tc>
          <w:tcPr>
            <w:tcW w:w="3402" w:type="dxa"/>
            <w:shd w:val="clear" w:color="auto" w:fill="auto"/>
            <w:vAlign w:val="center"/>
            <w:hideMark/>
          </w:tcPr>
          <w:p w14:paraId="22FFF0F3" w14:textId="3C7FC9ED" w:rsidR="00EE6CAB" w:rsidRPr="00863C30" w:rsidRDefault="00EE6CAB" w:rsidP="00FE59EF">
            <w:pPr>
              <w:spacing w:after="0" w:line="240" w:lineRule="auto"/>
              <w:jc w:val="center"/>
              <w:rPr>
                <w:rFonts w:eastAsia="Times New Roman"/>
                <w:color w:val="000000"/>
                <w:lang w:eastAsia="de-AT"/>
              </w:rPr>
            </w:pPr>
            <w:r w:rsidRPr="00D2098B">
              <w:t>Mass loss (%)</w:t>
            </w:r>
          </w:p>
        </w:tc>
        <w:tc>
          <w:tcPr>
            <w:tcW w:w="1701" w:type="dxa"/>
            <w:shd w:val="clear" w:color="auto" w:fill="auto"/>
            <w:vAlign w:val="center"/>
            <w:hideMark/>
          </w:tcPr>
          <w:p w14:paraId="4FCB5B04" w14:textId="7844A31D" w:rsidR="00EE6CAB" w:rsidRPr="00863C30" w:rsidRDefault="00EE6CAB" w:rsidP="00FE59EF">
            <w:pPr>
              <w:spacing w:after="0" w:line="240" w:lineRule="auto"/>
              <w:jc w:val="center"/>
              <w:rPr>
                <w:rFonts w:eastAsia="Times New Roman"/>
                <w:color w:val="000000"/>
                <w:lang w:eastAsia="de-AT"/>
              </w:rPr>
            </w:pPr>
            <w:r w:rsidRPr="00D2098B">
              <w:t>0.129</w:t>
            </w:r>
          </w:p>
        </w:tc>
        <w:tc>
          <w:tcPr>
            <w:tcW w:w="1701" w:type="dxa"/>
            <w:shd w:val="clear" w:color="auto" w:fill="auto"/>
            <w:vAlign w:val="center"/>
            <w:hideMark/>
          </w:tcPr>
          <w:p w14:paraId="476F7FE5" w14:textId="3BEC09F5" w:rsidR="00EE6CAB" w:rsidRPr="00863C30" w:rsidRDefault="00EE6CAB" w:rsidP="00FE59EF">
            <w:pPr>
              <w:spacing w:after="0" w:line="240" w:lineRule="auto"/>
              <w:jc w:val="center"/>
              <w:rPr>
                <w:rFonts w:eastAsia="Times New Roman"/>
                <w:color w:val="000000"/>
                <w:lang w:eastAsia="de-AT"/>
              </w:rPr>
            </w:pPr>
            <w:r w:rsidRPr="00D2098B">
              <w:t>0.439</w:t>
            </w:r>
          </w:p>
        </w:tc>
        <w:tc>
          <w:tcPr>
            <w:tcW w:w="2835" w:type="dxa"/>
            <w:shd w:val="clear" w:color="auto" w:fill="auto"/>
            <w:vAlign w:val="center"/>
            <w:hideMark/>
          </w:tcPr>
          <w:p w14:paraId="1B8A4D0F" w14:textId="5D869124"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65DB24D5" w14:textId="77777777" w:rsidTr="00FE59EF">
        <w:trPr>
          <w:trHeight w:val="283"/>
        </w:trPr>
        <w:tc>
          <w:tcPr>
            <w:tcW w:w="3402" w:type="dxa"/>
            <w:shd w:val="clear" w:color="auto" w:fill="auto"/>
            <w:vAlign w:val="center"/>
            <w:hideMark/>
          </w:tcPr>
          <w:p w14:paraId="576C5893" w14:textId="1CA828D2" w:rsidR="00EE6CAB" w:rsidRPr="00863C30" w:rsidRDefault="00EE6CAB" w:rsidP="00FE59EF">
            <w:pPr>
              <w:spacing w:after="0" w:line="240" w:lineRule="auto"/>
              <w:jc w:val="center"/>
              <w:rPr>
                <w:rFonts w:eastAsia="Times New Roman"/>
                <w:color w:val="000000"/>
                <w:lang w:eastAsia="de-AT"/>
              </w:rPr>
            </w:pPr>
            <w:r w:rsidRPr="00D2098B">
              <w:t>MLR ignition and end of the test (g/s)</w:t>
            </w:r>
          </w:p>
        </w:tc>
        <w:tc>
          <w:tcPr>
            <w:tcW w:w="1701" w:type="dxa"/>
            <w:shd w:val="clear" w:color="auto" w:fill="auto"/>
            <w:vAlign w:val="center"/>
            <w:hideMark/>
          </w:tcPr>
          <w:p w14:paraId="728EEF1E" w14:textId="09CA8DFA" w:rsidR="00EE6CAB" w:rsidRPr="00863C30" w:rsidRDefault="00EE6CAB" w:rsidP="00FE59EF">
            <w:pPr>
              <w:spacing w:after="0" w:line="240" w:lineRule="auto"/>
              <w:jc w:val="center"/>
              <w:rPr>
                <w:rFonts w:eastAsia="Times New Roman"/>
                <w:color w:val="000000"/>
                <w:lang w:eastAsia="de-AT"/>
              </w:rPr>
            </w:pPr>
            <w:r w:rsidRPr="00D2098B">
              <w:t>0.549</w:t>
            </w:r>
          </w:p>
        </w:tc>
        <w:tc>
          <w:tcPr>
            <w:tcW w:w="1701" w:type="dxa"/>
            <w:shd w:val="clear" w:color="auto" w:fill="auto"/>
            <w:vAlign w:val="center"/>
            <w:hideMark/>
          </w:tcPr>
          <w:p w14:paraId="70784B6E" w14:textId="5CC31FDD" w:rsidR="00EE6CAB" w:rsidRPr="00863C30" w:rsidRDefault="00EE6CAB" w:rsidP="00FE59EF">
            <w:pPr>
              <w:spacing w:after="0" w:line="240" w:lineRule="auto"/>
              <w:jc w:val="center"/>
              <w:rPr>
                <w:rFonts w:eastAsia="Times New Roman"/>
                <w:color w:val="000000"/>
                <w:lang w:eastAsia="de-AT"/>
              </w:rPr>
            </w:pPr>
            <w:r w:rsidRPr="00D2098B">
              <w:t>0.39</w:t>
            </w:r>
          </w:p>
        </w:tc>
        <w:tc>
          <w:tcPr>
            <w:tcW w:w="2835" w:type="dxa"/>
            <w:shd w:val="clear" w:color="auto" w:fill="auto"/>
            <w:vAlign w:val="center"/>
            <w:hideMark/>
          </w:tcPr>
          <w:p w14:paraId="51F2ACC7" w14:textId="558D9F8D" w:rsidR="00EE6CAB" w:rsidRPr="00863C30" w:rsidRDefault="00EE6CAB" w:rsidP="00FE59EF">
            <w:pPr>
              <w:spacing w:after="0" w:line="240" w:lineRule="auto"/>
              <w:jc w:val="center"/>
              <w:rPr>
                <w:rFonts w:eastAsia="Times New Roman"/>
                <w:color w:val="000000"/>
                <w:lang w:eastAsia="de-AT"/>
              </w:rPr>
            </w:pPr>
            <w:r w:rsidRPr="00D2098B">
              <w:t>assumptions fulfilled</w:t>
            </w:r>
          </w:p>
        </w:tc>
      </w:tr>
      <w:tr w:rsidR="00FE59EF" w:rsidRPr="00863C30" w14:paraId="1241949A" w14:textId="77777777" w:rsidTr="00FE59EF">
        <w:trPr>
          <w:trHeight w:val="283"/>
        </w:trPr>
        <w:tc>
          <w:tcPr>
            <w:tcW w:w="3402" w:type="dxa"/>
            <w:tcBorders>
              <w:bottom w:val="single" w:sz="4" w:space="0" w:color="auto"/>
            </w:tcBorders>
            <w:shd w:val="clear" w:color="auto" w:fill="auto"/>
            <w:vAlign w:val="center"/>
            <w:hideMark/>
          </w:tcPr>
          <w:p w14:paraId="2320F7B7" w14:textId="5C35C962" w:rsidR="00EE6CAB" w:rsidRPr="00863C30" w:rsidRDefault="00EE6CAB" w:rsidP="00FE59EF">
            <w:pPr>
              <w:spacing w:after="0" w:line="240" w:lineRule="auto"/>
              <w:jc w:val="center"/>
              <w:rPr>
                <w:rFonts w:eastAsia="Times New Roman"/>
                <w:color w:val="000000"/>
                <w:lang w:eastAsia="de-AT"/>
              </w:rPr>
            </w:pPr>
            <w:r w:rsidRPr="00D2098B">
              <w:t>MLR 10 % and 90 % of mass loss (g/s)</w:t>
            </w:r>
          </w:p>
        </w:tc>
        <w:tc>
          <w:tcPr>
            <w:tcW w:w="1701" w:type="dxa"/>
            <w:tcBorders>
              <w:bottom w:val="single" w:sz="4" w:space="0" w:color="auto"/>
            </w:tcBorders>
            <w:shd w:val="clear" w:color="auto" w:fill="auto"/>
            <w:vAlign w:val="center"/>
            <w:hideMark/>
          </w:tcPr>
          <w:p w14:paraId="42CBF661" w14:textId="1C569F43" w:rsidR="00EE6CAB" w:rsidRPr="00863C30" w:rsidRDefault="00EE6CAB" w:rsidP="00FE59EF">
            <w:pPr>
              <w:spacing w:after="0" w:line="240" w:lineRule="auto"/>
              <w:jc w:val="center"/>
              <w:rPr>
                <w:rFonts w:eastAsia="Times New Roman"/>
                <w:color w:val="000000"/>
                <w:lang w:eastAsia="de-AT"/>
              </w:rPr>
            </w:pPr>
            <w:r w:rsidRPr="00D2098B">
              <w:t>0.06</w:t>
            </w:r>
          </w:p>
        </w:tc>
        <w:tc>
          <w:tcPr>
            <w:tcW w:w="1701" w:type="dxa"/>
            <w:tcBorders>
              <w:bottom w:val="single" w:sz="4" w:space="0" w:color="auto"/>
            </w:tcBorders>
            <w:shd w:val="clear" w:color="auto" w:fill="auto"/>
            <w:vAlign w:val="center"/>
            <w:hideMark/>
          </w:tcPr>
          <w:p w14:paraId="25B7CB58" w14:textId="27559E6D" w:rsidR="00EE6CAB" w:rsidRPr="00863C30" w:rsidRDefault="00EE6CAB" w:rsidP="00FE59EF">
            <w:pPr>
              <w:spacing w:after="0" w:line="240" w:lineRule="auto"/>
              <w:jc w:val="center"/>
              <w:rPr>
                <w:rFonts w:eastAsia="Times New Roman"/>
                <w:color w:val="000000"/>
                <w:lang w:eastAsia="de-AT"/>
              </w:rPr>
            </w:pPr>
            <w:r w:rsidRPr="00D2098B">
              <w:t>0.022</w:t>
            </w:r>
          </w:p>
        </w:tc>
        <w:tc>
          <w:tcPr>
            <w:tcW w:w="2835" w:type="dxa"/>
            <w:tcBorders>
              <w:bottom w:val="single" w:sz="4" w:space="0" w:color="auto"/>
            </w:tcBorders>
            <w:shd w:val="clear" w:color="auto" w:fill="auto"/>
            <w:vAlign w:val="center"/>
            <w:hideMark/>
          </w:tcPr>
          <w:p w14:paraId="1700BC39" w14:textId="41CA8FCB" w:rsidR="00EE6CAB" w:rsidRPr="00863C30" w:rsidRDefault="00EE6CAB" w:rsidP="00FE59EF">
            <w:pPr>
              <w:spacing w:after="0" w:line="240" w:lineRule="auto"/>
              <w:jc w:val="center"/>
              <w:rPr>
                <w:rFonts w:eastAsia="Times New Roman"/>
                <w:color w:val="000000"/>
                <w:lang w:eastAsia="de-AT"/>
              </w:rPr>
            </w:pPr>
            <w:r w:rsidRPr="00D2098B">
              <w:t>heterogeneity of variance</w:t>
            </w:r>
          </w:p>
        </w:tc>
      </w:tr>
    </w:tbl>
    <w:p w14:paraId="3397A2EA" w14:textId="77777777" w:rsidR="004409A6" w:rsidRDefault="004409A6" w:rsidP="004409A6"/>
    <w:p w14:paraId="5B51B470" w14:textId="0A9FE607" w:rsidR="004409A6" w:rsidRDefault="004409A6" w:rsidP="004409A6">
      <w:pPr>
        <w:pStyle w:val="Beschriftung"/>
      </w:pPr>
      <w:r>
        <w:t xml:space="preserve">S </w:t>
      </w:r>
      <w:r>
        <w:fldChar w:fldCharType="begin"/>
      </w:r>
      <w:r>
        <w:instrText xml:space="preserve"> SEQ S \* ARABIC </w:instrText>
      </w:r>
      <w:r>
        <w:fldChar w:fldCharType="separate"/>
      </w:r>
      <w:r w:rsidR="004D6048">
        <w:rPr>
          <w:noProof/>
        </w:rPr>
        <w:t>3</w:t>
      </w:r>
      <w:r>
        <w:fldChar w:fldCharType="end"/>
      </w:r>
      <w:r w:rsidRPr="004409A6">
        <w:rPr>
          <w:b w:val="0"/>
        </w:rPr>
        <w:t xml:space="preserve"> Results of the Shapiro–Wilk normality tests and Levene homogeneity tests for the </w:t>
      </w:r>
      <w:r>
        <w:rPr>
          <w:b w:val="0"/>
        </w:rPr>
        <w:t>s</w:t>
      </w:r>
      <w:r w:rsidRPr="004409A6">
        <w:rPr>
          <w:b w:val="0"/>
        </w:rPr>
        <w:t xml:space="preserve">imulation of SBI based on </w:t>
      </w:r>
      <w:r>
        <w:rPr>
          <w:b w:val="0"/>
        </w:rPr>
        <w:t>c</w:t>
      </w:r>
      <w:r w:rsidRPr="004409A6">
        <w:rPr>
          <w:b w:val="0"/>
        </w:rPr>
        <w:t xml:space="preserve">one </w:t>
      </w:r>
      <w:r>
        <w:rPr>
          <w:b w:val="0"/>
        </w:rPr>
        <w:t>c</w:t>
      </w:r>
      <w:r w:rsidRPr="004409A6">
        <w:rPr>
          <w:b w:val="0"/>
        </w:rPr>
        <w:t>alorimeter variables. Shapiro–Wilk tests were performed for the residuals of the respective datasets. Assumption assessment refers to the applicability of ANOVA-based analysis.</w:t>
      </w:r>
    </w:p>
    <w:tbl>
      <w:tblPr>
        <w:tblW w:w="9639" w:type="dxa"/>
        <w:tblCellMar>
          <w:left w:w="70" w:type="dxa"/>
          <w:right w:w="70" w:type="dxa"/>
        </w:tblCellMar>
        <w:tblLook w:val="04A0" w:firstRow="1" w:lastRow="0" w:firstColumn="1" w:lastColumn="0" w:noHBand="0" w:noVBand="1"/>
      </w:tblPr>
      <w:tblGrid>
        <w:gridCol w:w="3402"/>
        <w:gridCol w:w="1701"/>
        <w:gridCol w:w="1701"/>
        <w:gridCol w:w="2835"/>
      </w:tblGrid>
      <w:tr w:rsidR="004409A6" w:rsidRPr="00CF0F70" w14:paraId="69A15163" w14:textId="77777777" w:rsidTr="001A4108">
        <w:trPr>
          <w:trHeight w:val="300"/>
        </w:trPr>
        <w:tc>
          <w:tcPr>
            <w:tcW w:w="3402" w:type="dxa"/>
            <w:tcBorders>
              <w:top w:val="nil"/>
              <w:left w:val="nil"/>
              <w:bottom w:val="single" w:sz="4" w:space="0" w:color="auto"/>
              <w:right w:val="nil"/>
            </w:tcBorders>
            <w:shd w:val="clear" w:color="auto" w:fill="auto"/>
            <w:noWrap/>
            <w:vAlign w:val="center"/>
            <w:hideMark/>
          </w:tcPr>
          <w:p w14:paraId="688406D3"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Simulation of SBI based on Cone Calorimeter</w:t>
            </w:r>
          </w:p>
        </w:tc>
        <w:tc>
          <w:tcPr>
            <w:tcW w:w="1701" w:type="dxa"/>
            <w:tcBorders>
              <w:top w:val="nil"/>
              <w:left w:val="nil"/>
              <w:bottom w:val="single" w:sz="4" w:space="0" w:color="auto"/>
              <w:right w:val="nil"/>
            </w:tcBorders>
            <w:shd w:val="clear" w:color="auto" w:fill="auto"/>
            <w:noWrap/>
            <w:vAlign w:val="center"/>
            <w:hideMark/>
          </w:tcPr>
          <w:p w14:paraId="2C06BA33"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Shapiro-Wilk p</w:t>
            </w:r>
          </w:p>
        </w:tc>
        <w:tc>
          <w:tcPr>
            <w:tcW w:w="1701" w:type="dxa"/>
            <w:tcBorders>
              <w:top w:val="nil"/>
              <w:left w:val="nil"/>
              <w:bottom w:val="single" w:sz="4" w:space="0" w:color="auto"/>
              <w:right w:val="nil"/>
            </w:tcBorders>
            <w:shd w:val="clear" w:color="auto" w:fill="auto"/>
            <w:noWrap/>
            <w:vAlign w:val="center"/>
            <w:hideMark/>
          </w:tcPr>
          <w:p w14:paraId="1921FF6F"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Levene p</w:t>
            </w:r>
          </w:p>
        </w:tc>
        <w:tc>
          <w:tcPr>
            <w:tcW w:w="2835" w:type="dxa"/>
            <w:tcBorders>
              <w:top w:val="nil"/>
              <w:left w:val="nil"/>
              <w:bottom w:val="single" w:sz="4" w:space="0" w:color="auto"/>
              <w:right w:val="nil"/>
            </w:tcBorders>
            <w:shd w:val="clear" w:color="auto" w:fill="auto"/>
            <w:noWrap/>
            <w:vAlign w:val="center"/>
            <w:hideMark/>
          </w:tcPr>
          <w:p w14:paraId="4851150C"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Assumption assessment</w:t>
            </w:r>
          </w:p>
        </w:tc>
      </w:tr>
      <w:tr w:rsidR="004409A6" w:rsidRPr="00CF0F70" w14:paraId="54384863" w14:textId="77777777" w:rsidTr="001A4108">
        <w:trPr>
          <w:trHeight w:val="300"/>
        </w:trPr>
        <w:tc>
          <w:tcPr>
            <w:tcW w:w="3402" w:type="dxa"/>
            <w:tcBorders>
              <w:top w:val="nil"/>
              <w:left w:val="nil"/>
              <w:bottom w:val="nil"/>
              <w:right w:val="nil"/>
            </w:tcBorders>
            <w:shd w:val="clear" w:color="auto" w:fill="auto"/>
            <w:vAlign w:val="center"/>
            <w:hideMark/>
          </w:tcPr>
          <w:p w14:paraId="6CBC2F9C"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THR600s</w:t>
            </w:r>
          </w:p>
        </w:tc>
        <w:tc>
          <w:tcPr>
            <w:tcW w:w="1701" w:type="dxa"/>
            <w:tcBorders>
              <w:top w:val="nil"/>
              <w:left w:val="nil"/>
              <w:bottom w:val="nil"/>
              <w:right w:val="nil"/>
            </w:tcBorders>
            <w:shd w:val="clear" w:color="auto" w:fill="auto"/>
            <w:vAlign w:val="center"/>
            <w:hideMark/>
          </w:tcPr>
          <w:p w14:paraId="0A7B5C0D"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0.866</w:t>
            </w:r>
          </w:p>
        </w:tc>
        <w:tc>
          <w:tcPr>
            <w:tcW w:w="1701" w:type="dxa"/>
            <w:tcBorders>
              <w:top w:val="nil"/>
              <w:left w:val="nil"/>
              <w:bottom w:val="nil"/>
              <w:right w:val="nil"/>
            </w:tcBorders>
            <w:shd w:val="clear" w:color="auto" w:fill="auto"/>
            <w:vAlign w:val="center"/>
            <w:hideMark/>
          </w:tcPr>
          <w:p w14:paraId="39871340"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0.788</w:t>
            </w:r>
          </w:p>
        </w:tc>
        <w:tc>
          <w:tcPr>
            <w:tcW w:w="2835" w:type="dxa"/>
            <w:tcBorders>
              <w:top w:val="nil"/>
              <w:left w:val="nil"/>
              <w:bottom w:val="nil"/>
              <w:right w:val="nil"/>
            </w:tcBorders>
            <w:shd w:val="clear" w:color="auto" w:fill="auto"/>
            <w:vAlign w:val="center"/>
            <w:hideMark/>
          </w:tcPr>
          <w:p w14:paraId="0DFA3E64"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assumptions fulfilled</w:t>
            </w:r>
          </w:p>
        </w:tc>
      </w:tr>
      <w:tr w:rsidR="004409A6" w:rsidRPr="00CF0F70" w14:paraId="1FFDDD84" w14:textId="77777777" w:rsidTr="001A4108">
        <w:trPr>
          <w:trHeight w:val="300"/>
        </w:trPr>
        <w:tc>
          <w:tcPr>
            <w:tcW w:w="3402" w:type="dxa"/>
            <w:tcBorders>
              <w:top w:val="nil"/>
              <w:left w:val="nil"/>
              <w:bottom w:val="single" w:sz="4" w:space="0" w:color="auto"/>
              <w:right w:val="nil"/>
            </w:tcBorders>
            <w:shd w:val="clear" w:color="auto" w:fill="auto"/>
            <w:vAlign w:val="center"/>
            <w:hideMark/>
          </w:tcPr>
          <w:p w14:paraId="0E3DD170"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FIGRA0.4MJ</w:t>
            </w:r>
          </w:p>
        </w:tc>
        <w:tc>
          <w:tcPr>
            <w:tcW w:w="1701" w:type="dxa"/>
            <w:tcBorders>
              <w:top w:val="nil"/>
              <w:left w:val="nil"/>
              <w:bottom w:val="single" w:sz="4" w:space="0" w:color="auto"/>
              <w:right w:val="nil"/>
            </w:tcBorders>
            <w:shd w:val="clear" w:color="auto" w:fill="auto"/>
            <w:vAlign w:val="center"/>
            <w:hideMark/>
          </w:tcPr>
          <w:p w14:paraId="7498767F"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0.151</w:t>
            </w:r>
          </w:p>
        </w:tc>
        <w:tc>
          <w:tcPr>
            <w:tcW w:w="1701" w:type="dxa"/>
            <w:tcBorders>
              <w:top w:val="nil"/>
              <w:left w:val="nil"/>
              <w:bottom w:val="single" w:sz="4" w:space="0" w:color="auto"/>
              <w:right w:val="nil"/>
            </w:tcBorders>
            <w:shd w:val="clear" w:color="auto" w:fill="auto"/>
            <w:vAlign w:val="center"/>
            <w:hideMark/>
          </w:tcPr>
          <w:p w14:paraId="1806EAEA"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0.917</w:t>
            </w:r>
          </w:p>
        </w:tc>
        <w:tc>
          <w:tcPr>
            <w:tcW w:w="2835" w:type="dxa"/>
            <w:tcBorders>
              <w:top w:val="nil"/>
              <w:left w:val="nil"/>
              <w:bottom w:val="single" w:sz="4" w:space="0" w:color="auto"/>
              <w:right w:val="nil"/>
            </w:tcBorders>
            <w:shd w:val="clear" w:color="auto" w:fill="auto"/>
            <w:vAlign w:val="center"/>
            <w:hideMark/>
          </w:tcPr>
          <w:p w14:paraId="5C6EC163"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assumptions fulfilled</w:t>
            </w:r>
          </w:p>
        </w:tc>
      </w:tr>
      <w:tr w:rsidR="004409A6" w:rsidRPr="00CF0F70" w14:paraId="70D21FD9" w14:textId="77777777" w:rsidTr="001A4108">
        <w:trPr>
          <w:trHeight w:val="300"/>
        </w:trPr>
        <w:tc>
          <w:tcPr>
            <w:tcW w:w="3402" w:type="dxa"/>
            <w:tcBorders>
              <w:top w:val="nil"/>
              <w:left w:val="nil"/>
              <w:bottom w:val="nil"/>
              <w:right w:val="nil"/>
            </w:tcBorders>
            <w:shd w:val="clear" w:color="auto" w:fill="auto"/>
            <w:vAlign w:val="center"/>
            <w:hideMark/>
          </w:tcPr>
          <w:p w14:paraId="6927CFAA"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THR600s + 10% time to ignition</w:t>
            </w:r>
          </w:p>
        </w:tc>
        <w:tc>
          <w:tcPr>
            <w:tcW w:w="1701" w:type="dxa"/>
            <w:tcBorders>
              <w:top w:val="nil"/>
              <w:left w:val="nil"/>
              <w:bottom w:val="nil"/>
              <w:right w:val="nil"/>
            </w:tcBorders>
            <w:shd w:val="clear" w:color="auto" w:fill="auto"/>
            <w:vAlign w:val="center"/>
            <w:hideMark/>
          </w:tcPr>
          <w:p w14:paraId="3756AE3C"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0.671</w:t>
            </w:r>
          </w:p>
        </w:tc>
        <w:tc>
          <w:tcPr>
            <w:tcW w:w="1701" w:type="dxa"/>
            <w:tcBorders>
              <w:top w:val="nil"/>
              <w:left w:val="nil"/>
              <w:bottom w:val="nil"/>
              <w:right w:val="nil"/>
            </w:tcBorders>
            <w:shd w:val="clear" w:color="auto" w:fill="auto"/>
            <w:vAlign w:val="center"/>
            <w:hideMark/>
          </w:tcPr>
          <w:p w14:paraId="136708D8"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0.677</w:t>
            </w:r>
          </w:p>
        </w:tc>
        <w:tc>
          <w:tcPr>
            <w:tcW w:w="2835" w:type="dxa"/>
            <w:tcBorders>
              <w:top w:val="nil"/>
              <w:left w:val="nil"/>
              <w:bottom w:val="nil"/>
              <w:right w:val="nil"/>
            </w:tcBorders>
            <w:shd w:val="clear" w:color="auto" w:fill="auto"/>
            <w:vAlign w:val="center"/>
            <w:hideMark/>
          </w:tcPr>
          <w:p w14:paraId="72CB0029"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assumptions fulfilled</w:t>
            </w:r>
          </w:p>
        </w:tc>
      </w:tr>
      <w:tr w:rsidR="004409A6" w:rsidRPr="00CF0F70" w14:paraId="711B8558" w14:textId="77777777" w:rsidTr="001A4108">
        <w:trPr>
          <w:trHeight w:val="300"/>
        </w:trPr>
        <w:tc>
          <w:tcPr>
            <w:tcW w:w="3402" w:type="dxa"/>
            <w:tcBorders>
              <w:top w:val="nil"/>
              <w:left w:val="nil"/>
              <w:bottom w:val="single" w:sz="4" w:space="0" w:color="auto"/>
              <w:right w:val="nil"/>
            </w:tcBorders>
            <w:shd w:val="clear" w:color="auto" w:fill="auto"/>
            <w:vAlign w:val="center"/>
            <w:hideMark/>
          </w:tcPr>
          <w:p w14:paraId="481CCAE2"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FIGRA0.4MJ + 10% time to ignition</w:t>
            </w:r>
          </w:p>
        </w:tc>
        <w:tc>
          <w:tcPr>
            <w:tcW w:w="1701" w:type="dxa"/>
            <w:tcBorders>
              <w:top w:val="nil"/>
              <w:left w:val="nil"/>
              <w:bottom w:val="single" w:sz="4" w:space="0" w:color="auto"/>
              <w:right w:val="nil"/>
            </w:tcBorders>
            <w:shd w:val="clear" w:color="auto" w:fill="auto"/>
            <w:vAlign w:val="center"/>
            <w:hideMark/>
          </w:tcPr>
          <w:p w14:paraId="13A00E1B"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0.204</w:t>
            </w:r>
          </w:p>
        </w:tc>
        <w:tc>
          <w:tcPr>
            <w:tcW w:w="1701" w:type="dxa"/>
            <w:tcBorders>
              <w:top w:val="nil"/>
              <w:left w:val="nil"/>
              <w:bottom w:val="single" w:sz="4" w:space="0" w:color="auto"/>
              <w:right w:val="nil"/>
            </w:tcBorders>
            <w:shd w:val="clear" w:color="auto" w:fill="auto"/>
            <w:vAlign w:val="center"/>
            <w:hideMark/>
          </w:tcPr>
          <w:p w14:paraId="7E49D8A7"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0.873</w:t>
            </w:r>
          </w:p>
        </w:tc>
        <w:tc>
          <w:tcPr>
            <w:tcW w:w="2835" w:type="dxa"/>
            <w:tcBorders>
              <w:top w:val="nil"/>
              <w:left w:val="nil"/>
              <w:bottom w:val="single" w:sz="4" w:space="0" w:color="auto"/>
              <w:right w:val="nil"/>
            </w:tcBorders>
            <w:shd w:val="clear" w:color="auto" w:fill="auto"/>
            <w:vAlign w:val="center"/>
            <w:hideMark/>
          </w:tcPr>
          <w:p w14:paraId="72097D5E"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assumptions fulfilled</w:t>
            </w:r>
          </w:p>
        </w:tc>
      </w:tr>
      <w:tr w:rsidR="004409A6" w:rsidRPr="00CF0F70" w14:paraId="58650369" w14:textId="77777777" w:rsidTr="001A4108">
        <w:trPr>
          <w:trHeight w:val="300"/>
        </w:trPr>
        <w:tc>
          <w:tcPr>
            <w:tcW w:w="3402" w:type="dxa"/>
            <w:tcBorders>
              <w:top w:val="nil"/>
              <w:left w:val="nil"/>
              <w:bottom w:val="nil"/>
              <w:right w:val="nil"/>
            </w:tcBorders>
            <w:shd w:val="clear" w:color="auto" w:fill="auto"/>
            <w:vAlign w:val="center"/>
            <w:hideMark/>
          </w:tcPr>
          <w:p w14:paraId="47D76719"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THR600s - 10% time to ignition</w:t>
            </w:r>
          </w:p>
        </w:tc>
        <w:tc>
          <w:tcPr>
            <w:tcW w:w="1701" w:type="dxa"/>
            <w:tcBorders>
              <w:top w:val="nil"/>
              <w:left w:val="nil"/>
              <w:bottom w:val="nil"/>
              <w:right w:val="nil"/>
            </w:tcBorders>
            <w:shd w:val="clear" w:color="auto" w:fill="auto"/>
            <w:vAlign w:val="center"/>
            <w:hideMark/>
          </w:tcPr>
          <w:p w14:paraId="2D9AF3BD"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0.934</w:t>
            </w:r>
          </w:p>
        </w:tc>
        <w:tc>
          <w:tcPr>
            <w:tcW w:w="1701" w:type="dxa"/>
            <w:tcBorders>
              <w:top w:val="nil"/>
              <w:left w:val="nil"/>
              <w:bottom w:val="nil"/>
              <w:right w:val="nil"/>
            </w:tcBorders>
            <w:shd w:val="clear" w:color="auto" w:fill="auto"/>
            <w:vAlign w:val="center"/>
            <w:hideMark/>
          </w:tcPr>
          <w:p w14:paraId="2C856258"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0.858</w:t>
            </w:r>
          </w:p>
        </w:tc>
        <w:tc>
          <w:tcPr>
            <w:tcW w:w="2835" w:type="dxa"/>
            <w:tcBorders>
              <w:top w:val="nil"/>
              <w:left w:val="nil"/>
              <w:bottom w:val="nil"/>
              <w:right w:val="nil"/>
            </w:tcBorders>
            <w:shd w:val="clear" w:color="auto" w:fill="auto"/>
            <w:vAlign w:val="center"/>
            <w:hideMark/>
          </w:tcPr>
          <w:p w14:paraId="141A84CA"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assumptions fulfilled</w:t>
            </w:r>
          </w:p>
        </w:tc>
      </w:tr>
      <w:tr w:rsidR="004409A6" w:rsidRPr="00CF0F70" w14:paraId="4A845763" w14:textId="77777777" w:rsidTr="001A4108">
        <w:trPr>
          <w:trHeight w:val="300"/>
        </w:trPr>
        <w:tc>
          <w:tcPr>
            <w:tcW w:w="3402" w:type="dxa"/>
            <w:tcBorders>
              <w:top w:val="nil"/>
              <w:left w:val="nil"/>
              <w:bottom w:val="single" w:sz="4" w:space="0" w:color="auto"/>
              <w:right w:val="nil"/>
            </w:tcBorders>
            <w:shd w:val="clear" w:color="auto" w:fill="auto"/>
            <w:vAlign w:val="center"/>
            <w:hideMark/>
          </w:tcPr>
          <w:p w14:paraId="3640BEAB"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FIGRA0.4MJ - 10% time to ignition</w:t>
            </w:r>
          </w:p>
        </w:tc>
        <w:tc>
          <w:tcPr>
            <w:tcW w:w="1701" w:type="dxa"/>
            <w:tcBorders>
              <w:top w:val="nil"/>
              <w:left w:val="nil"/>
              <w:bottom w:val="single" w:sz="4" w:space="0" w:color="auto"/>
              <w:right w:val="nil"/>
            </w:tcBorders>
            <w:shd w:val="clear" w:color="auto" w:fill="auto"/>
            <w:vAlign w:val="center"/>
            <w:hideMark/>
          </w:tcPr>
          <w:p w14:paraId="6CDF72B2"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0.167</w:t>
            </w:r>
          </w:p>
        </w:tc>
        <w:tc>
          <w:tcPr>
            <w:tcW w:w="1701" w:type="dxa"/>
            <w:tcBorders>
              <w:top w:val="nil"/>
              <w:left w:val="nil"/>
              <w:bottom w:val="single" w:sz="4" w:space="0" w:color="auto"/>
              <w:right w:val="nil"/>
            </w:tcBorders>
            <w:shd w:val="clear" w:color="auto" w:fill="auto"/>
            <w:vAlign w:val="center"/>
            <w:hideMark/>
          </w:tcPr>
          <w:p w14:paraId="534008EE"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0.786</w:t>
            </w:r>
          </w:p>
        </w:tc>
        <w:tc>
          <w:tcPr>
            <w:tcW w:w="2835" w:type="dxa"/>
            <w:tcBorders>
              <w:top w:val="nil"/>
              <w:left w:val="nil"/>
              <w:bottom w:val="single" w:sz="4" w:space="0" w:color="auto"/>
              <w:right w:val="nil"/>
            </w:tcBorders>
            <w:shd w:val="clear" w:color="auto" w:fill="auto"/>
            <w:vAlign w:val="center"/>
            <w:hideMark/>
          </w:tcPr>
          <w:p w14:paraId="5AA36C73" w14:textId="77777777" w:rsidR="004409A6" w:rsidRPr="00CF0F70" w:rsidRDefault="004409A6" w:rsidP="001A4108">
            <w:pPr>
              <w:spacing w:after="0" w:line="240" w:lineRule="auto"/>
              <w:jc w:val="center"/>
              <w:rPr>
                <w:rFonts w:eastAsia="Times New Roman"/>
                <w:color w:val="000000"/>
                <w:lang w:eastAsia="de-AT"/>
              </w:rPr>
            </w:pPr>
            <w:r w:rsidRPr="00CF0F70">
              <w:rPr>
                <w:rFonts w:eastAsia="Times New Roman"/>
                <w:color w:val="000000"/>
                <w:lang w:eastAsia="de-AT"/>
              </w:rPr>
              <w:t>assumptions fulfilled</w:t>
            </w:r>
          </w:p>
        </w:tc>
      </w:tr>
    </w:tbl>
    <w:p w14:paraId="1D322FB2" w14:textId="3C3A7DAB" w:rsidR="00815CBF" w:rsidRDefault="00815CBF" w:rsidP="00BA37A2"/>
    <w:p w14:paraId="2AF3CF41" w14:textId="77777777" w:rsidR="00815CBF" w:rsidRDefault="00815CBF">
      <w:r>
        <w:br w:type="page"/>
      </w:r>
    </w:p>
    <w:p w14:paraId="3934DE22" w14:textId="77777777" w:rsidR="00863C30" w:rsidRDefault="00863C30" w:rsidP="00BA37A2"/>
    <w:p w14:paraId="49B2A789" w14:textId="6C1B5A66" w:rsidR="00863C30" w:rsidRDefault="00863C30" w:rsidP="00863C30">
      <w:pPr>
        <w:pStyle w:val="Beschriftung"/>
      </w:pPr>
      <w:r>
        <w:t xml:space="preserve">S </w:t>
      </w:r>
      <w:r>
        <w:fldChar w:fldCharType="begin"/>
      </w:r>
      <w:r>
        <w:instrText xml:space="preserve"> SEQ S \* ARABIC </w:instrText>
      </w:r>
      <w:r>
        <w:fldChar w:fldCharType="separate"/>
      </w:r>
      <w:r w:rsidR="004D6048">
        <w:rPr>
          <w:noProof/>
        </w:rPr>
        <w:t>4</w:t>
      </w:r>
      <w:r>
        <w:fldChar w:fldCharType="end"/>
      </w:r>
      <w:r w:rsidR="0039105B">
        <w:t xml:space="preserve"> </w:t>
      </w:r>
      <w:r w:rsidR="0039105B" w:rsidRPr="0039105B">
        <w:rPr>
          <w:b w:val="0"/>
        </w:rPr>
        <w:t>Results of the Shapiro–Wilk normality tests and Levene homogeneity tests for the Mini-SBI variables used in the two-way ANOVA. Shapiro–Wilk tests were performed for the residuals of the respective models. Assumption assessment refers to the applicability of ANOVA-based analysis.</w:t>
      </w:r>
    </w:p>
    <w:tbl>
      <w:tblPr>
        <w:tblW w:w="9639" w:type="dxa"/>
        <w:tblCellMar>
          <w:left w:w="70" w:type="dxa"/>
          <w:right w:w="70" w:type="dxa"/>
        </w:tblCellMar>
        <w:tblLook w:val="04A0" w:firstRow="1" w:lastRow="0" w:firstColumn="1" w:lastColumn="0" w:noHBand="0" w:noVBand="1"/>
      </w:tblPr>
      <w:tblGrid>
        <w:gridCol w:w="3402"/>
        <w:gridCol w:w="1701"/>
        <w:gridCol w:w="1701"/>
        <w:gridCol w:w="2835"/>
      </w:tblGrid>
      <w:tr w:rsidR="00FE59EF" w:rsidRPr="00863C30" w14:paraId="33BFF001" w14:textId="77777777" w:rsidTr="00FE59EF">
        <w:trPr>
          <w:trHeight w:val="283"/>
        </w:trPr>
        <w:tc>
          <w:tcPr>
            <w:tcW w:w="3402" w:type="dxa"/>
            <w:tcBorders>
              <w:bottom w:val="single" w:sz="4" w:space="0" w:color="auto"/>
            </w:tcBorders>
            <w:shd w:val="clear" w:color="auto" w:fill="auto"/>
            <w:noWrap/>
            <w:vAlign w:val="center"/>
            <w:hideMark/>
          </w:tcPr>
          <w:p w14:paraId="2FB8F8F3" w14:textId="6EF9F220" w:rsidR="00FE59EF" w:rsidRPr="00863C30" w:rsidRDefault="00FE59EF" w:rsidP="00FE59EF">
            <w:pPr>
              <w:spacing w:after="0" w:line="240" w:lineRule="auto"/>
              <w:jc w:val="center"/>
              <w:rPr>
                <w:rFonts w:eastAsia="Times New Roman"/>
                <w:color w:val="000000"/>
                <w:lang w:eastAsia="de-AT"/>
              </w:rPr>
            </w:pPr>
            <w:r w:rsidRPr="00BE6F24">
              <w:t>Mini-SBI</w:t>
            </w:r>
          </w:p>
        </w:tc>
        <w:tc>
          <w:tcPr>
            <w:tcW w:w="1701" w:type="dxa"/>
            <w:tcBorders>
              <w:bottom w:val="single" w:sz="4" w:space="0" w:color="auto"/>
            </w:tcBorders>
            <w:shd w:val="clear" w:color="auto" w:fill="auto"/>
            <w:noWrap/>
            <w:vAlign w:val="center"/>
            <w:hideMark/>
          </w:tcPr>
          <w:p w14:paraId="66334171" w14:textId="0A1C1D18" w:rsidR="00FE59EF" w:rsidRPr="00863C30" w:rsidRDefault="00FE59EF" w:rsidP="00FE59EF">
            <w:pPr>
              <w:spacing w:after="0" w:line="240" w:lineRule="auto"/>
              <w:jc w:val="center"/>
              <w:rPr>
                <w:rFonts w:eastAsia="Times New Roman"/>
                <w:color w:val="000000"/>
                <w:lang w:eastAsia="de-AT"/>
              </w:rPr>
            </w:pPr>
            <w:r w:rsidRPr="00BE6F24">
              <w:t>Shapiro-Wilk</w:t>
            </w:r>
            <w:r>
              <w:t xml:space="preserve"> p</w:t>
            </w:r>
          </w:p>
        </w:tc>
        <w:tc>
          <w:tcPr>
            <w:tcW w:w="1701" w:type="dxa"/>
            <w:tcBorders>
              <w:bottom w:val="single" w:sz="4" w:space="0" w:color="auto"/>
            </w:tcBorders>
            <w:shd w:val="clear" w:color="auto" w:fill="auto"/>
            <w:noWrap/>
            <w:vAlign w:val="center"/>
            <w:hideMark/>
          </w:tcPr>
          <w:p w14:paraId="57626A9C" w14:textId="32B4CEF4" w:rsidR="00FE59EF" w:rsidRPr="00863C30" w:rsidRDefault="00FE59EF" w:rsidP="00FE59EF">
            <w:pPr>
              <w:spacing w:after="0" w:line="240" w:lineRule="auto"/>
              <w:jc w:val="center"/>
              <w:rPr>
                <w:rFonts w:eastAsia="Times New Roman"/>
                <w:color w:val="000000"/>
                <w:lang w:eastAsia="de-AT"/>
              </w:rPr>
            </w:pPr>
            <w:r w:rsidRPr="00BE6F24">
              <w:t>Levene</w:t>
            </w:r>
            <w:r>
              <w:t xml:space="preserve"> p</w:t>
            </w:r>
          </w:p>
        </w:tc>
        <w:tc>
          <w:tcPr>
            <w:tcW w:w="2835" w:type="dxa"/>
            <w:tcBorders>
              <w:bottom w:val="single" w:sz="4" w:space="0" w:color="auto"/>
            </w:tcBorders>
            <w:shd w:val="clear" w:color="auto" w:fill="auto"/>
            <w:noWrap/>
            <w:vAlign w:val="center"/>
            <w:hideMark/>
          </w:tcPr>
          <w:p w14:paraId="75A0C559" w14:textId="4F854B97" w:rsidR="00FE59EF" w:rsidRPr="00863C30" w:rsidRDefault="00FE59EF" w:rsidP="00FE59EF">
            <w:pPr>
              <w:spacing w:after="0" w:line="240" w:lineRule="auto"/>
              <w:jc w:val="center"/>
              <w:rPr>
                <w:rFonts w:eastAsia="Times New Roman"/>
                <w:color w:val="000000"/>
                <w:lang w:eastAsia="de-AT"/>
              </w:rPr>
            </w:pPr>
            <w:r w:rsidRPr="00D2098B">
              <w:t>Assumption assessment</w:t>
            </w:r>
          </w:p>
        </w:tc>
      </w:tr>
      <w:tr w:rsidR="00FE59EF" w:rsidRPr="00863C30" w14:paraId="514F7344" w14:textId="77777777" w:rsidTr="00FE59EF">
        <w:trPr>
          <w:trHeight w:val="283"/>
        </w:trPr>
        <w:tc>
          <w:tcPr>
            <w:tcW w:w="3402" w:type="dxa"/>
            <w:tcBorders>
              <w:top w:val="single" w:sz="4" w:space="0" w:color="auto"/>
            </w:tcBorders>
            <w:shd w:val="clear" w:color="auto" w:fill="auto"/>
            <w:vAlign w:val="center"/>
            <w:hideMark/>
          </w:tcPr>
          <w:p w14:paraId="656715D3" w14:textId="14FBA502" w:rsidR="00FE59EF" w:rsidRPr="00863C30" w:rsidRDefault="00FE59EF" w:rsidP="00FE59EF">
            <w:pPr>
              <w:spacing w:after="0" w:line="240" w:lineRule="auto"/>
              <w:jc w:val="center"/>
              <w:rPr>
                <w:rFonts w:eastAsia="Times New Roman"/>
                <w:color w:val="000000"/>
                <w:lang w:eastAsia="de-AT"/>
              </w:rPr>
            </w:pPr>
            <w:r w:rsidRPr="00BE6F24">
              <w:t>THR</w:t>
            </w:r>
          </w:p>
        </w:tc>
        <w:tc>
          <w:tcPr>
            <w:tcW w:w="1701" w:type="dxa"/>
            <w:tcBorders>
              <w:top w:val="single" w:sz="4" w:space="0" w:color="auto"/>
            </w:tcBorders>
            <w:shd w:val="clear" w:color="auto" w:fill="auto"/>
            <w:vAlign w:val="center"/>
            <w:hideMark/>
          </w:tcPr>
          <w:p w14:paraId="3EBD3A16" w14:textId="3C1613D6" w:rsidR="00FE59EF" w:rsidRPr="00863C30" w:rsidRDefault="00FE59EF" w:rsidP="00FE59EF">
            <w:pPr>
              <w:spacing w:after="0" w:line="240" w:lineRule="auto"/>
              <w:jc w:val="center"/>
              <w:rPr>
                <w:rFonts w:eastAsia="Times New Roman"/>
                <w:color w:val="000000"/>
                <w:lang w:eastAsia="de-AT"/>
              </w:rPr>
            </w:pPr>
            <w:r w:rsidRPr="00BE6F24">
              <w:t>&lt;0.001</w:t>
            </w:r>
          </w:p>
        </w:tc>
        <w:tc>
          <w:tcPr>
            <w:tcW w:w="1701" w:type="dxa"/>
            <w:tcBorders>
              <w:top w:val="single" w:sz="4" w:space="0" w:color="auto"/>
            </w:tcBorders>
            <w:shd w:val="clear" w:color="auto" w:fill="auto"/>
            <w:vAlign w:val="center"/>
            <w:hideMark/>
          </w:tcPr>
          <w:p w14:paraId="7C6A302F" w14:textId="4B5C33AE" w:rsidR="00FE59EF" w:rsidRPr="00863C30" w:rsidRDefault="00FE59EF" w:rsidP="00FE59EF">
            <w:pPr>
              <w:spacing w:after="0" w:line="240" w:lineRule="auto"/>
              <w:jc w:val="center"/>
              <w:rPr>
                <w:rFonts w:eastAsia="Times New Roman"/>
                <w:color w:val="000000"/>
                <w:lang w:eastAsia="de-AT"/>
              </w:rPr>
            </w:pPr>
            <w:r w:rsidRPr="00BE6F24">
              <w:t>0.003</w:t>
            </w:r>
          </w:p>
        </w:tc>
        <w:tc>
          <w:tcPr>
            <w:tcW w:w="2835" w:type="dxa"/>
            <w:tcBorders>
              <w:top w:val="single" w:sz="4" w:space="0" w:color="auto"/>
            </w:tcBorders>
            <w:shd w:val="clear" w:color="auto" w:fill="auto"/>
            <w:vAlign w:val="center"/>
            <w:hideMark/>
          </w:tcPr>
          <w:p w14:paraId="10C7853F" w14:textId="0AA25A6E" w:rsidR="00FE59EF" w:rsidRPr="00863C30" w:rsidRDefault="00FE59EF" w:rsidP="00FE59EF">
            <w:pPr>
              <w:spacing w:after="0" w:line="240" w:lineRule="auto"/>
              <w:jc w:val="center"/>
              <w:rPr>
                <w:rFonts w:eastAsia="Times New Roman"/>
                <w:color w:val="000000"/>
                <w:lang w:eastAsia="de-AT"/>
              </w:rPr>
            </w:pPr>
            <w:r w:rsidRPr="00BE6F24">
              <w:t>deviation from normality and heterogeneity of variance</w:t>
            </w:r>
          </w:p>
        </w:tc>
      </w:tr>
      <w:tr w:rsidR="00FE59EF" w:rsidRPr="00863C30" w14:paraId="6369009C" w14:textId="77777777" w:rsidTr="00FE59EF">
        <w:trPr>
          <w:trHeight w:val="283"/>
        </w:trPr>
        <w:tc>
          <w:tcPr>
            <w:tcW w:w="3402" w:type="dxa"/>
            <w:shd w:val="clear" w:color="auto" w:fill="auto"/>
            <w:vAlign w:val="center"/>
            <w:hideMark/>
          </w:tcPr>
          <w:p w14:paraId="7005C613" w14:textId="27D57DC1" w:rsidR="00FE59EF" w:rsidRPr="00863C30" w:rsidRDefault="00FE59EF" w:rsidP="00FE59EF">
            <w:pPr>
              <w:spacing w:after="0" w:line="240" w:lineRule="auto"/>
              <w:jc w:val="center"/>
              <w:rPr>
                <w:rFonts w:eastAsia="Times New Roman"/>
                <w:color w:val="000000"/>
                <w:lang w:eastAsia="de-AT"/>
              </w:rPr>
            </w:pPr>
            <w:r w:rsidRPr="00BE6F24">
              <w:t>THR600s</w:t>
            </w:r>
          </w:p>
        </w:tc>
        <w:tc>
          <w:tcPr>
            <w:tcW w:w="1701" w:type="dxa"/>
            <w:shd w:val="clear" w:color="auto" w:fill="auto"/>
            <w:vAlign w:val="center"/>
            <w:hideMark/>
          </w:tcPr>
          <w:p w14:paraId="288CC6F5" w14:textId="51E62AEF" w:rsidR="00FE59EF" w:rsidRPr="00863C30" w:rsidRDefault="00FE59EF" w:rsidP="00FE59EF">
            <w:pPr>
              <w:spacing w:after="0" w:line="240" w:lineRule="auto"/>
              <w:jc w:val="center"/>
              <w:rPr>
                <w:rFonts w:eastAsia="Times New Roman"/>
                <w:color w:val="000000"/>
                <w:lang w:eastAsia="de-AT"/>
              </w:rPr>
            </w:pPr>
            <w:r w:rsidRPr="00BE6F24">
              <w:t>0.771</w:t>
            </w:r>
          </w:p>
        </w:tc>
        <w:tc>
          <w:tcPr>
            <w:tcW w:w="1701" w:type="dxa"/>
            <w:shd w:val="clear" w:color="auto" w:fill="auto"/>
            <w:vAlign w:val="center"/>
            <w:hideMark/>
          </w:tcPr>
          <w:p w14:paraId="3BB968D1" w14:textId="4869A92B" w:rsidR="00FE59EF" w:rsidRPr="00863C30" w:rsidRDefault="00FE59EF" w:rsidP="00FE59EF">
            <w:pPr>
              <w:spacing w:after="0" w:line="240" w:lineRule="auto"/>
              <w:jc w:val="center"/>
              <w:rPr>
                <w:rFonts w:eastAsia="Times New Roman"/>
                <w:color w:val="000000"/>
                <w:lang w:eastAsia="de-AT"/>
              </w:rPr>
            </w:pPr>
            <w:r w:rsidRPr="00BE6F24">
              <w:t>0.156</w:t>
            </w:r>
          </w:p>
        </w:tc>
        <w:tc>
          <w:tcPr>
            <w:tcW w:w="2835" w:type="dxa"/>
            <w:shd w:val="clear" w:color="auto" w:fill="auto"/>
            <w:vAlign w:val="center"/>
            <w:hideMark/>
          </w:tcPr>
          <w:p w14:paraId="52F6DC29" w14:textId="4122FA5E" w:rsidR="00FE59EF" w:rsidRPr="00863C30" w:rsidRDefault="00FE59EF" w:rsidP="00FE59EF">
            <w:pPr>
              <w:spacing w:after="0" w:line="240" w:lineRule="auto"/>
              <w:jc w:val="center"/>
              <w:rPr>
                <w:rFonts w:eastAsia="Times New Roman"/>
                <w:color w:val="000000"/>
                <w:lang w:eastAsia="de-AT"/>
              </w:rPr>
            </w:pPr>
            <w:r w:rsidRPr="00BE6F24">
              <w:t>assumptions fulfilled</w:t>
            </w:r>
          </w:p>
        </w:tc>
      </w:tr>
      <w:tr w:rsidR="00FE59EF" w:rsidRPr="00863C30" w14:paraId="4E4BA5BB" w14:textId="77777777" w:rsidTr="00FE59EF">
        <w:trPr>
          <w:trHeight w:val="283"/>
        </w:trPr>
        <w:tc>
          <w:tcPr>
            <w:tcW w:w="3402" w:type="dxa"/>
            <w:shd w:val="clear" w:color="auto" w:fill="auto"/>
            <w:vAlign w:val="center"/>
            <w:hideMark/>
          </w:tcPr>
          <w:p w14:paraId="4E495A34" w14:textId="715E0E7E" w:rsidR="00FE59EF" w:rsidRPr="00863C30" w:rsidRDefault="00FE59EF" w:rsidP="00FE59EF">
            <w:pPr>
              <w:spacing w:after="0" w:line="240" w:lineRule="auto"/>
              <w:jc w:val="center"/>
              <w:rPr>
                <w:rFonts w:eastAsia="Times New Roman"/>
                <w:color w:val="000000"/>
                <w:lang w:eastAsia="de-AT"/>
              </w:rPr>
            </w:pPr>
            <w:r w:rsidRPr="00BE6F24">
              <w:t>FIGRA600s</w:t>
            </w:r>
          </w:p>
        </w:tc>
        <w:tc>
          <w:tcPr>
            <w:tcW w:w="1701" w:type="dxa"/>
            <w:shd w:val="clear" w:color="auto" w:fill="auto"/>
            <w:vAlign w:val="center"/>
            <w:hideMark/>
          </w:tcPr>
          <w:p w14:paraId="6F166E8E" w14:textId="141D1D6F" w:rsidR="00FE59EF" w:rsidRPr="00863C30" w:rsidRDefault="00FE59EF" w:rsidP="00FE59EF">
            <w:pPr>
              <w:spacing w:after="0" w:line="240" w:lineRule="auto"/>
              <w:jc w:val="center"/>
              <w:rPr>
                <w:rFonts w:eastAsia="Times New Roman"/>
                <w:color w:val="000000"/>
                <w:lang w:eastAsia="de-AT"/>
              </w:rPr>
            </w:pPr>
            <w:r w:rsidRPr="00BE6F24">
              <w:t>0.379</w:t>
            </w:r>
          </w:p>
        </w:tc>
        <w:tc>
          <w:tcPr>
            <w:tcW w:w="1701" w:type="dxa"/>
            <w:shd w:val="clear" w:color="auto" w:fill="auto"/>
            <w:vAlign w:val="center"/>
            <w:hideMark/>
          </w:tcPr>
          <w:p w14:paraId="4A9C2C7B" w14:textId="3F7924D2" w:rsidR="00FE59EF" w:rsidRPr="00863C30" w:rsidRDefault="00FE59EF" w:rsidP="00FE59EF">
            <w:pPr>
              <w:spacing w:after="0" w:line="240" w:lineRule="auto"/>
              <w:jc w:val="center"/>
              <w:rPr>
                <w:rFonts w:eastAsia="Times New Roman"/>
                <w:color w:val="000000"/>
                <w:lang w:eastAsia="de-AT"/>
              </w:rPr>
            </w:pPr>
            <w:r w:rsidRPr="00BE6F24">
              <w:t>0.487</w:t>
            </w:r>
          </w:p>
        </w:tc>
        <w:tc>
          <w:tcPr>
            <w:tcW w:w="2835" w:type="dxa"/>
            <w:shd w:val="clear" w:color="auto" w:fill="auto"/>
            <w:vAlign w:val="center"/>
            <w:hideMark/>
          </w:tcPr>
          <w:p w14:paraId="64633DED" w14:textId="300BB188" w:rsidR="00FE59EF" w:rsidRPr="00863C30" w:rsidRDefault="00FE59EF" w:rsidP="00FE59EF">
            <w:pPr>
              <w:spacing w:after="0" w:line="240" w:lineRule="auto"/>
              <w:jc w:val="center"/>
              <w:rPr>
                <w:rFonts w:eastAsia="Times New Roman"/>
                <w:color w:val="000000"/>
                <w:lang w:eastAsia="de-AT"/>
              </w:rPr>
            </w:pPr>
            <w:r w:rsidRPr="00BE6F24">
              <w:t>assumptions fulfilled</w:t>
            </w:r>
          </w:p>
        </w:tc>
      </w:tr>
      <w:tr w:rsidR="00FE59EF" w:rsidRPr="00863C30" w14:paraId="33B06B9C" w14:textId="77777777" w:rsidTr="00FE59EF">
        <w:trPr>
          <w:trHeight w:val="283"/>
        </w:trPr>
        <w:tc>
          <w:tcPr>
            <w:tcW w:w="3402" w:type="dxa"/>
            <w:tcBorders>
              <w:bottom w:val="single" w:sz="4" w:space="0" w:color="auto"/>
            </w:tcBorders>
            <w:shd w:val="clear" w:color="auto" w:fill="auto"/>
            <w:vAlign w:val="center"/>
            <w:hideMark/>
          </w:tcPr>
          <w:p w14:paraId="4721E1B5" w14:textId="4E165272" w:rsidR="00FE59EF" w:rsidRPr="00863C30" w:rsidRDefault="00FE59EF" w:rsidP="00FE59EF">
            <w:pPr>
              <w:spacing w:after="0" w:line="240" w:lineRule="auto"/>
              <w:jc w:val="center"/>
              <w:rPr>
                <w:rFonts w:eastAsia="Times New Roman"/>
                <w:color w:val="000000"/>
                <w:lang w:eastAsia="de-AT"/>
              </w:rPr>
            </w:pPr>
            <w:r w:rsidRPr="00BE6F24">
              <w:t>FIGRA0.02</w:t>
            </w:r>
          </w:p>
        </w:tc>
        <w:tc>
          <w:tcPr>
            <w:tcW w:w="1701" w:type="dxa"/>
            <w:tcBorders>
              <w:bottom w:val="single" w:sz="4" w:space="0" w:color="auto"/>
            </w:tcBorders>
            <w:shd w:val="clear" w:color="auto" w:fill="auto"/>
            <w:vAlign w:val="center"/>
            <w:hideMark/>
          </w:tcPr>
          <w:p w14:paraId="79DCB05F" w14:textId="619D0076" w:rsidR="00FE59EF" w:rsidRPr="00863C30" w:rsidRDefault="00FE59EF" w:rsidP="00FE59EF">
            <w:pPr>
              <w:spacing w:after="0" w:line="240" w:lineRule="auto"/>
              <w:jc w:val="center"/>
              <w:rPr>
                <w:rFonts w:eastAsia="Times New Roman"/>
                <w:color w:val="000000"/>
                <w:lang w:eastAsia="de-AT"/>
              </w:rPr>
            </w:pPr>
            <w:r w:rsidRPr="00BE6F24">
              <w:t>0.451</w:t>
            </w:r>
          </w:p>
        </w:tc>
        <w:tc>
          <w:tcPr>
            <w:tcW w:w="1701" w:type="dxa"/>
            <w:tcBorders>
              <w:bottom w:val="single" w:sz="4" w:space="0" w:color="auto"/>
            </w:tcBorders>
            <w:shd w:val="clear" w:color="auto" w:fill="auto"/>
            <w:vAlign w:val="center"/>
            <w:hideMark/>
          </w:tcPr>
          <w:p w14:paraId="226721A0" w14:textId="0C0A6A0A" w:rsidR="00FE59EF" w:rsidRPr="00863C30" w:rsidRDefault="00FE59EF" w:rsidP="00FE59EF">
            <w:pPr>
              <w:spacing w:after="0" w:line="240" w:lineRule="auto"/>
              <w:jc w:val="center"/>
              <w:rPr>
                <w:rFonts w:eastAsia="Times New Roman"/>
                <w:color w:val="000000"/>
                <w:lang w:eastAsia="de-AT"/>
              </w:rPr>
            </w:pPr>
            <w:r w:rsidRPr="00BE6F24">
              <w:t>0.005</w:t>
            </w:r>
          </w:p>
        </w:tc>
        <w:tc>
          <w:tcPr>
            <w:tcW w:w="2835" w:type="dxa"/>
            <w:tcBorders>
              <w:bottom w:val="single" w:sz="4" w:space="0" w:color="auto"/>
            </w:tcBorders>
            <w:shd w:val="clear" w:color="auto" w:fill="auto"/>
            <w:vAlign w:val="center"/>
            <w:hideMark/>
          </w:tcPr>
          <w:p w14:paraId="6981CD5E" w14:textId="46689744" w:rsidR="00FE59EF" w:rsidRPr="00863C30" w:rsidRDefault="00FE59EF" w:rsidP="00FE59EF">
            <w:pPr>
              <w:spacing w:after="0" w:line="240" w:lineRule="auto"/>
              <w:jc w:val="center"/>
              <w:rPr>
                <w:rFonts w:eastAsia="Times New Roman"/>
                <w:color w:val="000000"/>
                <w:lang w:eastAsia="de-AT"/>
              </w:rPr>
            </w:pPr>
            <w:r w:rsidRPr="00BE6F24">
              <w:t>heterogeneity of variance</w:t>
            </w:r>
          </w:p>
        </w:tc>
      </w:tr>
    </w:tbl>
    <w:p w14:paraId="69768A48" w14:textId="77777777" w:rsidR="00CF0F70" w:rsidRPr="00BA37A2" w:rsidRDefault="00CF0F70" w:rsidP="004409A6"/>
    <w:sectPr w:rsidR="00CF0F70" w:rsidRPr="00BA37A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8DA"/>
    <w:rsid w:val="00130393"/>
    <w:rsid w:val="0026672F"/>
    <w:rsid w:val="00267259"/>
    <w:rsid w:val="00282CBE"/>
    <w:rsid w:val="0036537D"/>
    <w:rsid w:val="0039105B"/>
    <w:rsid w:val="004409A6"/>
    <w:rsid w:val="004D6048"/>
    <w:rsid w:val="00515DC9"/>
    <w:rsid w:val="00795D59"/>
    <w:rsid w:val="00815CBF"/>
    <w:rsid w:val="00863C30"/>
    <w:rsid w:val="00A12174"/>
    <w:rsid w:val="00B234BA"/>
    <w:rsid w:val="00BA37A2"/>
    <w:rsid w:val="00CF0F70"/>
    <w:rsid w:val="00D350B8"/>
    <w:rsid w:val="00DF5840"/>
    <w:rsid w:val="00EE6CAB"/>
    <w:rsid w:val="00F868DA"/>
    <w:rsid w:val="00FE59E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97EFF"/>
  <w15:chartTrackingRefBased/>
  <w15:docId w15:val="{042FCC5F-1646-4874-845D-7F195ECB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A37A2"/>
    <w:rPr>
      <w:rFonts w:ascii="Times New Roman" w:eastAsia="Calibri"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863C30"/>
    <w:pPr>
      <w:keepNext/>
      <w:spacing w:line="240" w:lineRule="auto"/>
      <w:jc w:val="both"/>
    </w:pPr>
    <w:rPr>
      <w:b/>
      <w:sz w:val="1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56805">
      <w:bodyDiv w:val="1"/>
      <w:marLeft w:val="0"/>
      <w:marRight w:val="0"/>
      <w:marTop w:val="0"/>
      <w:marBottom w:val="0"/>
      <w:divBdr>
        <w:top w:val="none" w:sz="0" w:space="0" w:color="auto"/>
        <w:left w:val="none" w:sz="0" w:space="0" w:color="auto"/>
        <w:bottom w:val="none" w:sz="0" w:space="0" w:color="auto"/>
        <w:right w:val="none" w:sz="0" w:space="0" w:color="auto"/>
      </w:divBdr>
    </w:div>
    <w:div w:id="352534856">
      <w:bodyDiv w:val="1"/>
      <w:marLeft w:val="0"/>
      <w:marRight w:val="0"/>
      <w:marTop w:val="0"/>
      <w:marBottom w:val="0"/>
      <w:divBdr>
        <w:top w:val="none" w:sz="0" w:space="0" w:color="auto"/>
        <w:left w:val="none" w:sz="0" w:space="0" w:color="auto"/>
        <w:bottom w:val="none" w:sz="0" w:space="0" w:color="auto"/>
        <w:right w:val="none" w:sz="0" w:space="0" w:color="auto"/>
      </w:divBdr>
    </w:div>
    <w:div w:id="509880184">
      <w:bodyDiv w:val="1"/>
      <w:marLeft w:val="0"/>
      <w:marRight w:val="0"/>
      <w:marTop w:val="0"/>
      <w:marBottom w:val="0"/>
      <w:divBdr>
        <w:top w:val="none" w:sz="0" w:space="0" w:color="auto"/>
        <w:left w:val="none" w:sz="0" w:space="0" w:color="auto"/>
        <w:bottom w:val="none" w:sz="0" w:space="0" w:color="auto"/>
        <w:right w:val="none" w:sz="0" w:space="0" w:color="auto"/>
      </w:divBdr>
    </w:div>
    <w:div w:id="789861615">
      <w:bodyDiv w:val="1"/>
      <w:marLeft w:val="0"/>
      <w:marRight w:val="0"/>
      <w:marTop w:val="0"/>
      <w:marBottom w:val="0"/>
      <w:divBdr>
        <w:top w:val="none" w:sz="0" w:space="0" w:color="auto"/>
        <w:left w:val="none" w:sz="0" w:space="0" w:color="auto"/>
        <w:bottom w:val="none" w:sz="0" w:space="0" w:color="auto"/>
        <w:right w:val="none" w:sz="0" w:space="0" w:color="auto"/>
      </w:divBdr>
    </w:div>
    <w:div w:id="1059012726">
      <w:bodyDiv w:val="1"/>
      <w:marLeft w:val="0"/>
      <w:marRight w:val="0"/>
      <w:marTop w:val="0"/>
      <w:marBottom w:val="0"/>
      <w:divBdr>
        <w:top w:val="none" w:sz="0" w:space="0" w:color="auto"/>
        <w:left w:val="none" w:sz="0" w:space="0" w:color="auto"/>
        <w:bottom w:val="none" w:sz="0" w:space="0" w:color="auto"/>
        <w:right w:val="none" w:sz="0" w:space="0" w:color="auto"/>
      </w:divBdr>
    </w:div>
    <w:div w:id="161050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2734</Characters>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2026-05-19T06:42:00Z</dcterms:created>
  <dcterms:modified xsi:type="dcterms:W3CDTF">2026-07-13T08:02:00Z</dcterms:modified>
</cp:coreProperties>
</file>