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84919" w14:textId="3CE5158C" w:rsidR="00B90690" w:rsidRDefault="00B90690" w:rsidP="00B90690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Supplementary material</w:t>
      </w:r>
    </w:p>
    <w:p w14:paraId="18C7810A" w14:textId="5D0F763F" w:rsidR="00B90690" w:rsidRPr="00B90690" w:rsidRDefault="00B90690" w:rsidP="00B90690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B9069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Impact of different levels of handling</w:t>
      </w:r>
      <w:r w:rsidRPr="00B9069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Pr="00B9069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on </w:t>
      </w:r>
      <w:proofErr w:type="spellStart"/>
      <w:r w:rsidRPr="00B90690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>Solea</w:t>
      </w:r>
      <w:proofErr w:type="spellEnd"/>
      <w:r w:rsidRPr="00B90690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 xml:space="preserve"> senegalensis </w:t>
      </w:r>
      <w:r w:rsidRPr="00B90690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culture: effects on growth and molecular markers of stress.</w:t>
      </w:r>
    </w:p>
    <w:p w14:paraId="38AE198D" w14:textId="77777777" w:rsidR="00B90690" w:rsidRPr="00B90690" w:rsidRDefault="00B90690" w:rsidP="00B90690">
      <w:pPr>
        <w:spacing w:line="360" w:lineRule="auto"/>
        <w:jc w:val="both"/>
        <w:rPr>
          <w:rFonts w:ascii="Arial" w:hAnsi="Arial" w:cs="Arial"/>
          <w:color w:val="000000" w:themeColor="text1"/>
          <w:sz w:val="18"/>
          <w:szCs w:val="18"/>
          <w:vertAlign w:val="superscript"/>
        </w:rPr>
      </w:pPr>
      <w:r w:rsidRPr="00B90690">
        <w:rPr>
          <w:rFonts w:ascii="Arial" w:hAnsi="Arial" w:cs="Arial"/>
          <w:color w:val="000000" w:themeColor="text1"/>
          <w:sz w:val="18"/>
          <w:szCs w:val="18"/>
        </w:rPr>
        <w:t>David G. Valcarce</w:t>
      </w:r>
      <w:r w:rsidRPr="00B90690">
        <w:rPr>
          <w:rFonts w:ascii="Arial" w:hAnsi="Arial" w:cs="Arial"/>
          <w:color w:val="000000" w:themeColor="text1"/>
          <w:sz w:val="18"/>
          <w:szCs w:val="18"/>
          <w:vertAlign w:val="superscript"/>
        </w:rPr>
        <w:t>1,2</w:t>
      </w:r>
      <w:r w:rsidRPr="00B90690">
        <w:rPr>
          <w:rFonts w:ascii="Arial" w:hAnsi="Arial" w:cs="Arial"/>
          <w:color w:val="000000" w:themeColor="text1"/>
          <w:sz w:val="18"/>
          <w:szCs w:val="18"/>
        </w:rPr>
        <w:t>, Marta F. Riesco</w:t>
      </w:r>
      <w:bookmarkStart w:id="0" w:name="_Hlk121304412"/>
      <w:r w:rsidRPr="00B90690">
        <w:rPr>
          <w:rFonts w:ascii="Arial" w:hAnsi="Arial" w:cs="Arial"/>
          <w:color w:val="000000" w:themeColor="text1"/>
          <w:sz w:val="18"/>
          <w:szCs w:val="18"/>
          <w:vertAlign w:val="superscript"/>
        </w:rPr>
        <w:t>1</w:t>
      </w:r>
      <w:bookmarkEnd w:id="0"/>
      <w:r w:rsidRPr="00B90690">
        <w:rPr>
          <w:rFonts w:ascii="Arial" w:hAnsi="Arial" w:cs="Arial"/>
          <w:color w:val="000000" w:themeColor="text1"/>
          <w:sz w:val="18"/>
          <w:szCs w:val="18"/>
        </w:rPr>
        <w:t>, Juan Manuel Martínez-Vázquez</w:t>
      </w:r>
      <w:r w:rsidRPr="00B90690">
        <w:rPr>
          <w:rFonts w:ascii="Arial" w:hAnsi="Arial" w:cs="Arial"/>
          <w:color w:val="000000" w:themeColor="text1"/>
          <w:sz w:val="18"/>
          <w:szCs w:val="18"/>
          <w:vertAlign w:val="superscript"/>
        </w:rPr>
        <w:t>2</w:t>
      </w:r>
      <w:r w:rsidRPr="00B90690">
        <w:rPr>
          <w:rFonts w:ascii="Arial" w:hAnsi="Arial" w:cs="Arial"/>
          <w:color w:val="000000" w:themeColor="text1"/>
          <w:sz w:val="18"/>
          <w:szCs w:val="18"/>
        </w:rPr>
        <w:t>, José Luis Rodríguez Villanueva</w:t>
      </w:r>
      <w:r w:rsidRPr="00B90690">
        <w:rPr>
          <w:rFonts w:ascii="Arial" w:hAnsi="Arial" w:cs="Arial"/>
          <w:color w:val="000000" w:themeColor="text1"/>
          <w:sz w:val="18"/>
          <w:szCs w:val="18"/>
          <w:vertAlign w:val="superscript"/>
        </w:rPr>
        <w:t>3</w:t>
      </w:r>
      <w:r w:rsidRPr="00B90690">
        <w:rPr>
          <w:rFonts w:ascii="Arial" w:hAnsi="Arial" w:cs="Arial"/>
          <w:color w:val="000000" w:themeColor="text1"/>
          <w:sz w:val="18"/>
          <w:szCs w:val="18"/>
        </w:rPr>
        <w:t>, Vanesa Robles</w:t>
      </w:r>
      <w:r w:rsidRPr="00B90690">
        <w:rPr>
          <w:rFonts w:ascii="Arial" w:hAnsi="Arial" w:cs="Arial"/>
          <w:color w:val="000000" w:themeColor="text1"/>
          <w:sz w:val="18"/>
          <w:szCs w:val="18"/>
          <w:vertAlign w:val="superscript"/>
        </w:rPr>
        <w:t>1*</w:t>
      </w:r>
    </w:p>
    <w:p w14:paraId="6031D89C" w14:textId="77777777" w:rsidR="00E47686" w:rsidRDefault="00E47686"/>
    <w:p w14:paraId="0DA67AAB" w14:textId="77777777" w:rsidR="00B90690" w:rsidRDefault="00B90690"/>
    <w:p w14:paraId="6B0B90C4" w14:textId="77777777" w:rsidR="00B90690" w:rsidRPr="0013738D" w:rsidRDefault="00B90690" w:rsidP="00B9069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/>
        </w:rPr>
      </w:pPr>
      <w:r>
        <w:rPr>
          <w:rFonts w:ascii="Arial" w:eastAsia="Times New Roman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t>Supplementary material</w:t>
      </w:r>
      <w:r w:rsidRPr="0013738D">
        <w:rPr>
          <w:rFonts w:ascii="Arial" w:eastAsia="Times New Roman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t xml:space="preserve"> 1.</w:t>
      </w:r>
      <w:r w:rsidRPr="0013738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/>
        </w:rPr>
        <w:t xml:space="preserve"> Mean weight and mean length comparison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/>
        </w:rPr>
        <w:t xml:space="preserve"> (data from all the individuals included in the experimental groups)</w:t>
      </w:r>
      <w:r w:rsidRPr="0013738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/>
        </w:rPr>
        <w:t xml:space="preserve"> in Trial 1 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/>
        </w:rPr>
        <w:t>(</w:t>
      </w:r>
      <w:r w:rsidRPr="0013738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/>
        </w:rPr>
        <w:t>fattening stage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/>
        </w:rPr>
        <w:t>) and Trial 2 (</w:t>
      </w:r>
      <w:proofErr w:type="spellStart"/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/>
        </w:rPr>
        <w:t>prefattening</w:t>
      </w:r>
      <w:proofErr w:type="spellEnd"/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/>
        </w:rPr>
        <w:t xml:space="preserve"> stage). </w:t>
      </w:r>
      <w:r w:rsidRPr="004C11E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/>
        </w:rPr>
        <w:t>CTRL refers to the animals standard cultured. EXP refers to the animals cultured under a lower handling protocol. Asterisks show statistically significant difference between groups.</w:t>
      </w:r>
    </w:p>
    <w:p w14:paraId="35BDB148" w14:textId="77777777" w:rsidR="00B90690" w:rsidRDefault="00B90690" w:rsidP="00B90690">
      <w:pPr>
        <w:jc w:val="center"/>
        <w:rPr>
          <w:rFonts w:ascii="Arial" w:eastAsia="Times New Roman" w:hAnsi="Arial" w:cs="Arial"/>
          <w:b/>
          <w:bCs/>
          <w:color w:val="222222"/>
          <w:shd w:val="clear" w:color="auto" w:fill="FFFFFF"/>
          <w:lang w:val="en-US"/>
        </w:rPr>
      </w:pPr>
      <w:r>
        <w:rPr>
          <w:rFonts w:ascii="Arial" w:eastAsia="Times New Roman" w:hAnsi="Arial" w:cs="Arial"/>
          <w:b/>
          <w:bCs/>
          <w:noProof/>
          <w:color w:val="222222"/>
          <w:sz w:val="20"/>
          <w:szCs w:val="20"/>
          <w:shd w:val="clear" w:color="auto" w:fill="FFFFFF"/>
          <w:lang w:val="en-US"/>
        </w:rPr>
        <w:drawing>
          <wp:inline distT="0" distB="0" distL="0" distR="0" wp14:anchorId="4946D738" wp14:editId="7B4C5B5A">
            <wp:extent cx="4798277" cy="5131375"/>
            <wp:effectExtent l="0" t="0" r="2540" b="0"/>
            <wp:docPr id="96636721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35" cy="516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DB464" w14:textId="77777777" w:rsidR="00B90690" w:rsidRDefault="00B90690"/>
    <w:p w14:paraId="4A4B7BCE" w14:textId="77777777" w:rsidR="00B90690" w:rsidRDefault="00B90690" w:rsidP="00B906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</w:pPr>
    </w:p>
    <w:p w14:paraId="4BD2A4DD" w14:textId="77777777" w:rsidR="00B90690" w:rsidRDefault="00B90690" w:rsidP="00B9069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</w:pPr>
    </w:p>
    <w:p w14:paraId="587862D4" w14:textId="77777777" w:rsidR="00B90690" w:rsidRDefault="00B90690">
      <w:pPr>
        <w:rPr>
          <w:rFonts w:ascii="Arial" w:eastAsia="Times New Roman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</w:pPr>
      <w:r>
        <w:rPr>
          <w:rFonts w:ascii="Arial" w:eastAsia="Times New Roman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br w:type="page"/>
      </w:r>
    </w:p>
    <w:p w14:paraId="4A7D23CD" w14:textId="5916BDB3" w:rsidR="00B90690" w:rsidRDefault="00B90690" w:rsidP="00B9069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/>
        </w:rPr>
      </w:pPr>
      <w:r>
        <w:rPr>
          <w:rFonts w:ascii="Arial" w:eastAsia="Times New Roman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lastRenderedPageBreak/>
        <w:t>Supplementary material 2</w:t>
      </w:r>
      <w:r w:rsidRPr="0013738D">
        <w:rPr>
          <w:rFonts w:ascii="Arial" w:eastAsia="Times New Roman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t>.</w:t>
      </w:r>
      <w:r w:rsidRPr="0013738D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/>
        </w:rPr>
        <w:t xml:space="preserve"> 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/>
        </w:rPr>
        <w:t>Feed conversion ratios (FCR)</w:t>
      </w:r>
      <w:r w:rsidRPr="00453963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/>
        </w:rPr>
        <w:t xml:space="preserve"> for each Trial in the experiment: Trial 1 corresponds to specimens in the fattening culture stage and Trial 2 corresponds to specimens in the pre-fattening stage. 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/>
        </w:rPr>
        <w:t>FCR was calculated as the ratio of the</w:t>
      </w:r>
      <w:r w:rsidRPr="00453963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/>
        </w:rPr>
        <w:t xml:space="preserve"> total amount of feed (g) provided to the tanks during the experiment 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/>
        </w:rPr>
        <w:t>to the increment in the biomass (g) in the tank (final biomass-initial biomass)</w:t>
      </w:r>
      <w:r w:rsidRPr="00453963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/>
        </w:rPr>
        <w:t xml:space="preserve"> in each tank. CTRL refers to the animals standard cultured. EXP refers to the animals cultured under a lower handling human-animal interaction protocol. Asterisks show statistically significant difference between groups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US"/>
        </w:rPr>
        <w:t>.</w:t>
      </w:r>
    </w:p>
    <w:p w14:paraId="3DD342A5" w14:textId="77777777" w:rsidR="00B90690" w:rsidRDefault="00B90690" w:rsidP="00B9069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hd w:val="clear" w:color="auto" w:fill="FFFFFF"/>
          <w:lang w:val="en-US"/>
        </w:rPr>
      </w:pPr>
      <w:r>
        <w:rPr>
          <w:rFonts w:ascii="Arial" w:eastAsia="Times New Roman" w:hAnsi="Arial" w:cs="Arial"/>
          <w:b/>
          <w:bCs/>
          <w:noProof/>
          <w:color w:val="222222"/>
          <w:shd w:val="clear" w:color="auto" w:fill="FFFFFF"/>
          <w:lang w:val="en-US"/>
        </w:rPr>
        <w:drawing>
          <wp:inline distT="0" distB="0" distL="0" distR="0" wp14:anchorId="6CB07F3E" wp14:editId="4A0E5C6B">
            <wp:extent cx="5396230" cy="3381375"/>
            <wp:effectExtent l="0" t="0" r="0" b="9525"/>
            <wp:docPr id="10232126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800">
        <w:rPr>
          <w:rFonts w:ascii="Arial" w:eastAsia="Times New Roman" w:hAnsi="Arial" w:cs="Arial"/>
          <w:b/>
          <w:bCs/>
          <w:color w:val="222222"/>
          <w:lang w:val="en-US"/>
        </w:rPr>
        <w:br/>
      </w:r>
    </w:p>
    <w:p w14:paraId="58CCF919" w14:textId="77777777" w:rsidR="00B90690" w:rsidRDefault="00B90690"/>
    <w:sectPr w:rsidR="00B906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90"/>
    <w:rsid w:val="00B90690"/>
    <w:rsid w:val="00E4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CF0C6"/>
  <w15:chartTrackingRefBased/>
  <w15:docId w15:val="{2831C269-FE86-470B-AC89-B9CFF2BD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690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G. Valcarce</dc:creator>
  <cp:keywords/>
  <dc:description/>
  <cp:lastModifiedBy>David G. Valcarce</cp:lastModifiedBy>
  <cp:revision>1</cp:revision>
  <dcterms:created xsi:type="dcterms:W3CDTF">2023-07-23T08:45:00Z</dcterms:created>
  <dcterms:modified xsi:type="dcterms:W3CDTF">2023-07-23T08:47:00Z</dcterms:modified>
</cp:coreProperties>
</file>