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15D1" w14:textId="77777777" w:rsidR="005B340C" w:rsidRDefault="005B340C" w:rsidP="005B34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5B340C" w:rsidSect="005B340C">
          <w:pgSz w:w="12240" w:h="15840" w:code="1"/>
          <w:pgMar w:top="1440" w:right="1440" w:bottom="1440" w:left="1440" w:header="720" w:footer="720" w:gutter="0"/>
          <w:cols w:space="720"/>
          <w:vAlign w:val="center"/>
          <w:docGrid w:linePitch="360"/>
        </w:sectPr>
      </w:pPr>
      <w:r w:rsidRPr="00313A88">
        <w:rPr>
          <w:rFonts w:ascii="Times New Roman" w:hAnsi="Times New Roman" w:cs="Times New Roman"/>
          <w:b/>
          <w:bCs/>
          <w:sz w:val="28"/>
          <w:szCs w:val="28"/>
        </w:rPr>
        <w:t>Appendi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ces</w:t>
      </w:r>
      <w:r w:rsidRPr="00313A88">
        <w:rPr>
          <w:rFonts w:ascii="Times New Roman" w:hAnsi="Times New Roman" w:cs="Times New Roman"/>
          <w:b/>
          <w:bCs/>
          <w:sz w:val="28"/>
          <w:szCs w:val="28"/>
        </w:rPr>
        <w:t xml:space="preserve"> to “</w:t>
      </w:r>
      <w:r w:rsidRPr="00313A88">
        <w:rPr>
          <w:rFonts w:ascii="Times New Roman" w:hAnsi="Times New Roman" w:cs="Times New Roman" w:hint="eastAsia"/>
          <w:b/>
          <w:bCs/>
          <w:sz w:val="28"/>
          <w:szCs w:val="28"/>
        </w:rPr>
        <w:t>Large Language Model-Empowered Debate Outcome Prediction via Argument Quality Assessment</w:t>
      </w:r>
      <w:r w:rsidRPr="00313A8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6DE2E304" w14:textId="77777777" w:rsidR="005B340C" w:rsidRPr="00067320" w:rsidRDefault="005B340C" w:rsidP="005B340C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4CBC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Appendix A</w:t>
      </w:r>
      <w:r w:rsidRPr="00067320">
        <w:rPr>
          <w:rFonts w:ascii="Times New Roman" w:hAnsi="Times New Roman" w:cs="Times New Roman"/>
          <w:b/>
          <w:bCs/>
          <w:sz w:val="24"/>
          <w:szCs w:val="24"/>
        </w:rPr>
        <w:t>. Customized Schema for Argument Strategy Annotation</w:t>
      </w:r>
    </w:p>
    <w:p w14:paraId="342C0677" w14:textId="77777777" w:rsidR="005B340C" w:rsidRDefault="005B340C" w:rsidP="005B340C">
      <w:pPr>
        <w:spacing w:after="240" w:line="360" w:lineRule="auto"/>
        <w:rPr>
          <w:rFonts w:ascii="Times New Roman" w:hAnsi="Times New Roman" w:cs="Times New Roman"/>
        </w:rPr>
      </w:pPr>
      <w:r w:rsidRPr="00A24806">
        <w:rPr>
          <w:rFonts w:ascii="Times New Roman" w:hAnsi="Times New Roman" w:cs="Times New Roman"/>
        </w:rPr>
        <w:t>To capture argumentation strategies in the CDWC dataset, we adapted Felton’s (2004) analytic framework for argumentative discourse to create a tailored coding schema. While retaining many of Felton’s original strategy categories, the customized schema integrates additional insights derived from an in-depth review of the CDWC data. Table A1 presents the revised strategy categories along with their definitions.</w:t>
      </w:r>
      <w:r>
        <w:rPr>
          <w:rFonts w:ascii="Times New Roman" w:hAnsi="Times New Roman" w:cs="Times New Roman" w:hint="eastAsia"/>
        </w:rPr>
        <w:t xml:space="preserve"> </w:t>
      </w:r>
    </w:p>
    <w:tbl>
      <w:tblPr>
        <w:tblStyle w:val="TableGrid"/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39"/>
        <w:gridCol w:w="7401"/>
      </w:tblGrid>
      <w:tr w:rsidR="005B340C" w14:paraId="74AC4785" w14:textId="77777777" w:rsidTr="001C195F">
        <w:trPr>
          <w:jc w:val="center"/>
        </w:trPr>
        <w:tc>
          <w:tcPr>
            <w:tcW w:w="5000" w:type="pct"/>
            <w:gridSpan w:val="2"/>
            <w:vAlign w:val="center"/>
          </w:tcPr>
          <w:p w14:paraId="1800E05E" w14:textId="77777777" w:rsidR="005B340C" w:rsidRPr="00067320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73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A1. Customized Schema for Argument Strategy Annotation</w:t>
            </w:r>
          </w:p>
        </w:tc>
      </w:tr>
      <w:tr w:rsidR="005B340C" w14:paraId="10E2EC81" w14:textId="77777777" w:rsidTr="001C195F">
        <w:trPr>
          <w:jc w:val="center"/>
        </w:trPr>
        <w:tc>
          <w:tcPr>
            <w:tcW w:w="1038" w:type="pct"/>
            <w:vAlign w:val="center"/>
          </w:tcPr>
          <w:p w14:paraId="10409D33" w14:textId="77777777" w:rsidR="005B340C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Category</w:t>
            </w:r>
          </w:p>
        </w:tc>
        <w:tc>
          <w:tcPr>
            <w:tcW w:w="3962" w:type="pct"/>
            <w:vAlign w:val="center"/>
          </w:tcPr>
          <w:p w14:paraId="19DB65F3" w14:textId="77777777" w:rsidR="005B340C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Definition</w:t>
            </w:r>
          </w:p>
        </w:tc>
      </w:tr>
      <w:tr w:rsidR="005B340C" w:rsidRPr="00DA0C4D" w14:paraId="14BE9601" w14:textId="77777777" w:rsidTr="001C195F">
        <w:trPr>
          <w:jc w:val="center"/>
        </w:trPr>
        <w:tc>
          <w:tcPr>
            <w:tcW w:w="5000" w:type="pct"/>
            <w:gridSpan w:val="2"/>
            <w:vAlign w:val="center"/>
          </w:tcPr>
          <w:p w14:paraId="6C97C071" w14:textId="77777777" w:rsidR="005B340C" w:rsidRPr="00DA0C4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C4D">
              <w:rPr>
                <w:rFonts w:ascii="Times New Roman" w:hAnsi="Times New Roman" w:cs="Times New Roman" w:hint="eastAsia"/>
                <w:b/>
                <w:bCs/>
              </w:rPr>
              <w:t>Questions</w:t>
            </w:r>
          </w:p>
        </w:tc>
      </w:tr>
      <w:tr w:rsidR="005B340C" w14:paraId="3A7BAF78" w14:textId="77777777" w:rsidTr="001C195F">
        <w:trPr>
          <w:jc w:val="center"/>
        </w:trPr>
        <w:tc>
          <w:tcPr>
            <w:tcW w:w="1038" w:type="pct"/>
            <w:vAlign w:val="center"/>
          </w:tcPr>
          <w:p w14:paraId="6E8D6E04" w14:textId="77777777" w:rsidR="005B340C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Request for a stance</w:t>
            </w:r>
          </w:p>
        </w:tc>
        <w:tc>
          <w:tcPr>
            <w:tcW w:w="3962" w:type="pct"/>
            <w:vAlign w:val="center"/>
          </w:tcPr>
          <w:p w14:paraId="42C27E7F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Asking the opponent to take a position on a specific case, scenario, or issue, including questions about whether they accept or agree with the speaker’s viewpoint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0AB027C3" w14:textId="77777777" w:rsidTr="001C195F">
        <w:trPr>
          <w:jc w:val="center"/>
        </w:trPr>
        <w:tc>
          <w:tcPr>
            <w:tcW w:w="1038" w:type="pct"/>
            <w:vAlign w:val="center"/>
          </w:tcPr>
          <w:p w14:paraId="3607668F" w14:textId="77777777" w:rsidR="005B340C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Request for clarification</w:t>
            </w:r>
          </w:p>
        </w:tc>
        <w:tc>
          <w:tcPr>
            <w:tcW w:w="3962" w:type="pct"/>
            <w:vAlign w:val="center"/>
          </w:tcPr>
          <w:p w14:paraId="54F65F3A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Asking the opponent to clarify their previous statement or provide more detailed information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6B5E9F1A" w14:textId="77777777" w:rsidTr="001C195F">
        <w:trPr>
          <w:jc w:val="center"/>
        </w:trPr>
        <w:tc>
          <w:tcPr>
            <w:tcW w:w="1038" w:type="pct"/>
            <w:vAlign w:val="center"/>
          </w:tcPr>
          <w:p w14:paraId="22F228B3" w14:textId="77777777" w:rsidR="005B340C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Request for response</w:t>
            </w:r>
          </w:p>
        </w:tc>
        <w:tc>
          <w:tcPr>
            <w:tcW w:w="3962" w:type="pct"/>
            <w:vAlign w:val="center"/>
          </w:tcPr>
          <w:p w14:paraId="3F103218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Asking the opponent to directly address or respond to the speaker’s own argument</w:t>
            </w:r>
            <w:r>
              <w:rPr>
                <w:rFonts w:ascii="Times New Roman" w:hAnsi="Times New Roman" w:cs="Times New Roman" w:hint="eastAsia"/>
              </w:rPr>
              <w:t xml:space="preserve"> or question.</w:t>
            </w:r>
          </w:p>
        </w:tc>
      </w:tr>
      <w:tr w:rsidR="005B340C" w14:paraId="0755A94A" w14:textId="77777777" w:rsidTr="001C195F">
        <w:trPr>
          <w:jc w:val="center"/>
        </w:trPr>
        <w:tc>
          <w:tcPr>
            <w:tcW w:w="1038" w:type="pct"/>
            <w:vAlign w:val="center"/>
          </w:tcPr>
          <w:p w14:paraId="280AA73A" w14:textId="77777777" w:rsidR="005B340C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Request for justification</w:t>
            </w:r>
          </w:p>
        </w:tc>
        <w:tc>
          <w:tcPr>
            <w:tcW w:w="3962" w:type="pct"/>
            <w:vAlign w:val="center"/>
          </w:tcPr>
          <w:p w14:paraId="3BBE1C6F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Asking the opponent to offer evidence or further reasoning to support their previous claim</w:t>
            </w:r>
            <w:r>
              <w:rPr>
                <w:rFonts w:ascii="Times New Roman" w:hAnsi="Times New Roman" w:cs="Times New Roman" w:hint="eastAsia"/>
              </w:rPr>
              <w:t xml:space="preserve"> or position.</w:t>
            </w:r>
          </w:p>
        </w:tc>
      </w:tr>
      <w:tr w:rsidR="005B340C" w14:paraId="2A510777" w14:textId="77777777" w:rsidTr="001C195F">
        <w:trPr>
          <w:jc w:val="center"/>
        </w:trPr>
        <w:tc>
          <w:tcPr>
            <w:tcW w:w="1038" w:type="pct"/>
            <w:vAlign w:val="center"/>
          </w:tcPr>
          <w:p w14:paraId="7C4C42FD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Rhetorical question</w:t>
            </w:r>
          </w:p>
        </w:tc>
        <w:tc>
          <w:tcPr>
            <w:tcW w:w="3962" w:type="pct"/>
            <w:vAlign w:val="center"/>
          </w:tcPr>
          <w:p w14:paraId="14B2CC37" w14:textId="77777777" w:rsidR="005B340C" w:rsidRPr="0006090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Using an interrogative form to express a positive assertion. For example: “Isn’t it?”, “How could it not be?”, “Isn’t that exactly the case?”</w:t>
            </w:r>
          </w:p>
        </w:tc>
      </w:tr>
      <w:tr w:rsidR="005B340C" w:rsidRPr="00DA0C4D" w14:paraId="43B1677C" w14:textId="77777777" w:rsidTr="001C195F">
        <w:trPr>
          <w:jc w:val="center"/>
        </w:trPr>
        <w:tc>
          <w:tcPr>
            <w:tcW w:w="5000" w:type="pct"/>
            <w:gridSpan w:val="2"/>
            <w:vAlign w:val="center"/>
          </w:tcPr>
          <w:p w14:paraId="01981D87" w14:textId="77777777" w:rsidR="005B340C" w:rsidRPr="00DA0C4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A0C4D">
              <w:rPr>
                <w:rFonts w:ascii="Times New Roman" w:hAnsi="Times New Roman" w:cs="Times New Roman" w:hint="eastAsia"/>
                <w:b/>
                <w:bCs/>
              </w:rPr>
              <w:t>Statements</w:t>
            </w:r>
          </w:p>
        </w:tc>
      </w:tr>
      <w:tr w:rsidR="005B340C" w14:paraId="4C903A05" w14:textId="77777777" w:rsidTr="001C195F">
        <w:trPr>
          <w:jc w:val="center"/>
        </w:trPr>
        <w:tc>
          <w:tcPr>
            <w:tcW w:w="1038" w:type="pct"/>
            <w:vAlign w:val="center"/>
          </w:tcPr>
          <w:p w14:paraId="07DBD6AB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Agreement</w:t>
            </w:r>
          </w:p>
        </w:tc>
        <w:tc>
          <w:tcPr>
            <w:tcW w:w="3962" w:type="pct"/>
            <w:vAlign w:val="center"/>
          </w:tcPr>
          <w:p w14:paraId="17C71C2A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Explicitly expressing agreement, approval, or endorsement of the opponent’s statement.</w:t>
            </w:r>
          </w:p>
        </w:tc>
      </w:tr>
      <w:tr w:rsidR="005B340C" w14:paraId="2024DAA3" w14:textId="77777777" w:rsidTr="001C195F">
        <w:trPr>
          <w:jc w:val="center"/>
        </w:trPr>
        <w:tc>
          <w:tcPr>
            <w:tcW w:w="1038" w:type="pct"/>
            <w:vAlign w:val="center"/>
          </w:tcPr>
          <w:p w14:paraId="540EA596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Opposition</w:t>
            </w:r>
          </w:p>
        </w:tc>
        <w:tc>
          <w:tcPr>
            <w:tcW w:w="3962" w:type="pct"/>
            <w:vAlign w:val="center"/>
          </w:tcPr>
          <w:p w14:paraId="50F3482E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Rejecting, refuting, or challenging the opponent’s statements, arguments, or reasoning, or pointing out that their remarks deviate from the debate topic or are irrelevant.</w:t>
            </w:r>
          </w:p>
        </w:tc>
      </w:tr>
      <w:tr w:rsidR="005B340C" w14:paraId="60D5141D" w14:textId="77777777" w:rsidTr="001C195F">
        <w:trPr>
          <w:jc w:val="center"/>
        </w:trPr>
        <w:tc>
          <w:tcPr>
            <w:tcW w:w="1038" w:type="pct"/>
            <w:vAlign w:val="center"/>
          </w:tcPr>
          <w:p w14:paraId="40E47575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Clarifying the opponent’s viewpoint</w:t>
            </w:r>
          </w:p>
        </w:tc>
        <w:tc>
          <w:tcPr>
            <w:tcW w:w="3962" w:type="pct"/>
            <w:vAlign w:val="center"/>
          </w:tcPr>
          <w:p w14:paraId="177AE5F8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Interpreting, paraphrasing, or restating what the opponent has previously said.</w:t>
            </w:r>
          </w:p>
        </w:tc>
      </w:tr>
      <w:tr w:rsidR="005B340C" w14:paraId="7C1DC374" w14:textId="77777777" w:rsidTr="001C195F">
        <w:trPr>
          <w:jc w:val="center"/>
        </w:trPr>
        <w:tc>
          <w:tcPr>
            <w:tcW w:w="1038" w:type="pct"/>
            <w:vAlign w:val="center"/>
          </w:tcPr>
          <w:p w14:paraId="69717F23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Clarifying own viewpoint</w:t>
            </w:r>
          </w:p>
        </w:tc>
        <w:tc>
          <w:tcPr>
            <w:tcW w:w="3962" w:type="pct"/>
            <w:vAlign w:val="center"/>
          </w:tcPr>
          <w:p w14:paraId="4227636A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Clarifying, interpreting, paraphrasing, or restating the speaker’s own prior statements.</w:t>
            </w:r>
          </w:p>
        </w:tc>
      </w:tr>
      <w:tr w:rsidR="005B340C" w14:paraId="3A547FCE" w14:textId="77777777" w:rsidTr="001C195F">
        <w:trPr>
          <w:jc w:val="center"/>
        </w:trPr>
        <w:tc>
          <w:tcPr>
            <w:tcW w:w="1038" w:type="pct"/>
            <w:vAlign w:val="center"/>
          </w:tcPr>
          <w:p w14:paraId="1CE03334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Example-based reasoning</w:t>
            </w:r>
          </w:p>
        </w:tc>
        <w:tc>
          <w:tcPr>
            <w:tcW w:w="3962" w:type="pct"/>
            <w:vAlign w:val="center"/>
          </w:tcPr>
          <w:p w14:paraId="60190152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Providing one or more concrete examples and generalizing from cases to broader conclusions to support one’s own argument or counter the opponent’s argument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6ABD1483" w14:textId="77777777" w:rsidTr="001C195F">
        <w:trPr>
          <w:jc w:val="center"/>
        </w:trPr>
        <w:tc>
          <w:tcPr>
            <w:tcW w:w="1038" w:type="pct"/>
            <w:vAlign w:val="center"/>
          </w:tcPr>
          <w:p w14:paraId="56B7D395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lastRenderedPageBreak/>
              <w:t>Analogical reasoning</w:t>
            </w:r>
          </w:p>
        </w:tc>
        <w:tc>
          <w:tcPr>
            <w:tcW w:w="3962" w:type="pct"/>
            <w:vAlign w:val="center"/>
          </w:tcPr>
          <w:p w14:paraId="653CDB7C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Drawing comparisons with similar phenomena or cases to support one’s own position or refute the opponent’s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5C572658" w14:textId="77777777" w:rsidTr="001C195F">
        <w:trPr>
          <w:jc w:val="center"/>
        </w:trPr>
        <w:tc>
          <w:tcPr>
            <w:tcW w:w="1038" w:type="pct"/>
            <w:vAlign w:val="center"/>
          </w:tcPr>
          <w:p w14:paraId="72C8D814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Causal reasoning</w:t>
            </w:r>
          </w:p>
        </w:tc>
        <w:tc>
          <w:tcPr>
            <w:tcW w:w="3962" w:type="pct"/>
            <w:vAlign w:val="center"/>
          </w:tcPr>
          <w:p w14:paraId="1E166616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Explaining why A leads (or does not lead) to B by emphasizing the causal mechanism</w:t>
            </w:r>
            <w:r>
              <w:rPr>
                <w:rFonts w:ascii="Times New Roman" w:hAnsi="Times New Roman" w:cs="Times New Roman" w:hint="eastAsia"/>
              </w:rPr>
              <w:t xml:space="preserve"> </w:t>
            </w:r>
            <w:r w:rsidRPr="0006090D">
              <w:rPr>
                <w:rFonts w:ascii="Times New Roman" w:hAnsi="Times New Roman" w:cs="Times New Roman"/>
              </w:rPr>
              <w:t>to support one’s own stance or challenge the opponent’s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27464244" w14:textId="77777777" w:rsidTr="001C195F">
        <w:trPr>
          <w:jc w:val="center"/>
        </w:trPr>
        <w:tc>
          <w:tcPr>
            <w:tcW w:w="1038" w:type="pct"/>
            <w:vAlign w:val="center"/>
          </w:tcPr>
          <w:p w14:paraId="1666DB55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Comparative reasoning</w:t>
            </w:r>
          </w:p>
        </w:tc>
        <w:tc>
          <w:tcPr>
            <w:tcW w:w="3962" w:type="pct"/>
            <w:vAlign w:val="center"/>
          </w:tcPr>
          <w:p w14:paraId="02F90BCC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 xml:space="preserve">Using quantitative data or observable trends to directly compare the advantages and disadvantages of two </w:t>
            </w:r>
            <w:proofErr w:type="gramStart"/>
            <w:r w:rsidRPr="0006090D">
              <w:rPr>
                <w:rFonts w:ascii="Times New Roman" w:hAnsi="Times New Roman" w:cs="Times New Roman"/>
              </w:rPr>
              <w:t>phenomena, or</w:t>
            </w:r>
            <w:proofErr w:type="gramEnd"/>
            <w:r w:rsidRPr="0006090D">
              <w:rPr>
                <w:rFonts w:ascii="Times New Roman" w:hAnsi="Times New Roman" w:cs="Times New Roman"/>
              </w:rPr>
              <w:t xml:space="preserve"> weighing them in terms of “benefits outweighing harms” or vice versa, to strengthen one’s position or weaken the opponent’s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2CF8848B" w14:textId="77777777" w:rsidTr="001C195F">
        <w:trPr>
          <w:jc w:val="center"/>
        </w:trPr>
        <w:tc>
          <w:tcPr>
            <w:tcW w:w="1038" w:type="pct"/>
            <w:vAlign w:val="center"/>
          </w:tcPr>
          <w:p w14:paraId="4D68E42D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Definition-based reasoning</w:t>
            </w:r>
          </w:p>
        </w:tc>
        <w:tc>
          <w:tcPr>
            <w:tcW w:w="3962" w:type="pct"/>
            <w:vAlign w:val="center"/>
          </w:tcPr>
          <w:p w14:paraId="4C06690A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 xml:space="preserve">Challenging the opponent’s definition or interpretation of a </w:t>
            </w:r>
            <w:proofErr w:type="gramStart"/>
            <w:r w:rsidRPr="0006090D">
              <w:rPr>
                <w:rFonts w:ascii="Times New Roman" w:hAnsi="Times New Roman" w:cs="Times New Roman"/>
              </w:rPr>
              <w:t>concept, or</w:t>
            </w:r>
            <w:proofErr w:type="gramEnd"/>
            <w:r w:rsidRPr="0006090D">
              <w:rPr>
                <w:rFonts w:ascii="Times New Roman" w:hAnsi="Times New Roman" w:cs="Times New Roman"/>
              </w:rPr>
              <w:t xml:space="preserve"> offering one’s own definition and interpretation to support the argument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4EB69C63" w14:textId="77777777" w:rsidTr="001C195F">
        <w:trPr>
          <w:jc w:val="center"/>
        </w:trPr>
        <w:tc>
          <w:tcPr>
            <w:tcW w:w="1038" w:type="pct"/>
            <w:vAlign w:val="center"/>
          </w:tcPr>
          <w:p w14:paraId="55018F27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A</w:t>
            </w:r>
            <w:r w:rsidRPr="0006090D">
              <w:rPr>
                <w:rFonts w:ascii="Times New Roman" w:hAnsi="Times New Roman" w:cs="Times New Roman"/>
                <w:b/>
                <w:bCs/>
              </w:rPr>
              <w:t>rgument to absurdity</w:t>
            </w:r>
          </w:p>
        </w:tc>
        <w:tc>
          <w:tcPr>
            <w:tcW w:w="3962" w:type="pct"/>
            <w:vAlign w:val="center"/>
          </w:tcPr>
          <w:p w14:paraId="37DDB006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Testing whether the opponent’s viewpoint would lead to conclusions that are absurd or counter to common sense, thereby refuting the opponent or supporting one’s own claim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  <w:tr w:rsidR="005B340C" w14:paraId="09477E94" w14:textId="77777777" w:rsidTr="001C195F">
        <w:trPr>
          <w:jc w:val="center"/>
        </w:trPr>
        <w:tc>
          <w:tcPr>
            <w:tcW w:w="1038" w:type="pct"/>
            <w:vAlign w:val="center"/>
          </w:tcPr>
          <w:p w14:paraId="4E9A635F" w14:textId="77777777" w:rsidR="005B340C" w:rsidRPr="0006090D" w:rsidRDefault="005B340C" w:rsidP="001C195F">
            <w:pPr>
              <w:snapToGrid w:val="0"/>
              <w:spacing w:before="40" w:afterLines="40" w:after="96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6090D">
              <w:rPr>
                <w:rFonts w:ascii="Times New Roman" w:hAnsi="Times New Roman" w:cs="Times New Roman"/>
                <w:b/>
                <w:bCs/>
              </w:rPr>
              <w:t>Other</w:t>
            </w:r>
            <w:r>
              <w:rPr>
                <w:rFonts w:ascii="Times New Roman" w:hAnsi="Times New Roman" w:cs="Times New Roman" w:hint="eastAsia"/>
                <w:b/>
                <w:bCs/>
              </w:rPr>
              <w:t>s</w:t>
            </w:r>
          </w:p>
        </w:tc>
        <w:tc>
          <w:tcPr>
            <w:tcW w:w="3962" w:type="pct"/>
            <w:vAlign w:val="center"/>
          </w:tcPr>
          <w:p w14:paraId="13E31273" w14:textId="77777777" w:rsidR="005B340C" w:rsidRPr="00DA0C4D" w:rsidRDefault="005B340C" w:rsidP="001C195F">
            <w:pPr>
              <w:snapToGrid w:val="0"/>
              <w:spacing w:before="40" w:afterLines="40" w:after="96"/>
              <w:rPr>
                <w:rFonts w:ascii="Times New Roman" w:hAnsi="Times New Roman" w:cs="Times New Roman"/>
              </w:rPr>
            </w:pPr>
            <w:r w:rsidRPr="0006090D">
              <w:rPr>
                <w:rFonts w:ascii="Times New Roman" w:hAnsi="Times New Roman" w:cs="Times New Roman"/>
              </w:rPr>
              <w:t>Off-topic remarks or comments unrelated to the main debate</w:t>
            </w:r>
            <w:r>
              <w:rPr>
                <w:rFonts w:ascii="Times New Roman" w:hAnsi="Times New Roman" w:cs="Times New Roman" w:hint="eastAsia"/>
              </w:rPr>
              <w:t>.</w:t>
            </w:r>
          </w:p>
        </w:tc>
      </w:tr>
    </w:tbl>
    <w:p w14:paraId="16CF9B1B" w14:textId="77777777" w:rsidR="005B340C" w:rsidRPr="0058021E" w:rsidRDefault="005B340C" w:rsidP="005B340C">
      <w:pPr>
        <w:spacing w:before="240" w:after="160" w:line="360" w:lineRule="auto"/>
        <w:rPr>
          <w:rFonts w:ascii="Times New Roman" w:hAnsi="Times New Roman" w:cs="Times New Roman"/>
        </w:rPr>
      </w:pPr>
      <w:r w:rsidRPr="0058021E">
        <w:rPr>
          <w:rFonts w:ascii="Times New Roman" w:hAnsi="Times New Roman" w:cs="Times New Roman"/>
        </w:rPr>
        <w:t xml:space="preserve">We used an LLM (GPT-4.5-Preview) to annotate argumentation strategies in the CDWC dataset. Each API call received an utterance, segmented into sentences, and the </w:t>
      </w:r>
      <w:r>
        <w:rPr>
          <w:rFonts w:ascii="Times New Roman" w:hAnsi="Times New Roman" w:cs="Times New Roman" w:hint="eastAsia"/>
        </w:rPr>
        <w:t>LLM</w:t>
      </w:r>
      <w:r w:rsidRPr="0058021E">
        <w:rPr>
          <w:rFonts w:ascii="Times New Roman" w:hAnsi="Times New Roman" w:cs="Times New Roman"/>
        </w:rPr>
        <w:t xml:space="preserve"> assigned one strategy label from Table A1 to each sentence. After annotation, we computed speaker-level strategy features by counting the frequency of each strategy label in a speaker’s </w:t>
      </w:r>
      <w:proofErr w:type="gramStart"/>
      <w:r w:rsidRPr="0058021E">
        <w:rPr>
          <w:rFonts w:ascii="Times New Roman" w:hAnsi="Times New Roman" w:cs="Times New Roman"/>
        </w:rPr>
        <w:t>utterances, and</w:t>
      </w:r>
      <w:proofErr w:type="gramEnd"/>
      <w:r w:rsidRPr="0058021E">
        <w:rPr>
          <w:rFonts w:ascii="Times New Roman" w:hAnsi="Times New Roman" w:cs="Times New Roman"/>
        </w:rPr>
        <w:t xml:space="preserve"> then aggregated these counts across team members to construct team-level strategy feature vectors</w:t>
      </w:r>
      <w:r>
        <w:rPr>
          <w:rFonts w:ascii="Times New Roman" w:hAnsi="Times New Roman" w:cs="Times New Roman" w:hint="eastAsia"/>
        </w:rPr>
        <w:t>.</w:t>
      </w:r>
    </w:p>
    <w:p w14:paraId="357E1C26" w14:textId="77777777" w:rsidR="005B340C" w:rsidRPr="0058021E" w:rsidRDefault="005B340C" w:rsidP="005B340C">
      <w:pPr>
        <w:spacing w:before="240" w:line="360" w:lineRule="auto"/>
        <w:rPr>
          <w:rFonts w:ascii="Times New Roman" w:hAnsi="Times New Roman" w:cs="Times New Roman"/>
        </w:rPr>
      </w:pPr>
      <w:r w:rsidRPr="0058021E">
        <w:rPr>
          <w:rFonts w:ascii="Times New Roman" w:hAnsi="Times New Roman" w:cs="Times New Roman"/>
        </w:rPr>
        <w:br w:type="page"/>
      </w:r>
    </w:p>
    <w:p w14:paraId="420AA044" w14:textId="77777777" w:rsidR="005B340C" w:rsidRPr="00067320" w:rsidRDefault="005B340C" w:rsidP="005B340C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320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B. Confidence Intervals of Debate Outcome Prediction Accuracy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 w:firstRow="0" w:lastRow="0" w:firstColumn="0" w:lastColumn="0" w:noHBand="1" w:noVBand="1"/>
      </w:tblPr>
      <w:tblGrid>
        <w:gridCol w:w="1941"/>
        <w:gridCol w:w="2047"/>
        <w:gridCol w:w="1853"/>
        <w:gridCol w:w="1657"/>
        <w:gridCol w:w="1842"/>
      </w:tblGrid>
      <w:tr w:rsidR="005B340C" w:rsidRPr="00B05609" w14:paraId="711D8089" w14:textId="77777777" w:rsidTr="001C195F">
        <w:trPr>
          <w:trHeight w:val="18"/>
        </w:trPr>
        <w:tc>
          <w:tcPr>
            <w:tcW w:w="5000" w:type="pct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B32EF7" w14:textId="77777777" w:rsidR="005B340C" w:rsidRPr="00067320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73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A2. Confidence Intervals from Bootstrapping Cross-Validation</w:t>
            </w:r>
          </w:p>
        </w:tc>
      </w:tr>
      <w:tr w:rsidR="005B340C" w:rsidRPr="00B05609" w14:paraId="23E06A46" w14:textId="77777777" w:rsidTr="001C195F">
        <w:trPr>
          <w:trHeight w:val="18"/>
        </w:trPr>
        <w:tc>
          <w:tcPr>
            <w:tcW w:w="103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D8FA90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Classifier</w:t>
            </w:r>
          </w:p>
        </w:tc>
        <w:tc>
          <w:tcPr>
            <w:tcW w:w="109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12448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99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A999F3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SVC</w:t>
            </w:r>
          </w:p>
        </w:tc>
        <w:tc>
          <w:tcPr>
            <w:tcW w:w="88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83D72B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98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E268EE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XGB</w:t>
            </w:r>
          </w:p>
        </w:tc>
      </w:tr>
      <w:tr w:rsidR="005B340C" w:rsidRPr="00424EA8" w14:paraId="66B3442A" w14:textId="77777777" w:rsidTr="001C195F">
        <w:trPr>
          <w:trHeight w:val="51"/>
        </w:trPr>
        <w:tc>
          <w:tcPr>
            <w:tcW w:w="103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59C3E9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Hand-crafted Features</w:t>
            </w:r>
          </w:p>
        </w:tc>
        <w:tc>
          <w:tcPr>
            <w:tcW w:w="109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5BDC298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0.581 </w:t>
            </w:r>
          </w:p>
          <w:p w14:paraId="6BDF3248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0.647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98F807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0.583 </w:t>
            </w:r>
          </w:p>
          <w:p w14:paraId="437018C2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0.515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0.64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8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7299D3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0.579 </w:t>
            </w:r>
          </w:p>
          <w:p w14:paraId="4D841B34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0.509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0.664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8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1474C7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0.578 </w:t>
            </w:r>
          </w:p>
          <w:p w14:paraId="0BD0DCCC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0.497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0.646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5B340C" w:rsidRPr="00424EA8" w14:paraId="08012033" w14:textId="77777777" w:rsidTr="001C195F">
        <w:trPr>
          <w:trHeight w:val="18"/>
        </w:trPr>
        <w:tc>
          <w:tcPr>
            <w:tcW w:w="103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4AF918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OpenAI Embeddings</w:t>
            </w:r>
          </w:p>
        </w:tc>
        <w:tc>
          <w:tcPr>
            <w:tcW w:w="109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2CE89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0.525 </w:t>
            </w:r>
          </w:p>
          <w:p w14:paraId="6EFA15D0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, 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0.577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3C7AC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0.538 </w:t>
            </w:r>
          </w:p>
          <w:p w14:paraId="76AFD5BE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0.503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0.571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8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A7C612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0.542 </w:t>
            </w:r>
          </w:p>
          <w:p w14:paraId="096677AF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0.577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8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0A3191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0.514 </w:t>
            </w:r>
          </w:p>
          <w:p w14:paraId="111C5BF9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0.587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5B340C" w:rsidRPr="00424EA8" w14:paraId="1EF638C1" w14:textId="77777777" w:rsidTr="001C195F">
        <w:trPr>
          <w:trHeight w:val="18"/>
        </w:trPr>
        <w:tc>
          <w:tcPr>
            <w:tcW w:w="103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E3CF59B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Argument Strategy Features</w:t>
            </w:r>
          </w:p>
        </w:tc>
        <w:tc>
          <w:tcPr>
            <w:tcW w:w="109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7142C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0.592 </w:t>
            </w:r>
          </w:p>
          <w:p w14:paraId="6BBDC628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0.538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0.646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9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67D534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C6B22A7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0.524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0.631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88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1D36B0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0.505 </w:t>
            </w:r>
          </w:p>
          <w:p w14:paraId="6CC7C57E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0.443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0.58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98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F05E85" w14:textId="77777777" w:rsidR="005B340C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0.54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66F5F4" w14:textId="77777777" w:rsidR="005B340C" w:rsidRPr="00424EA8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,</w:t>
            </w:r>
            <w:r w:rsidRPr="00026FA5">
              <w:rPr>
                <w:rFonts w:ascii="Times New Roman" w:hAnsi="Times New Roman" w:cs="Times New Roman"/>
                <w:sz w:val="20"/>
                <w:szCs w:val="20"/>
              </w:rPr>
              <w:t xml:space="preserve"> 0.625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</w:tr>
      <w:tr w:rsidR="005B340C" w:rsidRPr="00CE6879" w14:paraId="0AF8C022" w14:textId="77777777" w:rsidTr="001C195F">
        <w:trPr>
          <w:trHeight w:val="348"/>
        </w:trPr>
        <w:tc>
          <w:tcPr>
            <w:tcW w:w="1039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EC16E8" w14:textId="77777777" w:rsidR="005B340C" w:rsidRPr="00B05609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5609">
              <w:rPr>
                <w:rFonts w:ascii="Times New Roman" w:hAnsi="Times New Roman" w:cs="Times New Roman"/>
                <w:sz w:val="20"/>
                <w:szCs w:val="20"/>
              </w:rPr>
              <w:t>Argument Quality (Our Work)</w:t>
            </w:r>
          </w:p>
        </w:tc>
        <w:tc>
          <w:tcPr>
            <w:tcW w:w="109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37B779" w14:textId="77777777" w:rsidR="005B340C" w:rsidRPr="00E64D7E" w:rsidRDefault="005B340C" w:rsidP="001C19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0.659 </w:t>
            </w:r>
          </w:p>
          <w:p w14:paraId="168653BC" w14:textId="77777777" w:rsidR="005B340C" w:rsidRPr="00E64D7E" w:rsidRDefault="005B340C" w:rsidP="001C195F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(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>0.607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,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0.723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)</w:t>
            </w:r>
          </w:p>
        </w:tc>
        <w:tc>
          <w:tcPr>
            <w:tcW w:w="992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A46FE4E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0.649 </w:t>
            </w:r>
          </w:p>
          <w:p w14:paraId="5096DA37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(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>0.603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,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0.69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)</w:t>
            </w:r>
          </w:p>
        </w:tc>
        <w:tc>
          <w:tcPr>
            <w:tcW w:w="887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63E4EB1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0.659 </w:t>
            </w:r>
          </w:p>
          <w:p w14:paraId="5F5DA68E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(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>0.603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,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0.702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)</w:t>
            </w:r>
          </w:p>
        </w:tc>
        <w:tc>
          <w:tcPr>
            <w:tcW w:w="986" w:type="pc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CB6FA7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0.625 </w:t>
            </w:r>
          </w:p>
          <w:p w14:paraId="658719E1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(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>0.565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,</w:t>
            </w:r>
            <w:r w:rsidRPr="00E64D7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0.681</w:t>
            </w:r>
            <w:r w:rsidRPr="00E64D7E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)</w:t>
            </w:r>
          </w:p>
        </w:tc>
      </w:tr>
      <w:tr w:rsidR="005B340C" w:rsidRPr="00CE6879" w14:paraId="1641A7CC" w14:textId="77777777" w:rsidTr="001C195F">
        <w:trPr>
          <w:trHeight w:val="348"/>
        </w:trPr>
        <w:tc>
          <w:tcPr>
            <w:tcW w:w="5000" w:type="pct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EF8157" w14:textId="77777777" w:rsidR="005B340C" w:rsidRPr="00E64D7E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Notes: </w:t>
            </w:r>
            <w:r w:rsidRPr="00CF445A">
              <w:rPr>
                <w:rFonts w:ascii="Times New Roman" w:hAnsi="Times New Roman" w:cs="Times New Roman"/>
                <w:bCs/>
                <w:sz w:val="20"/>
                <w:szCs w:val="20"/>
              </w:rPr>
              <w:t>For each algorithm–feature set combination, we report the mean and 95% confidence interval of the cross-validation accuracy estimated from 100 bootstrap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ping</w:t>
            </w:r>
            <w:r w:rsidRPr="00CF445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resampl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ing.</w:t>
            </w:r>
          </w:p>
        </w:tc>
      </w:tr>
    </w:tbl>
    <w:p w14:paraId="6FCEF1A2" w14:textId="77777777" w:rsidR="005B340C" w:rsidRPr="00B127A4" w:rsidRDefault="005B340C" w:rsidP="005B340C">
      <w:pPr>
        <w:spacing w:before="240" w:line="360" w:lineRule="auto"/>
        <w:rPr>
          <w:rFonts w:ascii="Times New Roman" w:hAnsi="Times New Roman" w:cs="Times New Roman"/>
        </w:rPr>
      </w:pPr>
      <w:r w:rsidRPr="00B127A4">
        <w:rPr>
          <w:rFonts w:ascii="Times New Roman" w:hAnsi="Times New Roman" w:cs="Times New Roman"/>
        </w:rPr>
        <w:t xml:space="preserve">We report confidence intervals for prediction accuracy in Table 3, reflecting </w:t>
      </w:r>
      <w:r>
        <w:rPr>
          <w:rFonts w:ascii="Times New Roman" w:hAnsi="Times New Roman" w:cs="Times New Roman" w:hint="eastAsia"/>
        </w:rPr>
        <w:t>fluctuation</w:t>
      </w:r>
      <w:r w:rsidRPr="00B127A4">
        <w:rPr>
          <w:rFonts w:ascii="Times New Roman" w:hAnsi="Times New Roman" w:cs="Times New Roman"/>
        </w:rPr>
        <w:t xml:space="preserve"> due to data resampling. Consistent with the point estimates, confidence intervals based on argument quality features show both higher upper and lower bounds than those of other feature sets.</w:t>
      </w:r>
      <w:r>
        <w:rPr>
          <w:rFonts w:ascii="Times New Roman" w:hAnsi="Times New Roman" w:cs="Times New Roman" w:hint="eastAsia"/>
        </w:rPr>
        <w:t xml:space="preserve"> Importantly</w:t>
      </w:r>
      <w:r w:rsidRPr="00B127A4">
        <w:rPr>
          <w:rFonts w:ascii="Times New Roman" w:hAnsi="Times New Roman" w:cs="Times New Roman"/>
        </w:rPr>
        <w:t>, paired t-tests on bootstrapped accuracy scores indicate statistically significant improvements over all baselines, underscoring the effectiveness of argument quality evaluation for debate outcome prediction</w:t>
      </w:r>
      <w:r>
        <w:rPr>
          <w:rFonts w:ascii="Times New Roman" w:hAnsi="Times New Roman" w:cs="Times New Roman" w:hint="eastAsia"/>
        </w:rPr>
        <w:t xml:space="preserve">.  </w:t>
      </w:r>
      <w:r>
        <w:rPr>
          <w:rFonts w:ascii="Times New Roman" w:hAnsi="Times New Roman" w:cs="Times New Roman"/>
          <w:b/>
          <w:bCs/>
        </w:rPr>
        <w:br w:type="page"/>
      </w:r>
    </w:p>
    <w:p w14:paraId="7118BA5A" w14:textId="77777777" w:rsidR="005B340C" w:rsidRPr="00067320" w:rsidRDefault="005B340C" w:rsidP="005B340C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F6D88"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Appendix </w:t>
      </w:r>
      <w:r w:rsidRPr="00067320">
        <w:rPr>
          <w:rFonts w:ascii="Times New Roman" w:hAnsi="Times New Roman" w:cs="Times New Roman"/>
          <w:b/>
          <w:bCs/>
          <w:sz w:val="24"/>
          <w:szCs w:val="24"/>
        </w:rPr>
        <w:t xml:space="preserve">C. Results of the Full Ablation Study 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30"/>
        <w:gridCol w:w="1440"/>
        <w:gridCol w:w="1350"/>
        <w:gridCol w:w="1440"/>
        <w:gridCol w:w="1350"/>
        <w:gridCol w:w="1450"/>
      </w:tblGrid>
      <w:tr w:rsidR="005B340C" w:rsidRPr="00554F9A" w14:paraId="32FB8172" w14:textId="77777777" w:rsidTr="001C195F">
        <w:trPr>
          <w:trHeight w:val="60"/>
        </w:trPr>
        <w:tc>
          <w:tcPr>
            <w:tcW w:w="936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1FB1D" w14:textId="77777777" w:rsidR="005B340C" w:rsidRPr="00067320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673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Table A3. Results of the Full Ablation Study</w:t>
            </w:r>
          </w:p>
        </w:tc>
      </w:tr>
      <w:tr w:rsidR="005B340C" w:rsidRPr="00FA0045" w14:paraId="3071BCBD" w14:textId="77777777" w:rsidTr="001C195F">
        <w:trPr>
          <w:trHeight w:val="235"/>
        </w:trPr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1BA31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70EA74" w14:textId="77777777" w:rsidR="005B340C" w:rsidRPr="00FA0045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sz w:val="20"/>
                <w:szCs w:val="20"/>
              </w:rPr>
              <w:t>RF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DF3955" w14:textId="77777777" w:rsidR="005B340C" w:rsidRPr="00FA0045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sz w:val="20"/>
                <w:szCs w:val="20"/>
              </w:rPr>
              <w:t>SVC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75FDF" w14:textId="77777777" w:rsidR="005B340C" w:rsidRPr="00FA0045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sz w:val="20"/>
                <w:szCs w:val="20"/>
              </w:rPr>
              <w:t>LR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15E0BA" w14:textId="77777777" w:rsidR="005B340C" w:rsidRPr="00FA0045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sz w:val="20"/>
                <w:szCs w:val="20"/>
              </w:rPr>
              <w:t>XGB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B1CEE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sz w:val="20"/>
                <w:szCs w:val="20"/>
              </w:rPr>
              <w:t>Average</w:t>
            </w:r>
          </w:p>
        </w:tc>
      </w:tr>
      <w:tr w:rsidR="005B340C" w:rsidRPr="00FA0045" w14:paraId="105587F6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2762E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Support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5C7C2E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0.412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14D6C4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0.605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7FDFD1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0.603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BA1AC3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0.426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6969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0.511</w:t>
            </w:r>
          </w:p>
        </w:tc>
      </w:tr>
      <w:tr w:rsidR="005B340C" w:rsidRPr="00FA0045" w14:paraId="52F94772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4D9F4A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Response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E4B932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0.662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A16870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0.504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307025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0.565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B2503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0.662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7E1AB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0.598</w:t>
            </w:r>
          </w:p>
        </w:tc>
      </w:tr>
      <w:tr w:rsidR="005B340C" w:rsidRPr="00FA0045" w14:paraId="6DE4F4D2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6B0AA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Language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431D8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0.606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98D4E8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0.663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C8CEA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0.666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26D588" w14:textId="77777777" w:rsidR="005B340C" w:rsidRPr="003A2526" w:rsidRDefault="005B340C" w:rsidP="001C195F">
            <w:pPr>
              <w:widowControl w:val="0"/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0.613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DAAB27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0.637</w:t>
            </w:r>
          </w:p>
        </w:tc>
      </w:tr>
      <w:tr w:rsidR="005B340C" w:rsidRPr="00FA0045" w14:paraId="7B127237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10D96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Response + Language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2D92E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654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2A190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674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CE1DD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676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198E0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635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52AF0E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/>
                <w:sz w:val="20"/>
                <w:szCs w:val="20"/>
              </w:rPr>
              <w:t>660</w:t>
            </w:r>
          </w:p>
        </w:tc>
      </w:tr>
      <w:tr w:rsidR="005B340C" w:rsidRPr="00FA0045" w14:paraId="4094E8FA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4A8C9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Support + Language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BBE3C9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0.6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15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1E7BC5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0.635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7F2809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0.6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59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F9139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0.5</w:t>
            </w: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72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E31B23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620</w:t>
            </w:r>
          </w:p>
        </w:tc>
      </w:tr>
      <w:tr w:rsidR="005B340C" w:rsidRPr="00FA0045" w14:paraId="30C5D398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AA1CD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Response + Support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E0D4A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561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0A53A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569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F77A3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588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D92B0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526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1480D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561</w:t>
            </w:r>
          </w:p>
        </w:tc>
      </w:tr>
      <w:tr w:rsidR="005B340C" w:rsidRPr="00FA0045" w14:paraId="45B4770E" w14:textId="77777777" w:rsidTr="001C195F">
        <w:tc>
          <w:tcPr>
            <w:tcW w:w="23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342E4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sz w:val="20"/>
                <w:szCs w:val="20"/>
              </w:rPr>
              <w:t>Full set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39E20C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3A2526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659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8A1A933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0.649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E4BDE8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0.659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561F7C" w14:textId="77777777" w:rsidR="005B340C" w:rsidRPr="003A2526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526">
              <w:rPr>
                <w:rFonts w:ascii="Times New Roman" w:hAnsi="Times New Roman" w:cs="Times New Roman"/>
                <w:bCs/>
                <w:sz w:val="20"/>
                <w:szCs w:val="20"/>
              </w:rPr>
              <w:t>0.625</w:t>
            </w:r>
          </w:p>
        </w:tc>
        <w:tc>
          <w:tcPr>
            <w:tcW w:w="14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2A65A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0.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648</w:t>
            </w:r>
          </w:p>
        </w:tc>
      </w:tr>
      <w:tr w:rsidR="005B340C" w:rsidRPr="00FA0045" w14:paraId="6464CDCE" w14:textId="77777777" w:rsidTr="001C195F">
        <w:tc>
          <w:tcPr>
            <w:tcW w:w="9360" w:type="dxa"/>
            <w:gridSpan w:val="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81BF1" w14:textId="77777777" w:rsidR="005B340C" w:rsidRPr="00FA0045" w:rsidRDefault="005B340C" w:rsidP="001C195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Notes: Same as Table 3, scores are aggregated means of cross-validation </w:t>
            </w:r>
            <w:r w:rsidRPr="00FA0045">
              <w:rPr>
                <w:rFonts w:ascii="Times New Roman" w:hAnsi="Times New Roman" w:cs="Times New Roman"/>
                <w:bCs/>
                <w:sz w:val="20"/>
                <w:szCs w:val="20"/>
              </w:rPr>
              <w:t>accuracy</w:t>
            </w:r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 over 100 bootstrap </w:t>
            </w:r>
            <w:proofErr w:type="spellStart"/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resampling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</w:t>
            </w:r>
            <w:proofErr w:type="spellEnd"/>
            <w:r w:rsidRPr="00FA0045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.</w:t>
            </w:r>
          </w:p>
        </w:tc>
      </w:tr>
    </w:tbl>
    <w:p w14:paraId="0A384F33" w14:textId="77777777" w:rsidR="005B340C" w:rsidRDefault="005B340C" w:rsidP="005B340C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D431891" w14:textId="77777777" w:rsidR="005B340C" w:rsidRDefault="005B340C" w:rsidP="005B340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2123FA2" w14:textId="77777777" w:rsidR="005B340C" w:rsidRPr="00067320" w:rsidRDefault="005B340C" w:rsidP="005B340C">
      <w:pPr>
        <w:spacing w:after="24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67320">
        <w:rPr>
          <w:rFonts w:ascii="Times New Roman" w:hAnsi="Times New Roman" w:cs="Times New Roman"/>
          <w:b/>
          <w:bCs/>
          <w:sz w:val="24"/>
          <w:szCs w:val="24"/>
        </w:rPr>
        <w:lastRenderedPageBreak/>
        <w:t>Appendix D. Screenshot of the Customized Annotation Software</w:t>
      </w:r>
    </w:p>
    <w:tbl>
      <w:tblPr>
        <w:tblStyle w:val="TableGrid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40"/>
      </w:tblGrid>
      <w:tr w:rsidR="005B340C" w14:paraId="0BDCEF54" w14:textId="77777777" w:rsidTr="001C195F">
        <w:tc>
          <w:tcPr>
            <w:tcW w:w="9350" w:type="dxa"/>
          </w:tcPr>
          <w:p w14:paraId="111FCBDF" w14:textId="77777777" w:rsidR="005B340C" w:rsidRDefault="005B340C" w:rsidP="001C195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864EB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 wp14:anchorId="131362B0" wp14:editId="69BDA2B2">
                  <wp:extent cx="5486400" cy="3768090"/>
                  <wp:effectExtent l="0" t="0" r="0" b="3810"/>
                  <wp:docPr id="686473507" name="Picture 1" descr="A screenshot of a compute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473507" name="Picture 1" descr="A screenshot of a computer&#10;&#10;AI-generated content may be incorrect.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768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340C" w14:paraId="6FEFA74A" w14:textId="77777777" w:rsidTr="001C195F">
        <w:tc>
          <w:tcPr>
            <w:tcW w:w="9350" w:type="dxa"/>
          </w:tcPr>
          <w:p w14:paraId="35D60E4E" w14:textId="77777777" w:rsidR="005B340C" w:rsidRPr="00067320" w:rsidRDefault="005B340C" w:rsidP="001C195F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6732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Figure A1. Screenshot of the Customized Annotation Software</w:t>
            </w:r>
          </w:p>
        </w:tc>
      </w:tr>
    </w:tbl>
    <w:p w14:paraId="57F1C3BB" w14:textId="77777777" w:rsidR="005B340C" w:rsidRPr="00DA0C4D" w:rsidRDefault="005B340C" w:rsidP="005B340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0EED4E4" w14:textId="77777777" w:rsidR="005B340C" w:rsidRDefault="005B340C" w:rsidP="005B34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56A279E" w14:textId="77777777" w:rsidR="005B340C" w:rsidRPr="00F57E38" w:rsidRDefault="005B340C" w:rsidP="005B340C">
      <w:pPr>
        <w:spacing w:line="360" w:lineRule="auto"/>
        <w:ind w:left="360" w:hanging="360"/>
        <w:rPr>
          <w:rFonts w:ascii="Times New Roman" w:hAnsi="Times New Roman" w:cs="Times New Roman"/>
          <w:b/>
          <w:bCs/>
        </w:rPr>
      </w:pPr>
      <w:r w:rsidRPr="00F57E38">
        <w:rPr>
          <w:rFonts w:ascii="Times New Roman" w:hAnsi="Times New Roman" w:cs="Times New Roman"/>
          <w:b/>
          <w:bCs/>
        </w:rPr>
        <w:lastRenderedPageBreak/>
        <w:t>References</w:t>
      </w:r>
    </w:p>
    <w:p w14:paraId="247E8462" w14:textId="77777777" w:rsidR="005B340C" w:rsidRPr="00B05609" w:rsidRDefault="005B340C" w:rsidP="005B340C">
      <w:pPr>
        <w:spacing w:line="360" w:lineRule="auto"/>
        <w:ind w:left="360" w:hanging="360"/>
        <w:rPr>
          <w:rFonts w:ascii="Times New Roman" w:hAnsi="Times New Roman" w:cs="Times New Roman"/>
        </w:rPr>
      </w:pPr>
      <w:r w:rsidRPr="00B05609">
        <w:rPr>
          <w:rFonts w:ascii="Times New Roman" w:hAnsi="Times New Roman" w:cs="Times New Roman"/>
        </w:rPr>
        <w:t xml:space="preserve">Felton, M. K. (2004). The development of discourse strategies in adolescent argumentation. </w:t>
      </w:r>
      <w:r w:rsidRPr="00B05609">
        <w:rPr>
          <w:rFonts w:ascii="Times New Roman" w:hAnsi="Times New Roman" w:cs="Times New Roman"/>
          <w:i/>
        </w:rPr>
        <w:t>Cognitive Development</w:t>
      </w:r>
      <w:r w:rsidRPr="00B05609">
        <w:rPr>
          <w:rFonts w:ascii="Times New Roman" w:hAnsi="Times New Roman" w:cs="Times New Roman"/>
        </w:rPr>
        <w:t xml:space="preserve">, </w:t>
      </w:r>
      <w:r w:rsidRPr="00B05609">
        <w:rPr>
          <w:rFonts w:ascii="Times New Roman" w:hAnsi="Times New Roman" w:cs="Times New Roman"/>
          <w:i/>
        </w:rPr>
        <w:t>19</w:t>
      </w:r>
      <w:r w:rsidRPr="00B05609">
        <w:rPr>
          <w:rFonts w:ascii="Times New Roman" w:hAnsi="Times New Roman" w:cs="Times New Roman"/>
        </w:rPr>
        <w:t>(1), 35–52.</w:t>
      </w:r>
    </w:p>
    <w:p w14:paraId="24A96EFB" w14:textId="77777777" w:rsidR="005B340C" w:rsidRPr="00B05609" w:rsidRDefault="005B340C" w:rsidP="005B340C">
      <w:pPr>
        <w:spacing w:line="360" w:lineRule="auto"/>
        <w:ind w:left="360" w:hanging="360"/>
        <w:rPr>
          <w:rFonts w:ascii="Times New Roman" w:hAnsi="Times New Roman" w:cs="Times New Roman"/>
        </w:rPr>
      </w:pPr>
    </w:p>
    <w:p w14:paraId="6471D5F0" w14:textId="77777777" w:rsidR="004148B5" w:rsidRDefault="004148B5"/>
    <w:sectPr w:rsidR="004148B5" w:rsidSect="005B340C">
      <w:headerReference w:type="default" r:id="rId5"/>
      <w:footerReference w:type="default" r:id="rId6"/>
      <w:pgSz w:w="12240" w:h="15840"/>
      <w:pgMar w:top="1440" w:right="1440" w:bottom="1440" w:left="1440" w:header="720" w:footer="720" w:gutter="0"/>
      <w:pgNumType w:start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26173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5C3A78" w14:textId="77777777" w:rsidR="005B340C" w:rsidRDefault="005B340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BF884" w14:textId="77777777" w:rsidR="005B340C" w:rsidRDefault="005B340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7FAD" w14:textId="77777777" w:rsidR="005B340C" w:rsidRPr="00B66A68" w:rsidRDefault="005B340C" w:rsidP="00925984">
    <w:pPr>
      <w:pStyle w:val="Header"/>
      <w:rPr>
        <w:rFonts w:ascii="Times New Roman" w:hAnsi="Times New Roman" w:cs="Times New Roman"/>
        <w:lang w:val="en-US"/>
      </w:rPr>
    </w:pPr>
    <w:r w:rsidRPr="00B66A68">
      <w:rPr>
        <w:rFonts w:ascii="Times New Roman" w:hAnsi="Times New Roman" w:cs="Times New Roman"/>
        <w:lang w:val="en-US"/>
      </w:rPr>
      <w:t>LLM-Empowered Debate Outcome Prediction</w:t>
    </w:r>
  </w:p>
  <w:p w14:paraId="3F89D0BC" w14:textId="77777777" w:rsidR="005B340C" w:rsidRDefault="005B34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E03"/>
    <w:rsid w:val="00280E03"/>
    <w:rsid w:val="004148B5"/>
    <w:rsid w:val="0043734C"/>
    <w:rsid w:val="00521E82"/>
    <w:rsid w:val="00542E55"/>
    <w:rsid w:val="0055041F"/>
    <w:rsid w:val="005B340C"/>
    <w:rsid w:val="0084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ABD04C-2ADF-46E1-973A-06BB6F1DB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340C"/>
    <w:pPr>
      <w:spacing w:after="0" w:line="276" w:lineRule="auto"/>
    </w:pPr>
    <w:rPr>
      <w:rFonts w:ascii="Arial" w:eastAsiaTheme="minorEastAsia" w:hAnsi="Arial" w:cs="Arial"/>
      <w:kern w:val="0"/>
      <w:sz w:val="22"/>
      <w:szCs w:val="22"/>
      <w:lang w:val="en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0E0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0E0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0E0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0E0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0E0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0E0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0E0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0E0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0E0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0E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0E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0E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0E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0E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0E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0E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0E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0E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0E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80E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0E0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80E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0E0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80E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0E03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80E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0E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0E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0E03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340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40C"/>
    <w:rPr>
      <w:rFonts w:ascii="Arial" w:eastAsiaTheme="minorEastAsia" w:hAnsi="Arial" w:cs="Arial"/>
      <w:kern w:val="0"/>
      <w:sz w:val="22"/>
      <w:szCs w:val="22"/>
      <w:lang w:val="en"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B340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40C"/>
    <w:rPr>
      <w:rFonts w:ascii="Arial" w:eastAsiaTheme="minorEastAsia" w:hAnsi="Arial" w:cs="Arial"/>
      <w:kern w:val="0"/>
      <w:sz w:val="22"/>
      <w:szCs w:val="22"/>
      <w:lang w:val="en" w:eastAsia="zh-CN"/>
      <w14:ligatures w14:val="none"/>
    </w:rPr>
  </w:style>
  <w:style w:type="table" w:styleId="TableGrid">
    <w:name w:val="Table Grid"/>
    <w:basedOn w:val="TableNormal"/>
    <w:uiPriority w:val="39"/>
    <w:rsid w:val="005B340C"/>
    <w:pPr>
      <w:spacing w:after="0" w:line="240" w:lineRule="auto"/>
    </w:pPr>
    <w:rPr>
      <w:rFonts w:ascii="Arial" w:eastAsiaTheme="minorEastAsia" w:hAnsi="Arial" w:cs="Arial"/>
      <w:kern w:val="0"/>
      <w:sz w:val="22"/>
      <w:szCs w:val="22"/>
      <w:lang w:val="en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807</Words>
  <Characters>4861</Characters>
  <Application>Microsoft Office Word</Application>
  <DocSecurity>0</DocSecurity>
  <Lines>86</Lines>
  <Paragraphs>37</Paragraphs>
  <ScaleCrop>false</ScaleCrop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Xunyu Chen</dc:creator>
  <cp:keywords/>
  <dc:description/>
  <cp:lastModifiedBy>Xunyu Chen</cp:lastModifiedBy>
  <cp:revision>2</cp:revision>
  <dcterms:created xsi:type="dcterms:W3CDTF">2025-12-12T22:26:00Z</dcterms:created>
  <dcterms:modified xsi:type="dcterms:W3CDTF">2025-12-12T22:26:00Z</dcterms:modified>
</cp:coreProperties>
</file>