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6507E" w14:textId="77777777" w:rsidR="00EB43A0" w:rsidRDefault="00EB43A0" w:rsidP="00EB43A0">
      <w:pPr>
        <w:rPr>
          <w:rFonts w:ascii="Garamond" w:hAnsi="Garamond"/>
          <w:b/>
          <w:bCs/>
          <w:sz w:val="24"/>
          <w:szCs w:val="24"/>
          <w:lang w:val="en-GB"/>
        </w:rPr>
      </w:pPr>
      <w:r w:rsidRPr="00F442E5">
        <w:rPr>
          <w:rFonts w:ascii="Garamond" w:hAnsi="Garamond"/>
          <w:b/>
          <w:bCs/>
          <w:sz w:val="24"/>
          <w:szCs w:val="24"/>
          <w:lang w:val="en-GB"/>
        </w:rPr>
        <w:t xml:space="preserve">ONLINE </w:t>
      </w:r>
      <w:r>
        <w:rPr>
          <w:rFonts w:ascii="Garamond" w:hAnsi="Garamond"/>
          <w:b/>
          <w:bCs/>
          <w:sz w:val="24"/>
          <w:szCs w:val="24"/>
          <w:lang w:val="en-GB"/>
        </w:rPr>
        <w:t>RESOURCE</w:t>
      </w:r>
    </w:p>
    <w:p w14:paraId="4BBAE516" w14:textId="77777777" w:rsidR="00EB43A0" w:rsidRPr="00F442E5" w:rsidRDefault="00EB43A0" w:rsidP="00EB43A0">
      <w:pPr>
        <w:pStyle w:val="Heading3"/>
        <w:rPr>
          <w:lang w:val="en-GB"/>
        </w:rPr>
      </w:pPr>
      <w:r>
        <w:rPr>
          <w:lang w:val="en-GB"/>
        </w:rPr>
        <w:t xml:space="preserve">Online Resource A: </w:t>
      </w:r>
      <w:r w:rsidRPr="00F442E5">
        <w:rPr>
          <w:lang w:val="en-GB"/>
        </w:rPr>
        <w:t>Detailed data description</w:t>
      </w:r>
    </w:p>
    <w:p w14:paraId="5BF36BCF" w14:textId="77777777" w:rsidR="00EB43A0" w:rsidRPr="00F63DF3" w:rsidRDefault="00EB43A0" w:rsidP="00EB43A0">
      <w:pPr>
        <w:pStyle w:val="Heading3"/>
        <w:rPr>
          <w:b w:val="0"/>
          <w:bCs/>
          <w:i/>
          <w:iCs/>
          <w:sz w:val="24"/>
          <w:lang w:val="en-GB"/>
        </w:rPr>
      </w:pPr>
      <w:r w:rsidRPr="00F63DF3">
        <w:rPr>
          <w:b w:val="0"/>
          <w:bCs/>
          <w:i/>
          <w:iCs/>
          <w:sz w:val="24"/>
          <w:lang w:val="en-GB"/>
        </w:rPr>
        <w:t>Dependent variable - participation in tertiary education</w:t>
      </w:r>
    </w:p>
    <w:p w14:paraId="247BD6D7" w14:textId="77777777" w:rsidR="00EB43A0" w:rsidRDefault="00EB43A0" w:rsidP="00EB43A0">
      <w:pPr>
        <w:spacing w:after="0"/>
        <w:ind w:firstLine="720"/>
        <w:rPr>
          <w:lang w:val="en-GB"/>
        </w:rPr>
      </w:pPr>
      <w:r>
        <w:rPr>
          <w:i/>
          <w:iCs/>
          <w:lang w:val="en-GB"/>
        </w:rPr>
        <w:t xml:space="preserve">Data sources. </w:t>
      </w:r>
      <w:r>
        <w:rPr>
          <w:lang w:val="en-GB"/>
        </w:rPr>
        <w:t>T</w:t>
      </w:r>
      <w:r w:rsidRPr="000A0B87">
        <w:rPr>
          <w:lang w:val="en-GB"/>
        </w:rPr>
        <w:t>ertiary enrolment ratios (TER) includ</w:t>
      </w:r>
      <w:r>
        <w:rPr>
          <w:lang w:val="en-GB"/>
        </w:rPr>
        <w:t>e</w:t>
      </w:r>
      <w:r w:rsidRPr="000A0B87">
        <w:rPr>
          <w:lang w:val="en-GB"/>
        </w:rPr>
        <w:t xml:space="preserve"> ISCED levels 5 (short-cycle), 6 (bachelor or equivalent), and 7 (master or equivalent)</w:t>
      </w:r>
      <w:r>
        <w:rPr>
          <w:lang w:val="en-GB"/>
        </w:rPr>
        <w:t>. Separate data for each ISCED level are provided by OECD but do not cover the geographic and time scope of the available SFP data to the extent that would enable panel regression analysis. Including ISCED 5 is important, because t</w:t>
      </w:r>
      <w:r w:rsidRPr="001C2E0F">
        <w:rPr>
          <w:lang w:val="en-GB"/>
        </w:rPr>
        <w:t>he diversification of provision</w:t>
      </w:r>
      <w:r w:rsidRPr="0054487D">
        <w:rPr>
          <w:lang w:val="en-GB"/>
        </w:rPr>
        <w:t xml:space="preserve"> </w:t>
      </w:r>
      <w:r>
        <w:rPr>
          <w:lang w:val="en-GB"/>
        </w:rPr>
        <w:t xml:space="preserve">has been </w:t>
      </w:r>
      <w:r w:rsidRPr="001C2E0F">
        <w:rPr>
          <w:lang w:val="en-GB"/>
        </w:rPr>
        <w:t>an important feature of expansion in many countries</w:t>
      </w:r>
      <w:r>
        <w:rPr>
          <w:lang w:val="en-GB"/>
        </w:rPr>
        <w:t xml:space="preserve"> and often encompassed</w:t>
      </w:r>
      <w:r w:rsidRPr="001C2E0F">
        <w:rPr>
          <w:lang w:val="en-GB"/>
        </w:rPr>
        <w:t xml:space="preserve"> a rising supply of short-cycle and professional qualifications</w:t>
      </w:r>
      <w:r>
        <w:rPr>
          <w:lang w:val="en-GB"/>
        </w:rPr>
        <w:t xml:space="preserve"> </w:t>
      </w:r>
      <w:r w:rsidRPr="00D5649D">
        <w:rPr>
          <w:rFonts w:cs="Times New Roman"/>
          <w:szCs w:val="24"/>
          <w:lang w:val="en-GB"/>
        </w:rPr>
        <w:t>(</w:t>
      </w:r>
      <w:proofErr w:type="spellStart"/>
      <w:r w:rsidRPr="00D5649D">
        <w:rPr>
          <w:rFonts w:cs="Times New Roman"/>
          <w:szCs w:val="24"/>
          <w:lang w:val="en-GB"/>
        </w:rPr>
        <w:t>Teichler</w:t>
      </w:r>
      <w:proofErr w:type="spellEnd"/>
      <w:r w:rsidRPr="00D5649D">
        <w:rPr>
          <w:rFonts w:cs="Times New Roman"/>
          <w:szCs w:val="24"/>
          <w:lang w:val="en-GB"/>
        </w:rPr>
        <w:t xml:space="preserve"> &amp; </w:t>
      </w:r>
      <w:proofErr w:type="spellStart"/>
      <w:r w:rsidRPr="00D5649D">
        <w:rPr>
          <w:rFonts w:cs="Times New Roman"/>
          <w:szCs w:val="24"/>
          <w:lang w:val="en-GB"/>
        </w:rPr>
        <w:t>Bürger</w:t>
      </w:r>
      <w:proofErr w:type="spellEnd"/>
      <w:r w:rsidRPr="00D5649D">
        <w:rPr>
          <w:rFonts w:cs="Times New Roman"/>
          <w:szCs w:val="24"/>
          <w:lang w:val="en-GB"/>
        </w:rPr>
        <w:t>, 2008)</w:t>
      </w:r>
      <w:r>
        <w:rPr>
          <w:lang w:val="en-GB"/>
        </w:rPr>
        <w:t>.</w:t>
      </w:r>
      <w:r w:rsidRPr="001C2E0F">
        <w:rPr>
          <w:lang w:val="en-GB"/>
        </w:rPr>
        <w:t xml:space="preserve"> </w:t>
      </w:r>
      <w:r>
        <w:rPr>
          <w:lang w:val="en-GB"/>
        </w:rPr>
        <w:t xml:space="preserve">Furthermore, </w:t>
      </w:r>
      <w:r w:rsidRPr="00F964A2">
        <w:rPr>
          <w:lang w:val="en-GB"/>
        </w:rPr>
        <w:t>institutional change</w:t>
      </w:r>
      <w:r>
        <w:rPr>
          <w:lang w:val="en-GB"/>
        </w:rPr>
        <w:t xml:space="preserve"> in higher education systems, such as upgrading vocational schools or colleges providing education at ISCED-5 level (or tertiary-type B, formerly) to university status (and thus providers of ISCED-6)</w:t>
      </w:r>
      <w:r w:rsidRPr="00F964A2">
        <w:rPr>
          <w:lang w:val="en-GB"/>
        </w:rPr>
        <w:t xml:space="preserve"> can create </w:t>
      </w:r>
      <w:r>
        <w:rPr>
          <w:lang w:val="en-GB"/>
        </w:rPr>
        <w:t>sudden</w:t>
      </w:r>
      <w:r w:rsidRPr="00F964A2">
        <w:rPr>
          <w:lang w:val="en-GB"/>
        </w:rPr>
        <w:t xml:space="preserve"> jumps or variations in enrolment</w:t>
      </w:r>
      <w:r>
        <w:rPr>
          <w:lang w:val="en-GB"/>
        </w:rPr>
        <w:t xml:space="preserve"> ratios. Accounting for ISCED 5 to 7 addresses this potential omitted variable bias. However, what remains overlooked are institutional changes increasing the size of tertiary education through upgrading vocational training outside tertiary education to tertiary-type B, as it was the case in some countries, such as the UK and Spain, in the 1990s (</w:t>
      </w:r>
      <w:r>
        <w:rPr>
          <w:i/>
          <w:iCs/>
          <w:lang w:val="en-GB"/>
        </w:rPr>
        <w:t>ibid.</w:t>
      </w:r>
      <w:r>
        <w:rPr>
          <w:lang w:val="en-GB"/>
        </w:rPr>
        <w:t xml:space="preserve">, p. 158). We assume that such </w:t>
      </w:r>
      <w:r w:rsidRPr="002E3557">
        <w:rPr>
          <w:lang w:val="en-GB"/>
        </w:rPr>
        <w:t>big reforms of secondary</w:t>
      </w:r>
      <w:r>
        <w:rPr>
          <w:lang w:val="en-GB"/>
        </w:rPr>
        <w:t xml:space="preserve"> and tertiary</w:t>
      </w:r>
      <w:r w:rsidRPr="002E3557">
        <w:rPr>
          <w:lang w:val="en-GB"/>
        </w:rPr>
        <w:t xml:space="preserve"> education </w:t>
      </w:r>
      <w:r>
        <w:rPr>
          <w:lang w:val="en-GB"/>
        </w:rPr>
        <w:t>took generally place</w:t>
      </w:r>
      <w:r w:rsidRPr="004B2B7D">
        <w:rPr>
          <w:lang w:val="en-GB"/>
        </w:rPr>
        <w:t xml:space="preserve"> </w:t>
      </w:r>
      <w:r>
        <w:rPr>
          <w:lang w:val="en-GB"/>
        </w:rPr>
        <w:t xml:space="preserve">in the OECD countries before </w:t>
      </w:r>
      <w:r w:rsidRPr="004B2B7D">
        <w:rPr>
          <w:lang w:val="en-GB"/>
        </w:rPr>
        <w:t>th</w:t>
      </w:r>
      <w:r>
        <w:rPr>
          <w:lang w:val="en-GB"/>
        </w:rPr>
        <w:t>e p</w:t>
      </w:r>
      <w:r w:rsidRPr="004B2B7D">
        <w:rPr>
          <w:lang w:val="en-GB"/>
        </w:rPr>
        <w:t>eriod</w:t>
      </w:r>
      <w:r>
        <w:rPr>
          <w:lang w:val="en-GB"/>
        </w:rPr>
        <w:t xml:space="preserve"> we analyse</w:t>
      </w:r>
      <w:r w:rsidRPr="004B2B7D">
        <w:rPr>
          <w:lang w:val="en-GB"/>
        </w:rPr>
        <w:t>.</w:t>
      </w:r>
      <w:r>
        <w:rPr>
          <w:lang w:val="en-GB"/>
        </w:rPr>
        <w:t xml:space="preserve"> Nevertheless, we verified that no outliers in terms of change in TER were affected by </w:t>
      </w:r>
      <w:r w:rsidRPr="004B2B7D">
        <w:rPr>
          <w:lang w:val="en-GB"/>
        </w:rPr>
        <w:t>such reforms</w:t>
      </w:r>
      <w:r>
        <w:rPr>
          <w:lang w:val="en-GB"/>
        </w:rPr>
        <w:t xml:space="preserve"> (the analysis available on request)</w:t>
      </w:r>
      <w:r w:rsidRPr="004B2B7D">
        <w:rPr>
          <w:lang w:val="en-GB"/>
        </w:rPr>
        <w:t>.</w:t>
      </w:r>
      <w:r>
        <w:rPr>
          <w:lang w:val="en-GB"/>
        </w:rPr>
        <w:t xml:space="preserve"> Finally, a</w:t>
      </w:r>
      <w:r w:rsidRPr="001C2E0F">
        <w:rPr>
          <w:lang w:val="en-GB"/>
        </w:rPr>
        <w:t>ccounting for all levels rather than just higher education (ISCED</w:t>
      </w:r>
      <w:r>
        <w:rPr>
          <w:lang w:val="en-GB"/>
        </w:rPr>
        <w:t xml:space="preserve"> 6</w:t>
      </w:r>
      <w:r w:rsidRPr="001C2E0F">
        <w:rPr>
          <w:lang w:val="en-GB"/>
        </w:rPr>
        <w:t>-</w:t>
      </w:r>
      <w:r>
        <w:rPr>
          <w:lang w:val="en-GB"/>
        </w:rPr>
        <w:t>7</w:t>
      </w:r>
      <w:r w:rsidRPr="001C2E0F">
        <w:rPr>
          <w:lang w:val="en-GB"/>
        </w:rPr>
        <w:t xml:space="preserve">) reduces </w:t>
      </w:r>
      <w:r>
        <w:rPr>
          <w:lang w:val="en-GB"/>
        </w:rPr>
        <w:t>the bias stemming from the</w:t>
      </w:r>
      <w:r w:rsidRPr="001C2E0F">
        <w:rPr>
          <w:lang w:val="en-GB"/>
        </w:rPr>
        <w:t xml:space="preserve"> </w:t>
      </w:r>
      <w:r>
        <w:rPr>
          <w:lang w:val="en-GB"/>
        </w:rPr>
        <w:t xml:space="preserve">current </w:t>
      </w:r>
      <w:r w:rsidRPr="001C2E0F">
        <w:rPr>
          <w:lang w:val="en-GB"/>
        </w:rPr>
        <w:t xml:space="preserve">variation </w:t>
      </w:r>
      <w:r>
        <w:rPr>
          <w:lang w:val="en-GB"/>
        </w:rPr>
        <w:t>across</w:t>
      </w:r>
      <w:r w:rsidRPr="001C2E0F">
        <w:rPr>
          <w:lang w:val="en-GB"/>
        </w:rPr>
        <w:t xml:space="preserve"> countries in the definition of higher education</w:t>
      </w:r>
      <w:r>
        <w:rPr>
          <w:lang w:val="en-GB"/>
        </w:rPr>
        <w:t xml:space="preserve">, especially in terms of its distinction </w:t>
      </w:r>
      <w:r w:rsidRPr="001C2E0F">
        <w:rPr>
          <w:lang w:val="en-GB"/>
        </w:rPr>
        <w:t xml:space="preserve">from other forms of post-secondary schooling. </w:t>
      </w:r>
    </w:p>
    <w:p w14:paraId="3DEDCC80" w14:textId="77777777" w:rsidR="00EB43A0" w:rsidRDefault="00EB43A0" w:rsidP="00EB43A0">
      <w:pPr>
        <w:spacing w:after="0"/>
        <w:ind w:firstLine="720"/>
        <w:rPr>
          <w:lang w:val="en-GB"/>
        </w:rPr>
      </w:pPr>
      <w:r>
        <w:rPr>
          <w:lang w:val="en-GB"/>
        </w:rPr>
        <w:t>C</w:t>
      </w:r>
      <w:r w:rsidRPr="001C2E0F">
        <w:rPr>
          <w:lang w:val="en-GB"/>
        </w:rPr>
        <w:t>omparability problems</w:t>
      </w:r>
      <w:r>
        <w:rPr>
          <w:lang w:val="en-GB"/>
        </w:rPr>
        <w:t xml:space="preserve"> remain. For instance, in some </w:t>
      </w:r>
      <w:r w:rsidRPr="001C2E0F">
        <w:rPr>
          <w:lang w:val="en-GB"/>
        </w:rPr>
        <w:t>countries</w:t>
      </w:r>
      <w:r>
        <w:rPr>
          <w:lang w:val="en-GB"/>
        </w:rPr>
        <w:t>, especially those</w:t>
      </w:r>
      <w:r w:rsidRPr="001C2E0F">
        <w:rPr>
          <w:lang w:val="en-GB"/>
        </w:rPr>
        <w:t xml:space="preserve"> with developed apprenticeship systems</w:t>
      </w:r>
      <w:r>
        <w:rPr>
          <w:lang w:val="en-GB"/>
        </w:rPr>
        <w:t xml:space="preserve">, </w:t>
      </w:r>
      <w:r w:rsidRPr="001C2E0F">
        <w:rPr>
          <w:lang w:val="en-GB"/>
        </w:rPr>
        <w:t>e.g., Germany</w:t>
      </w:r>
      <w:r>
        <w:rPr>
          <w:lang w:val="en-GB"/>
        </w:rPr>
        <w:t>),</w:t>
      </w:r>
      <w:r w:rsidRPr="001C2E0F">
        <w:rPr>
          <w:lang w:val="en-GB"/>
        </w:rPr>
        <w:t xml:space="preserve"> ISCED</w:t>
      </w:r>
      <w:r>
        <w:rPr>
          <w:lang w:val="en-GB"/>
        </w:rPr>
        <w:t xml:space="preserve"> </w:t>
      </w:r>
      <w:r w:rsidRPr="001C2E0F">
        <w:rPr>
          <w:lang w:val="en-GB"/>
        </w:rPr>
        <w:t>4 fulfils a function similar to ISCED</w:t>
      </w:r>
      <w:r>
        <w:rPr>
          <w:lang w:val="en-GB"/>
        </w:rPr>
        <w:t xml:space="preserve"> </w:t>
      </w:r>
      <w:r w:rsidRPr="001C2E0F">
        <w:rPr>
          <w:lang w:val="en-GB"/>
        </w:rPr>
        <w:t>5 in others.</w:t>
      </w:r>
      <w:r>
        <w:rPr>
          <w:lang w:val="en-GB"/>
        </w:rPr>
        <w:t xml:space="preserve"> Other problems are related to the variation in</w:t>
      </w:r>
      <w:r w:rsidRPr="00341F46">
        <w:rPr>
          <w:lang w:val="en-GB"/>
        </w:rPr>
        <w:t xml:space="preserve"> the incidence</w:t>
      </w:r>
      <w:r>
        <w:rPr>
          <w:lang w:val="en-GB"/>
        </w:rPr>
        <w:t xml:space="preserve"> </w:t>
      </w:r>
      <w:r w:rsidRPr="00341F46">
        <w:rPr>
          <w:lang w:val="en-GB"/>
        </w:rPr>
        <w:t>and classification of part-time students</w:t>
      </w:r>
      <w:r>
        <w:rPr>
          <w:lang w:val="en-GB"/>
        </w:rPr>
        <w:t xml:space="preserve"> and</w:t>
      </w:r>
      <w:r w:rsidRPr="00341F46">
        <w:rPr>
          <w:lang w:val="en-GB"/>
        </w:rPr>
        <w:t xml:space="preserve"> the duration of study programmes</w:t>
      </w:r>
      <w:r>
        <w:rPr>
          <w:lang w:val="en-GB"/>
        </w:rPr>
        <w:t xml:space="preserve"> </w:t>
      </w:r>
      <w:r w:rsidRPr="00F62A6B">
        <w:rPr>
          <w:rFonts w:cs="Times New Roman"/>
          <w:lang w:val="en-GB"/>
        </w:rPr>
        <w:t xml:space="preserve">(cf. Clancy &amp; </w:t>
      </w:r>
      <w:proofErr w:type="spellStart"/>
      <w:r w:rsidRPr="00F62A6B">
        <w:rPr>
          <w:rFonts w:cs="Times New Roman"/>
          <w:lang w:val="en-GB"/>
        </w:rPr>
        <w:t>Goastellec</w:t>
      </w:r>
      <w:proofErr w:type="spellEnd"/>
      <w:r w:rsidRPr="00F62A6B">
        <w:rPr>
          <w:rFonts w:cs="Times New Roman"/>
          <w:lang w:val="en-GB"/>
        </w:rPr>
        <w:t>, 2007)</w:t>
      </w:r>
      <w:r>
        <w:rPr>
          <w:lang w:val="en-GB"/>
        </w:rPr>
        <w:t xml:space="preserve">. We deem the latter as less relevant in the context of our emphasis on the value of each additional person/year of studying. Moreover, a longer study duration can be encouraged by generous SFP, while the differences in formal study length in Europe have become negligible in the course of Bologna process implementation. </w:t>
      </w:r>
    </w:p>
    <w:p w14:paraId="66CB0E88" w14:textId="3B54B2FD" w:rsidR="00EB43A0" w:rsidRDefault="00EB43A0" w:rsidP="00EB43A0">
      <w:pPr>
        <w:spacing w:after="0"/>
        <w:ind w:firstLine="720"/>
        <w:rPr>
          <w:lang w:val="en-GB"/>
        </w:rPr>
      </w:pPr>
      <w:r>
        <w:rPr>
          <w:lang w:val="en-GB"/>
        </w:rPr>
        <w:t>T</w:t>
      </w:r>
      <w:r w:rsidRPr="00551DC4">
        <w:rPr>
          <w:lang w:val="en-GB"/>
        </w:rPr>
        <w:t>he country</w:t>
      </w:r>
      <w:r>
        <w:rPr>
          <w:lang w:val="en-GB"/>
        </w:rPr>
        <w:t>-</w:t>
      </w:r>
      <w:r w:rsidRPr="00551DC4">
        <w:rPr>
          <w:lang w:val="en-GB"/>
        </w:rPr>
        <w:t>level</w:t>
      </w:r>
      <w:r>
        <w:rPr>
          <w:lang w:val="en-GB"/>
        </w:rPr>
        <w:t>, annual data on the total student population (regardless of age) and inbound internationally mobile students are provided by the</w:t>
      </w:r>
      <w:r w:rsidRPr="00551DC4">
        <w:rPr>
          <w:lang w:val="en-GB"/>
        </w:rPr>
        <w:t xml:space="preserve"> </w:t>
      </w:r>
      <w:proofErr w:type="spellStart"/>
      <w:r w:rsidRPr="00551DC4">
        <w:rPr>
          <w:lang w:val="en-GB"/>
        </w:rPr>
        <w:t>Unesco</w:t>
      </w:r>
      <w:proofErr w:type="spellEnd"/>
      <w:r>
        <w:rPr>
          <w:lang w:val="en-GB"/>
        </w:rPr>
        <w:t xml:space="preserve"> Institute of Statistics (UIS). The population data are taken from the OECD database</w:t>
      </w:r>
      <w:r w:rsidR="0005501C">
        <w:rPr>
          <w:lang w:val="en-GB"/>
        </w:rPr>
        <w:t xml:space="preserve"> (</w:t>
      </w:r>
      <w:hyperlink r:id="rId6" w:history="1">
        <w:r w:rsidR="0005501C" w:rsidRPr="00CE2E1D">
          <w:rPr>
            <w:rStyle w:val="Hyperlink"/>
            <w:lang w:val="en-GB"/>
          </w:rPr>
          <w:t>https://www.oecd.org/en/data/indicators/population.html</w:t>
        </w:r>
      </w:hyperlink>
      <w:r w:rsidR="0005501C">
        <w:rPr>
          <w:lang w:val="en-GB"/>
        </w:rPr>
        <w:t>)</w:t>
      </w:r>
      <w:r>
        <w:rPr>
          <w:lang w:val="en-GB"/>
        </w:rPr>
        <w:t>.</w:t>
      </w:r>
      <w:r w:rsidR="0005501C">
        <w:rPr>
          <w:lang w:val="en-GB"/>
        </w:rPr>
        <w:t xml:space="preserve"> </w:t>
      </w:r>
      <w:bookmarkStart w:id="0" w:name="_Hlk192256619"/>
      <w:r w:rsidR="0005501C" w:rsidRPr="005D7D5F">
        <w:rPr>
          <w:lang w:val="en-GB"/>
        </w:rPr>
        <w:t xml:space="preserve">It counts all </w:t>
      </w:r>
      <w:r w:rsidR="0005501C">
        <w:rPr>
          <w:lang w:val="en-GB"/>
        </w:rPr>
        <w:t>citizen</w:t>
      </w:r>
      <w:r w:rsidR="0005501C" w:rsidRPr="005D7D5F">
        <w:rPr>
          <w:lang w:val="en-GB"/>
        </w:rPr>
        <w:t>s present in, or temporarily absent from the country, and aliens permanently settled in the country</w:t>
      </w:r>
      <w:r w:rsidR="0005501C">
        <w:rPr>
          <w:lang w:val="en-GB"/>
        </w:rPr>
        <w:t xml:space="preserve"> – hence, it includes temporarily settled international students</w:t>
      </w:r>
      <w:r w:rsidR="0005501C" w:rsidRPr="005D7D5F">
        <w:rPr>
          <w:lang w:val="en-GB"/>
        </w:rPr>
        <w:t>.</w:t>
      </w:r>
      <w:bookmarkEnd w:id="0"/>
      <w:r>
        <w:rPr>
          <w:lang w:val="en-GB"/>
        </w:rPr>
        <w:t xml:space="preserve"> </w:t>
      </w:r>
      <w:r w:rsidRPr="000A0B87">
        <w:rPr>
          <w:lang w:val="en-GB"/>
        </w:rPr>
        <w:t>Information on all countries for which the SFP data are available (see below) is included, except Luxembourg which has a very low proportion of the population studying domestically and thus reported in the UIS data.</w:t>
      </w:r>
      <w:r w:rsidRPr="00D11EE3">
        <w:rPr>
          <w:lang w:val="en-GB"/>
        </w:rPr>
        <w:t xml:space="preserve"> </w:t>
      </w:r>
      <w:r>
        <w:rPr>
          <w:lang w:val="en-GB"/>
        </w:rPr>
        <w:t xml:space="preserve">The TER indicators for </w:t>
      </w:r>
      <w:r w:rsidRPr="00EE6635">
        <w:rPr>
          <w:lang w:val="en-GB"/>
        </w:rPr>
        <w:t>the whole U</w:t>
      </w:r>
      <w:r>
        <w:rPr>
          <w:lang w:val="en-GB"/>
        </w:rPr>
        <w:t xml:space="preserve">nited </w:t>
      </w:r>
      <w:r w:rsidRPr="00EE6635">
        <w:rPr>
          <w:lang w:val="en-GB"/>
        </w:rPr>
        <w:t>K</w:t>
      </w:r>
      <w:r>
        <w:rPr>
          <w:lang w:val="en-GB"/>
        </w:rPr>
        <w:t>ingdom are matched with SFP data for England</w:t>
      </w:r>
      <w:r w:rsidRPr="00EE6635">
        <w:rPr>
          <w:lang w:val="en-GB"/>
        </w:rPr>
        <w:t>.</w:t>
      </w:r>
      <w:r>
        <w:rPr>
          <w:lang w:val="en-GB"/>
        </w:rPr>
        <w:t xml:space="preserve"> High mobility across the regions hinders calculations of region-specific TER. The proportion of international students in England roughly follows the national estimations (e.g., 19% in 2016/17; see </w:t>
      </w:r>
      <w:r w:rsidRPr="00250C70">
        <w:rPr>
          <w:lang w:val="en-GB"/>
        </w:rPr>
        <w:t>https://www.hesa.ac.uk/data-and-analysis/students</w:t>
      </w:r>
      <w:r>
        <w:rPr>
          <w:lang w:val="en-GB"/>
        </w:rPr>
        <w:t>).</w:t>
      </w:r>
    </w:p>
    <w:p w14:paraId="16F974EA" w14:textId="77777777" w:rsidR="00EB43A0" w:rsidRPr="00D11EE3" w:rsidRDefault="00EB43A0" w:rsidP="00EB43A0">
      <w:pPr>
        <w:spacing w:after="0"/>
        <w:ind w:firstLine="720"/>
        <w:rPr>
          <w:lang w:val="en-GB"/>
        </w:rPr>
      </w:pPr>
      <w:r>
        <w:rPr>
          <w:lang w:val="en-GB"/>
        </w:rPr>
        <w:t>The missing data in the student population dataset were filled using the OECD indicator</w:t>
      </w:r>
      <w:r w:rsidRPr="00045B55">
        <w:rPr>
          <w:lang w:val="en-GB"/>
        </w:rPr>
        <w:t xml:space="preserve"> </w:t>
      </w:r>
      <w:r>
        <w:rPr>
          <w:lang w:val="en-GB"/>
        </w:rPr>
        <w:t xml:space="preserve">“enrolment rates by age” (2006 and 2011 – Germany, Japan, New Zealand, Portugal), the next year’s value (2006 – Austria, Canada), and other sources (all years – Australia, statistics provided by NCVER for Technical and Further Education and by the Department of Education for the university </w:t>
      </w:r>
      <w:r>
        <w:rPr>
          <w:lang w:val="en-GB"/>
        </w:rPr>
        <w:lastRenderedPageBreak/>
        <w:t>sector). The missing international student data are filled using averaged adjacent values (2006 – Latvia, New Zealand; 2016 – Portugal) and the OECD database (2006, 2011 – Japan, Germany).</w:t>
      </w:r>
    </w:p>
    <w:p w14:paraId="7B06F1FF" w14:textId="6C0561DF" w:rsidR="00EB43A0" w:rsidRDefault="00EB43A0" w:rsidP="00EB43A0">
      <w:pPr>
        <w:spacing w:after="0"/>
        <w:ind w:firstLine="720"/>
        <w:rPr>
          <w:lang w:val="en-GB"/>
        </w:rPr>
      </w:pPr>
      <w:r w:rsidRPr="000A0B87">
        <w:rPr>
          <w:lang w:val="en-GB"/>
        </w:rPr>
        <w:t xml:space="preserve">TER differs from the gross enrolment ratio (GER) indicator that is readily provided by </w:t>
      </w:r>
      <w:proofErr w:type="spellStart"/>
      <w:r w:rsidRPr="000A0B87">
        <w:rPr>
          <w:lang w:val="en-GB"/>
        </w:rPr>
        <w:t>Unesco</w:t>
      </w:r>
      <w:proofErr w:type="spellEnd"/>
      <w:r w:rsidRPr="000A0B87">
        <w:rPr>
          <w:lang w:val="en-GB"/>
        </w:rPr>
        <w:t xml:space="preserve"> and widely used in comparative research. </w:t>
      </w:r>
      <w:bookmarkStart w:id="1" w:name="_Hlk192775991"/>
      <w:r w:rsidRPr="000A0B87">
        <w:rPr>
          <w:lang w:val="en-GB"/>
        </w:rPr>
        <w:t>First, we exclude international students</w:t>
      </w:r>
      <w:r w:rsidR="00752781">
        <w:rPr>
          <w:lang w:val="en-GB"/>
        </w:rPr>
        <w:t>, as</w:t>
      </w:r>
      <w:r w:rsidRPr="000A0B87">
        <w:rPr>
          <w:lang w:val="en-GB"/>
        </w:rPr>
        <w:t xml:space="preserve"> </w:t>
      </w:r>
      <w:r w:rsidR="00752781">
        <w:rPr>
          <w:lang w:val="en-GB"/>
        </w:rPr>
        <w:t>t</w:t>
      </w:r>
      <w:r w:rsidRPr="000A0B87">
        <w:rPr>
          <w:lang w:val="en-GB"/>
        </w:rPr>
        <w:t xml:space="preserve">hey are typically </w:t>
      </w:r>
      <w:r w:rsidR="00752781">
        <w:rPr>
          <w:lang w:val="en-GB"/>
        </w:rPr>
        <w:t xml:space="preserve">ineligible for </w:t>
      </w:r>
      <w:r w:rsidRPr="000A0B87">
        <w:rPr>
          <w:lang w:val="en-GB"/>
        </w:rPr>
        <w:t>domestic student support and often face different pricing of fees</w:t>
      </w:r>
      <w:r w:rsidR="00752781">
        <w:rPr>
          <w:lang w:val="en-GB"/>
        </w:rPr>
        <w:t xml:space="preserve"> than domestic students. This also aligns </w:t>
      </w:r>
      <w:r w:rsidR="005D7D5F">
        <w:rPr>
          <w:lang w:val="en-GB"/>
        </w:rPr>
        <w:t xml:space="preserve">with </w:t>
      </w:r>
      <w:r w:rsidR="00752781">
        <w:rPr>
          <w:lang w:val="en-GB"/>
        </w:rPr>
        <w:t xml:space="preserve">the student funding data (see below), which </w:t>
      </w:r>
      <w:r w:rsidR="005D7D5F">
        <w:rPr>
          <w:lang w:val="en-GB"/>
        </w:rPr>
        <w:t>focus</w:t>
      </w:r>
      <w:r w:rsidR="00752781">
        <w:rPr>
          <w:lang w:val="en-GB"/>
        </w:rPr>
        <w:t xml:space="preserve"> exclusively on domestic students</w:t>
      </w:r>
      <w:r w:rsidRPr="000A0B87">
        <w:rPr>
          <w:lang w:val="en-GB"/>
        </w:rPr>
        <w:t xml:space="preserve">. </w:t>
      </w:r>
      <w:bookmarkEnd w:id="1"/>
      <w:r w:rsidRPr="000A0B87">
        <w:rPr>
          <w:lang w:val="en-GB"/>
        </w:rPr>
        <w:t xml:space="preserve">Furthermore, GER is inflated in countries with a higher proportion of international students in the total student population. Since these countries (typically anglophone) tend to have relatively high private expenditures on tertiary education, we are less likely to corroborate their positive effects on enrolment ratios </w:t>
      </w:r>
      <w:r w:rsidRPr="00D5649D">
        <w:rPr>
          <w:rFonts w:cs="Times New Roman"/>
          <w:lang w:val="en-GB"/>
        </w:rPr>
        <w:t>(Yang &amp; McCall, 2014)</w:t>
      </w:r>
      <w:r w:rsidRPr="000A0B87">
        <w:rPr>
          <w:lang w:val="en-GB"/>
        </w:rPr>
        <w:t>. Second, our denominator considers a wider age group than the five-year age group following the secondary school leaving considered in GER. This better accounts for differences across countries in the average student age</w:t>
      </w:r>
      <w:r>
        <w:rPr>
          <w:lang w:val="en-GB"/>
        </w:rPr>
        <w:t xml:space="preserve"> (for instance, in 2021, the average age of </w:t>
      </w:r>
      <w:r w:rsidRPr="00495732">
        <w:rPr>
          <w:lang w:val="en-GB"/>
        </w:rPr>
        <w:t>new first-time entrant</w:t>
      </w:r>
      <w:r>
        <w:rPr>
          <w:lang w:val="en-GB"/>
        </w:rPr>
        <w:t>s varied from 18 in Japan to 25 in Denmark (OECD, 2023, 223))</w:t>
      </w:r>
      <w:r w:rsidRPr="000A0B87">
        <w:rPr>
          <w:lang w:val="en-GB"/>
        </w:rPr>
        <w:t xml:space="preserve">, but comes at the expense of substantive interpretation of TER values (e.g., assessment against the ideal-typical thresholds of mass or universal participation), as the age ranges of the numerator and the denominator are different. However, TER are primarily meant as valid indicators calculated for quantitative comparative analyses. </w:t>
      </w:r>
      <w:r>
        <w:rPr>
          <w:lang w:val="en-GB"/>
        </w:rPr>
        <w:t>Correlation between TER and GER is high (</w:t>
      </w:r>
      <w:r>
        <w:rPr>
          <w:i/>
          <w:iCs/>
          <w:lang w:val="en-GB"/>
        </w:rPr>
        <w:t>r=</w:t>
      </w:r>
      <w:r w:rsidRPr="0054487D">
        <w:rPr>
          <w:lang w:val="en-GB"/>
        </w:rPr>
        <w:t>.91</w:t>
      </w:r>
      <w:r>
        <w:rPr>
          <w:lang w:val="en-GB"/>
        </w:rPr>
        <w:t xml:space="preserve">), but our indicator yields different regression results due to the correction of values in countries charging high tuition fees (estimations of models using GER are available from the authors on request). Indicators other than GER, for instance entry rates published by the OECD, have been discontinued and had limited country coverage </w:t>
      </w:r>
      <w:r w:rsidRPr="00D5649D">
        <w:rPr>
          <w:rFonts w:cs="Times New Roman"/>
          <w:lang w:val="en-GB"/>
        </w:rPr>
        <w:t xml:space="preserve">(Clancy &amp; </w:t>
      </w:r>
      <w:proofErr w:type="spellStart"/>
      <w:r w:rsidRPr="00D5649D">
        <w:rPr>
          <w:rFonts w:cs="Times New Roman"/>
          <w:lang w:val="en-GB"/>
        </w:rPr>
        <w:t>Goastellec</w:t>
      </w:r>
      <w:proofErr w:type="spellEnd"/>
      <w:r w:rsidRPr="00D5649D">
        <w:rPr>
          <w:rFonts w:cs="Times New Roman"/>
          <w:lang w:val="en-GB"/>
        </w:rPr>
        <w:t>, 2007)</w:t>
      </w:r>
      <w:r>
        <w:rPr>
          <w:lang w:val="en-GB"/>
        </w:rPr>
        <w:t xml:space="preserve">. </w:t>
      </w:r>
    </w:p>
    <w:p w14:paraId="547EBE4B" w14:textId="77777777" w:rsidR="00EB43A0" w:rsidRDefault="00EB43A0" w:rsidP="00EB43A0">
      <w:pPr>
        <w:spacing w:after="0"/>
        <w:ind w:firstLine="720"/>
        <w:rPr>
          <w:i/>
          <w:iCs/>
          <w:lang w:val="en-GB"/>
        </w:rPr>
      </w:pPr>
      <w:r>
        <w:rPr>
          <w:i/>
          <w:iCs/>
          <w:lang w:val="en-GB"/>
        </w:rPr>
        <w:t xml:space="preserve">Outliers. </w:t>
      </w:r>
      <w:r w:rsidRPr="004B0ECB">
        <w:rPr>
          <w:lang w:val="en-GB"/>
        </w:rPr>
        <w:t>Greece</w:t>
      </w:r>
      <w:r>
        <w:rPr>
          <w:lang w:val="en-GB"/>
        </w:rPr>
        <w:t>’s growth of TER from 40% to 76% in the analysed period makes it a</w:t>
      </w:r>
      <w:r w:rsidRPr="004B0ECB">
        <w:rPr>
          <w:lang w:val="en-GB"/>
        </w:rPr>
        <w:t xml:space="preserve"> noteworthy, outlying case</w:t>
      </w:r>
      <w:r>
        <w:rPr>
          <w:lang w:val="en-GB"/>
        </w:rPr>
        <w:t>, especially considering that it had meagre SFP and high youth unemployment rates</w:t>
      </w:r>
      <w:r w:rsidRPr="004B0ECB">
        <w:rPr>
          <w:lang w:val="en-GB"/>
        </w:rPr>
        <w:t>. It illustrates how the supply of study places can adjust to demand (see: https://www.timeshighereducation.com/news/eternal-student-numbers-double-greece). Importantly, th</w:t>
      </w:r>
      <w:r>
        <w:rPr>
          <w:lang w:val="en-GB"/>
        </w:rPr>
        <w:t>is</w:t>
      </w:r>
      <w:r w:rsidRPr="004B0ECB">
        <w:rPr>
          <w:lang w:val="en-GB"/>
        </w:rPr>
        <w:t xml:space="preserve"> growth seems to only partly result from outbound migration in the age group included in the denominator following the economic collapse, because the long-term demographic decline in this group accelerated between 2011 and 2016. It then slowed down markedly while the enrolment ratios kept rising at a similar rate. Another change with limited impact was a decision to merge Tertiary Education Institutions and universities (https://acei-global.org/greece-shakeup-at-the-higher-education-level/) in 2019.</w:t>
      </w:r>
      <w:r>
        <w:rPr>
          <w:lang w:val="en-GB"/>
        </w:rPr>
        <w:t xml:space="preserve">    </w:t>
      </w:r>
      <w:r>
        <w:rPr>
          <w:i/>
          <w:iCs/>
          <w:lang w:val="en-GB"/>
        </w:rPr>
        <w:t xml:space="preserve"> </w:t>
      </w:r>
    </w:p>
    <w:p w14:paraId="1D572A6D" w14:textId="77777777" w:rsidR="00EB43A0" w:rsidRPr="00F63DF3" w:rsidRDefault="00EB43A0" w:rsidP="00EB43A0">
      <w:pPr>
        <w:ind w:firstLine="720"/>
        <w:rPr>
          <w:lang w:val="en-GB"/>
        </w:rPr>
      </w:pPr>
      <w:r>
        <w:rPr>
          <w:i/>
          <w:iCs/>
          <w:lang w:val="en-GB"/>
        </w:rPr>
        <w:t xml:space="preserve">Data limitation. </w:t>
      </w:r>
      <w:r w:rsidRPr="00F63DF3">
        <w:rPr>
          <w:lang w:val="en-GB"/>
        </w:rPr>
        <w:t>The growth of enrolment ratios has been related – to a different degree across countries – to the lengthening of typical time in higher education due to the proliferation of master-level courses, and to increasing the availability of short-cycle courses (ISCED5) or upgrading vocational and training institutions to tertiary level (</w:t>
      </w:r>
      <w:proofErr w:type="spellStart"/>
      <w:r w:rsidRPr="00F63DF3">
        <w:rPr>
          <w:lang w:val="en-GB"/>
        </w:rPr>
        <w:t>Teichler</w:t>
      </w:r>
      <w:proofErr w:type="spellEnd"/>
      <w:r w:rsidRPr="00F63DF3">
        <w:rPr>
          <w:lang w:val="en-GB"/>
        </w:rPr>
        <w:t xml:space="preserve"> &amp; </w:t>
      </w:r>
      <w:proofErr w:type="spellStart"/>
      <w:r w:rsidRPr="00F63DF3">
        <w:rPr>
          <w:lang w:val="en-GB"/>
        </w:rPr>
        <w:t>Bürger</w:t>
      </w:r>
      <w:proofErr w:type="spellEnd"/>
      <w:r w:rsidRPr="00F63DF3">
        <w:rPr>
          <w:lang w:val="en-GB"/>
        </w:rPr>
        <w:t>, 2008). The available data do not allow separate analyses for different ISCED levels for a sample of countries including non-European countries. This results in an imperfect match between our SFP indicators, which relate to ISCED-6 only (see sub-section 3.2.). However, we believe that they are still good proxies of country-differences in SFP at other ISCED levels.</w:t>
      </w:r>
    </w:p>
    <w:p w14:paraId="34034FA5" w14:textId="77777777" w:rsidR="00EB43A0" w:rsidRPr="00C863C7" w:rsidRDefault="00EB43A0" w:rsidP="00EB43A0">
      <w:pPr>
        <w:pStyle w:val="Heading3"/>
        <w:rPr>
          <w:b w:val="0"/>
          <w:bCs/>
          <w:i/>
          <w:iCs/>
          <w:sz w:val="24"/>
          <w:lang w:val="en-GB"/>
        </w:rPr>
      </w:pPr>
      <w:r w:rsidRPr="00C863C7">
        <w:rPr>
          <w:b w:val="0"/>
          <w:bCs/>
          <w:i/>
          <w:iCs/>
          <w:sz w:val="24"/>
          <w:lang w:val="en-GB"/>
        </w:rPr>
        <w:t>Independent variable – student funding policy</w:t>
      </w:r>
    </w:p>
    <w:p w14:paraId="7E1341AF" w14:textId="51EB6A70" w:rsidR="00EB43A0" w:rsidRDefault="00EB43A0" w:rsidP="00EB43A0">
      <w:pPr>
        <w:spacing w:after="0"/>
        <w:ind w:firstLine="720"/>
        <w:rPr>
          <w:lang w:val="en-GB"/>
        </w:rPr>
      </w:pPr>
      <w:r>
        <w:rPr>
          <w:i/>
          <w:iCs/>
          <w:lang w:val="en-GB"/>
        </w:rPr>
        <w:t xml:space="preserve">Data source. </w:t>
      </w:r>
      <w:r>
        <w:rPr>
          <w:lang w:val="en-GB"/>
        </w:rPr>
        <w:t>Student Support and Fees Dataset (</w:t>
      </w:r>
      <w:r w:rsidRPr="000A0B87">
        <w:rPr>
          <w:lang w:val="en-GB"/>
        </w:rPr>
        <w:t>SSFD</w:t>
      </w:r>
      <w:r>
        <w:rPr>
          <w:lang w:val="en-GB"/>
        </w:rPr>
        <w:t>)</w:t>
      </w:r>
      <w:r w:rsidRPr="000A0B87">
        <w:rPr>
          <w:lang w:val="en-GB"/>
        </w:rPr>
        <w:t xml:space="preserve"> includes the data from winter semesters in four years: 2005, 2010, 201</w:t>
      </w:r>
      <w:r>
        <w:rPr>
          <w:lang w:val="en-GB"/>
        </w:rPr>
        <w:t>5</w:t>
      </w:r>
      <w:r w:rsidRPr="000A0B87">
        <w:rPr>
          <w:lang w:val="en-GB"/>
        </w:rPr>
        <w:t xml:space="preserve">, and 2020, collected in </w:t>
      </w:r>
      <w:r w:rsidRPr="006B15CD">
        <w:rPr>
          <w:lang w:val="en-GB"/>
        </w:rPr>
        <w:t>33</w:t>
      </w:r>
      <w:r w:rsidRPr="000A0B87">
        <w:rPr>
          <w:lang w:val="en-GB"/>
        </w:rPr>
        <w:t xml:space="preserve"> affluent democracies using model-family techniques typical for comparative social policy research.</w:t>
      </w:r>
      <w:r>
        <w:rPr>
          <w:lang w:val="en-GB"/>
        </w:rPr>
        <w:t xml:space="preserve"> </w:t>
      </w:r>
      <w:r w:rsidRPr="000A0B87">
        <w:rPr>
          <w:lang w:val="en-GB"/>
        </w:rPr>
        <w:t xml:space="preserve">The entitlements of three hypothetical students (differing only in parental income) to any state-financed financial benefits and the amount of mandatory tuition fees they would have to pay were calculated using information </w:t>
      </w:r>
      <w:r w:rsidRPr="000A0B87">
        <w:rPr>
          <w:lang w:val="en-GB"/>
        </w:rPr>
        <w:lastRenderedPageBreak/>
        <w:t xml:space="preserve">derived from national legislation and other relevant policy documents. Taking average production worker wages (APW) from each country as a referential parental income ensures the cross-national comparability of data. The national-level indicators are averages of values calculated for the three model-typical </w:t>
      </w:r>
      <w:r w:rsidR="00E605E3">
        <w:rPr>
          <w:lang w:val="en-GB"/>
        </w:rPr>
        <w:t xml:space="preserve">domestic </w:t>
      </w:r>
      <w:r w:rsidRPr="000A0B87">
        <w:rPr>
          <w:lang w:val="en-GB"/>
        </w:rPr>
        <w:t>students, who are assumed to study full-time at the undergraduate level and live away from their parents.</w:t>
      </w:r>
      <w:r w:rsidR="00543C2D">
        <w:rPr>
          <w:lang w:val="en-GB"/>
        </w:rPr>
        <w:t xml:space="preserve"> </w:t>
      </w:r>
      <w:r w:rsidR="00543C2D" w:rsidRPr="00543C2D">
        <w:rPr>
          <w:lang w:val="en-GB"/>
        </w:rPr>
        <w:t>For dual-track tuition fee systems or systems with different support rules applying to, for instance, universities at private and public institutions, calculations</w:t>
      </w:r>
      <w:r w:rsidR="0071069E">
        <w:rPr>
          <w:lang w:val="en-GB"/>
        </w:rPr>
        <w:t xml:space="preserve"> in SSFD</w:t>
      </w:r>
      <w:r w:rsidR="00543C2D" w:rsidRPr="00543C2D">
        <w:rPr>
          <w:lang w:val="en-GB"/>
        </w:rPr>
        <w:t xml:space="preserve"> are made separately for the categories of students and then weighted by their respective populations in the single country-level indicator. </w:t>
      </w:r>
    </w:p>
    <w:p w14:paraId="4F5F286C" w14:textId="77777777" w:rsidR="0071069E" w:rsidRDefault="0071069E" w:rsidP="00EB43A0">
      <w:pPr>
        <w:spacing w:after="0"/>
        <w:ind w:firstLine="720"/>
        <w:rPr>
          <w:lang w:val="en-GB"/>
        </w:rPr>
      </w:pPr>
    </w:p>
    <w:p w14:paraId="455F97C0" w14:textId="1E61EA06" w:rsidR="0026119D" w:rsidRDefault="0026119D" w:rsidP="00EB43A0">
      <w:pPr>
        <w:spacing w:after="0"/>
        <w:ind w:firstLine="720"/>
        <w:rPr>
          <w:lang w:val="en-GB"/>
        </w:rPr>
      </w:pPr>
      <w:r>
        <w:rPr>
          <w:lang w:val="en-GB"/>
        </w:rPr>
        <w:t>The indicators of generosity and decommodification are calculated in the following way:</w:t>
      </w:r>
    </w:p>
    <w:p w14:paraId="2F866830" w14:textId="77777777" w:rsidR="0071069E" w:rsidRDefault="0071069E" w:rsidP="0026119D">
      <w:pPr>
        <w:spacing w:after="0"/>
        <w:rPr>
          <w:lang w:val="en-GB"/>
        </w:rPr>
      </w:pPr>
    </w:p>
    <w:p w14:paraId="2D5BB728" w14:textId="109E99FE" w:rsidR="0026119D" w:rsidRDefault="0026119D" w:rsidP="0026119D">
      <w:pPr>
        <w:spacing w:after="0"/>
        <w:rPr>
          <w:lang w:val="en-GB"/>
        </w:rPr>
      </w:pPr>
      <w:r>
        <w:rPr>
          <w:lang w:val="en-GB"/>
        </w:rPr>
        <w:t>Decom = (</w:t>
      </w:r>
      <w:r w:rsidRPr="0026119D">
        <w:rPr>
          <w:lang w:val="en-GB"/>
        </w:rPr>
        <w:t>((</w:t>
      </w:r>
      <w:r>
        <w:rPr>
          <w:lang w:val="en-GB"/>
        </w:rPr>
        <w:t xml:space="preserve">grant26 + fam26 – </w:t>
      </w:r>
      <w:r w:rsidRPr="0026119D">
        <w:rPr>
          <w:lang w:val="en-GB"/>
        </w:rPr>
        <w:t>fee</w:t>
      </w:r>
      <w:r>
        <w:rPr>
          <w:lang w:val="en-GB"/>
        </w:rPr>
        <w:t>26</w:t>
      </w:r>
      <w:r w:rsidRPr="0026119D">
        <w:rPr>
          <w:lang w:val="en-GB"/>
        </w:rPr>
        <w:t>)/net</w:t>
      </w:r>
      <w:r w:rsidR="0071069E">
        <w:rPr>
          <w:lang w:val="en-GB"/>
        </w:rPr>
        <w:t>52</w:t>
      </w:r>
      <w:r w:rsidRPr="0026119D">
        <w:rPr>
          <w:lang w:val="en-GB"/>
        </w:rPr>
        <w:t>)*100</w:t>
      </w:r>
      <w:r>
        <w:rPr>
          <w:lang w:val="en-GB"/>
        </w:rPr>
        <w:t>) + (</w:t>
      </w:r>
      <w:r w:rsidRPr="0026119D">
        <w:rPr>
          <w:lang w:val="en-GB"/>
        </w:rPr>
        <w:t>((</w:t>
      </w:r>
      <w:r>
        <w:rPr>
          <w:lang w:val="en-GB"/>
        </w:rPr>
        <w:t xml:space="preserve">grant52 + fam52 – </w:t>
      </w:r>
      <w:r w:rsidRPr="0026119D">
        <w:rPr>
          <w:lang w:val="en-GB"/>
        </w:rPr>
        <w:t>fee</w:t>
      </w:r>
      <w:r>
        <w:rPr>
          <w:lang w:val="en-GB"/>
        </w:rPr>
        <w:t>52</w:t>
      </w:r>
      <w:r w:rsidRPr="0026119D">
        <w:rPr>
          <w:lang w:val="en-GB"/>
        </w:rPr>
        <w:t>)/net</w:t>
      </w:r>
      <w:r>
        <w:rPr>
          <w:lang w:val="en-GB"/>
        </w:rPr>
        <w:t>52</w:t>
      </w:r>
      <w:r w:rsidRPr="0026119D">
        <w:rPr>
          <w:lang w:val="en-GB"/>
        </w:rPr>
        <w:t>)*100</w:t>
      </w:r>
      <w:r>
        <w:rPr>
          <w:lang w:val="en-GB"/>
        </w:rPr>
        <w:t>) + (</w:t>
      </w:r>
      <w:r w:rsidRPr="0026119D">
        <w:rPr>
          <w:lang w:val="en-GB"/>
        </w:rPr>
        <w:t>((</w:t>
      </w:r>
      <w:r>
        <w:rPr>
          <w:lang w:val="en-GB"/>
        </w:rPr>
        <w:t xml:space="preserve">grant104 + fam104 – </w:t>
      </w:r>
      <w:r w:rsidRPr="0026119D">
        <w:rPr>
          <w:lang w:val="en-GB"/>
        </w:rPr>
        <w:t>fee</w:t>
      </w:r>
      <w:r>
        <w:rPr>
          <w:lang w:val="en-GB"/>
        </w:rPr>
        <w:t>104</w:t>
      </w:r>
      <w:r w:rsidRPr="0026119D">
        <w:rPr>
          <w:lang w:val="en-GB"/>
        </w:rPr>
        <w:t>)/net</w:t>
      </w:r>
      <w:r w:rsidR="0071069E">
        <w:rPr>
          <w:lang w:val="en-GB"/>
        </w:rPr>
        <w:t>52</w:t>
      </w:r>
      <w:r w:rsidRPr="0026119D">
        <w:rPr>
          <w:lang w:val="en-GB"/>
        </w:rPr>
        <w:t>)*100</w:t>
      </w:r>
      <w:r>
        <w:rPr>
          <w:lang w:val="en-GB"/>
        </w:rPr>
        <w:t>) / 3</w:t>
      </w:r>
    </w:p>
    <w:p w14:paraId="4C1C0BAF" w14:textId="426CCFA4" w:rsidR="0026119D" w:rsidRDefault="0026119D" w:rsidP="0026119D">
      <w:pPr>
        <w:spacing w:after="0"/>
        <w:rPr>
          <w:lang w:val="en-GB"/>
        </w:rPr>
      </w:pPr>
      <w:r>
        <w:rPr>
          <w:lang w:val="en-GB"/>
        </w:rPr>
        <w:t>Gen = (</w:t>
      </w:r>
      <w:r w:rsidRPr="0026119D">
        <w:rPr>
          <w:lang w:val="en-GB"/>
        </w:rPr>
        <w:t>((</w:t>
      </w:r>
      <w:r>
        <w:rPr>
          <w:lang w:val="en-GB"/>
        </w:rPr>
        <w:t>grant26 + fam26</w:t>
      </w:r>
      <w:r w:rsidR="0071069E">
        <w:rPr>
          <w:lang w:val="en-GB"/>
        </w:rPr>
        <w:t xml:space="preserve"> + loan26</w:t>
      </w:r>
      <w:r>
        <w:rPr>
          <w:lang w:val="en-GB"/>
        </w:rPr>
        <w:t xml:space="preserve"> – </w:t>
      </w:r>
      <w:r w:rsidRPr="0026119D">
        <w:rPr>
          <w:lang w:val="en-GB"/>
        </w:rPr>
        <w:t>fee</w:t>
      </w:r>
      <w:r>
        <w:rPr>
          <w:lang w:val="en-GB"/>
        </w:rPr>
        <w:t>26</w:t>
      </w:r>
      <w:r w:rsidRPr="0026119D">
        <w:rPr>
          <w:lang w:val="en-GB"/>
        </w:rPr>
        <w:t>)/net</w:t>
      </w:r>
      <w:r w:rsidR="0071069E">
        <w:rPr>
          <w:lang w:val="en-GB"/>
        </w:rPr>
        <w:t>52</w:t>
      </w:r>
      <w:r w:rsidRPr="0026119D">
        <w:rPr>
          <w:lang w:val="en-GB"/>
        </w:rPr>
        <w:t>)*100</w:t>
      </w:r>
      <w:r>
        <w:rPr>
          <w:lang w:val="en-GB"/>
        </w:rPr>
        <w:t>) + (</w:t>
      </w:r>
      <w:r w:rsidRPr="0026119D">
        <w:rPr>
          <w:lang w:val="en-GB"/>
        </w:rPr>
        <w:t>((</w:t>
      </w:r>
      <w:r>
        <w:rPr>
          <w:lang w:val="en-GB"/>
        </w:rPr>
        <w:t>grant52 + fam52</w:t>
      </w:r>
      <w:r w:rsidR="0071069E">
        <w:rPr>
          <w:lang w:val="en-GB"/>
        </w:rPr>
        <w:t xml:space="preserve"> + loan52</w:t>
      </w:r>
      <w:r>
        <w:rPr>
          <w:lang w:val="en-GB"/>
        </w:rPr>
        <w:t xml:space="preserve"> – </w:t>
      </w:r>
      <w:r w:rsidRPr="0026119D">
        <w:rPr>
          <w:lang w:val="en-GB"/>
        </w:rPr>
        <w:t>fee</w:t>
      </w:r>
      <w:r>
        <w:rPr>
          <w:lang w:val="en-GB"/>
        </w:rPr>
        <w:t>52</w:t>
      </w:r>
      <w:r w:rsidRPr="0026119D">
        <w:rPr>
          <w:lang w:val="en-GB"/>
        </w:rPr>
        <w:t>)/net</w:t>
      </w:r>
      <w:r>
        <w:rPr>
          <w:lang w:val="en-GB"/>
        </w:rPr>
        <w:t>52</w:t>
      </w:r>
      <w:r w:rsidRPr="0026119D">
        <w:rPr>
          <w:lang w:val="en-GB"/>
        </w:rPr>
        <w:t>)*100</w:t>
      </w:r>
      <w:r>
        <w:rPr>
          <w:lang w:val="en-GB"/>
        </w:rPr>
        <w:t>) + (</w:t>
      </w:r>
      <w:r w:rsidRPr="0026119D">
        <w:rPr>
          <w:lang w:val="en-GB"/>
        </w:rPr>
        <w:t>((</w:t>
      </w:r>
      <w:r>
        <w:rPr>
          <w:lang w:val="en-GB"/>
        </w:rPr>
        <w:t xml:space="preserve">grant104 + fam104 </w:t>
      </w:r>
      <w:r w:rsidR="0071069E">
        <w:rPr>
          <w:lang w:val="en-GB"/>
        </w:rPr>
        <w:t xml:space="preserve">+ loan104 </w:t>
      </w:r>
      <w:r>
        <w:rPr>
          <w:lang w:val="en-GB"/>
        </w:rPr>
        <w:t xml:space="preserve">– </w:t>
      </w:r>
      <w:r w:rsidRPr="0026119D">
        <w:rPr>
          <w:lang w:val="en-GB"/>
        </w:rPr>
        <w:t>fee</w:t>
      </w:r>
      <w:r>
        <w:rPr>
          <w:lang w:val="en-GB"/>
        </w:rPr>
        <w:t>104</w:t>
      </w:r>
      <w:r w:rsidRPr="0026119D">
        <w:rPr>
          <w:lang w:val="en-GB"/>
        </w:rPr>
        <w:t>)/net</w:t>
      </w:r>
      <w:r w:rsidR="0071069E">
        <w:rPr>
          <w:lang w:val="en-GB"/>
        </w:rPr>
        <w:t>52</w:t>
      </w:r>
      <w:r w:rsidRPr="0026119D">
        <w:rPr>
          <w:lang w:val="en-GB"/>
        </w:rPr>
        <w:t>)*100</w:t>
      </w:r>
      <w:r>
        <w:rPr>
          <w:lang w:val="en-GB"/>
        </w:rPr>
        <w:t>) / 3</w:t>
      </w:r>
    </w:p>
    <w:p w14:paraId="649CD500" w14:textId="77777777" w:rsidR="0026119D" w:rsidRDefault="0026119D" w:rsidP="0026119D">
      <w:pPr>
        <w:spacing w:after="0"/>
        <w:rPr>
          <w:lang w:val="en-GB"/>
        </w:rPr>
      </w:pPr>
    </w:p>
    <w:p w14:paraId="08138272" w14:textId="6F7FF434" w:rsidR="0071069E" w:rsidRPr="0026119D" w:rsidRDefault="0026119D" w:rsidP="0026119D">
      <w:pPr>
        <w:spacing w:after="0"/>
        <w:rPr>
          <w:lang w:val="en-GB"/>
        </w:rPr>
      </w:pPr>
      <w:r>
        <w:rPr>
          <w:lang w:val="en-GB"/>
        </w:rPr>
        <w:t>where (variable labels taken from SSFD):</w:t>
      </w:r>
    </w:p>
    <w:p w14:paraId="09EC159A" w14:textId="77777777" w:rsidR="0071069E" w:rsidRDefault="0071069E" w:rsidP="0026119D">
      <w:pPr>
        <w:spacing w:after="0"/>
        <w:rPr>
          <w:lang w:val="en-GB"/>
        </w:rPr>
      </w:pPr>
    </w:p>
    <w:p w14:paraId="3B8BBBF4" w14:textId="5D80962E" w:rsidR="0026119D" w:rsidRPr="0026119D" w:rsidRDefault="0026119D" w:rsidP="0026119D">
      <w:pPr>
        <w:spacing w:after="0"/>
        <w:rPr>
          <w:lang w:val="en-GB"/>
        </w:rPr>
      </w:pPr>
      <w:r w:rsidRPr="0026119D">
        <w:rPr>
          <w:lang w:val="en-GB"/>
        </w:rPr>
        <w:t>grant26, grant52, grant104</w:t>
      </w:r>
      <w:r w:rsidR="0071069E">
        <w:rPr>
          <w:lang w:val="en-GB"/>
        </w:rPr>
        <w:t xml:space="preserve"> – </w:t>
      </w:r>
      <w:r w:rsidRPr="0026119D">
        <w:rPr>
          <w:lang w:val="en-GB"/>
        </w:rPr>
        <w:t>Total amount of</w:t>
      </w:r>
      <w:r w:rsidR="0071069E">
        <w:rPr>
          <w:lang w:val="en-GB"/>
        </w:rPr>
        <w:t xml:space="preserve"> entitlements to</w:t>
      </w:r>
      <w:r w:rsidRPr="0026119D">
        <w:rPr>
          <w:lang w:val="en-GB"/>
        </w:rPr>
        <w:t xml:space="preserve"> non-repayable support (grants) of different model families (national currency)</w:t>
      </w:r>
    </w:p>
    <w:p w14:paraId="33D6293A" w14:textId="78AB4003" w:rsidR="0026119D" w:rsidRPr="0026119D" w:rsidRDefault="0026119D" w:rsidP="0026119D">
      <w:pPr>
        <w:spacing w:after="0"/>
        <w:rPr>
          <w:lang w:val="en-GB"/>
        </w:rPr>
      </w:pPr>
    </w:p>
    <w:p w14:paraId="39F85ADB" w14:textId="2F9B2EF2" w:rsidR="0026119D" w:rsidRPr="0026119D" w:rsidRDefault="0026119D" w:rsidP="0026119D">
      <w:pPr>
        <w:spacing w:after="0"/>
        <w:rPr>
          <w:lang w:val="en-GB"/>
        </w:rPr>
      </w:pPr>
      <w:r w:rsidRPr="0026119D">
        <w:rPr>
          <w:lang w:val="en-GB"/>
        </w:rPr>
        <w:t>fam26, fam52, fam104</w:t>
      </w:r>
      <w:r w:rsidR="0071069E">
        <w:rPr>
          <w:lang w:val="en-GB"/>
        </w:rPr>
        <w:t xml:space="preserve"> – </w:t>
      </w:r>
      <w:r w:rsidRPr="0026119D">
        <w:rPr>
          <w:lang w:val="en-GB"/>
        </w:rPr>
        <w:t>Total amount of</w:t>
      </w:r>
      <w:r w:rsidR="0071069E">
        <w:rPr>
          <w:lang w:val="en-GB"/>
        </w:rPr>
        <w:t xml:space="preserve"> entitlements to</w:t>
      </w:r>
      <w:r w:rsidRPr="0026119D">
        <w:rPr>
          <w:lang w:val="en-GB"/>
        </w:rPr>
        <w:t xml:space="preserve"> family benefits - paid to parents of a student (tax credits and family allowances) of different model families (national currency)</w:t>
      </w:r>
    </w:p>
    <w:p w14:paraId="07C253A9" w14:textId="5CC39E89" w:rsidR="0026119D" w:rsidRPr="0026119D" w:rsidRDefault="0026119D" w:rsidP="0026119D">
      <w:pPr>
        <w:spacing w:after="0"/>
        <w:rPr>
          <w:lang w:val="en-GB"/>
        </w:rPr>
      </w:pPr>
    </w:p>
    <w:p w14:paraId="55E734DA" w14:textId="16F0C79D" w:rsidR="0026119D" w:rsidRDefault="0026119D" w:rsidP="0026119D">
      <w:pPr>
        <w:spacing w:after="0"/>
        <w:rPr>
          <w:lang w:val="en-GB"/>
        </w:rPr>
      </w:pPr>
      <w:r w:rsidRPr="0026119D">
        <w:rPr>
          <w:lang w:val="en-GB"/>
        </w:rPr>
        <w:t>loan26, loan52, loan104</w:t>
      </w:r>
      <w:r w:rsidR="0071069E">
        <w:rPr>
          <w:lang w:val="en-GB"/>
        </w:rPr>
        <w:t xml:space="preserve"> – </w:t>
      </w:r>
      <w:r w:rsidRPr="0026119D">
        <w:rPr>
          <w:lang w:val="en-GB"/>
        </w:rPr>
        <w:t>Total amount of</w:t>
      </w:r>
      <w:r w:rsidR="0071069E">
        <w:rPr>
          <w:lang w:val="en-GB"/>
        </w:rPr>
        <w:t xml:space="preserve"> entitlements to</w:t>
      </w:r>
      <w:r w:rsidRPr="0026119D">
        <w:rPr>
          <w:lang w:val="en-GB"/>
        </w:rPr>
        <w:t xml:space="preserve"> student loans of different model families (national currency)</w:t>
      </w:r>
    </w:p>
    <w:p w14:paraId="10A4DDCB" w14:textId="77777777" w:rsidR="0071069E" w:rsidRDefault="0071069E" w:rsidP="0071069E">
      <w:pPr>
        <w:spacing w:after="0"/>
        <w:rPr>
          <w:lang w:val="en-GB"/>
        </w:rPr>
      </w:pPr>
    </w:p>
    <w:p w14:paraId="6CCC238B" w14:textId="72B31FAD" w:rsidR="0071069E" w:rsidRDefault="0071069E" w:rsidP="0071069E">
      <w:pPr>
        <w:spacing w:after="0"/>
        <w:rPr>
          <w:lang w:val="en-GB"/>
        </w:rPr>
      </w:pPr>
      <w:r w:rsidRPr="0026119D">
        <w:rPr>
          <w:lang w:val="en-GB"/>
        </w:rPr>
        <w:t>fee26, fee52, fee104</w:t>
      </w:r>
      <w:r>
        <w:rPr>
          <w:lang w:val="en-GB"/>
        </w:rPr>
        <w:t xml:space="preserve"> – </w:t>
      </w:r>
      <w:r w:rsidRPr="0026119D">
        <w:rPr>
          <w:lang w:val="en-GB"/>
        </w:rPr>
        <w:t xml:space="preserve">Total amount of </w:t>
      </w:r>
      <w:r>
        <w:rPr>
          <w:lang w:val="en-GB"/>
        </w:rPr>
        <w:t xml:space="preserve">obligations to pay </w:t>
      </w:r>
      <w:r w:rsidRPr="0026119D">
        <w:rPr>
          <w:lang w:val="en-GB"/>
        </w:rPr>
        <w:t>tuition fees, paid by student's parents or by a student (minus any tuition fee discounts or exemptions) of different model families (national currency)</w:t>
      </w:r>
    </w:p>
    <w:p w14:paraId="0AAC7320" w14:textId="77777777" w:rsidR="0071069E" w:rsidRDefault="0071069E" w:rsidP="0071069E">
      <w:pPr>
        <w:spacing w:after="0"/>
        <w:rPr>
          <w:lang w:val="en-GB"/>
        </w:rPr>
      </w:pPr>
    </w:p>
    <w:p w14:paraId="5777B893" w14:textId="22EB71BD" w:rsidR="0071069E" w:rsidRDefault="0071069E" w:rsidP="0071069E">
      <w:pPr>
        <w:spacing w:after="0"/>
        <w:rPr>
          <w:lang w:val="en-GB"/>
        </w:rPr>
      </w:pPr>
      <w:r w:rsidRPr="0026119D">
        <w:rPr>
          <w:lang w:val="en-GB"/>
        </w:rPr>
        <w:t>net26, net52, net104</w:t>
      </w:r>
      <w:r>
        <w:rPr>
          <w:lang w:val="en-GB"/>
        </w:rPr>
        <w:t xml:space="preserve"> – </w:t>
      </w:r>
      <w:r w:rsidRPr="0026119D">
        <w:rPr>
          <w:lang w:val="en-GB"/>
        </w:rPr>
        <w:t xml:space="preserve">Net Average Production Workers Wage (APW) of the three model families (national currency), Source: </w:t>
      </w:r>
      <w:r>
        <w:rPr>
          <w:lang w:val="en-GB"/>
        </w:rPr>
        <w:t>Social Policy Indicators database (</w:t>
      </w:r>
      <w:r w:rsidRPr="0026119D">
        <w:rPr>
          <w:lang w:val="en-GB"/>
        </w:rPr>
        <w:t>SPIN</w:t>
      </w:r>
      <w:r>
        <w:rPr>
          <w:lang w:val="en-GB"/>
        </w:rPr>
        <w:t xml:space="preserve">), </w:t>
      </w:r>
      <w:hyperlink r:id="rId7" w:history="1">
        <w:r w:rsidRPr="005A129A">
          <w:rPr>
            <w:rStyle w:val="Hyperlink"/>
            <w:lang w:val="en-GB"/>
          </w:rPr>
          <w:t>https://www.su.se/social-policy-indicators-database/</w:t>
        </w:r>
      </w:hyperlink>
    </w:p>
    <w:p w14:paraId="310EC2F9" w14:textId="7DEBE5E3" w:rsidR="0071069E" w:rsidRDefault="0071069E" w:rsidP="0071069E">
      <w:pPr>
        <w:spacing w:after="0"/>
        <w:rPr>
          <w:lang w:val="en-GB"/>
        </w:rPr>
      </w:pPr>
    </w:p>
    <w:p w14:paraId="5DDF3C56" w14:textId="245657F9" w:rsidR="0071069E" w:rsidRDefault="0071069E" w:rsidP="0071069E">
      <w:pPr>
        <w:spacing w:after="0"/>
        <w:rPr>
          <w:lang w:val="en-GB"/>
        </w:rPr>
      </w:pPr>
      <w:r>
        <w:rPr>
          <w:lang w:val="en-GB"/>
        </w:rPr>
        <w:t>“26” – model-type family with one earner of 50% of APW</w:t>
      </w:r>
    </w:p>
    <w:p w14:paraId="1F6ADAF6" w14:textId="5A8DA165" w:rsidR="0071069E" w:rsidRDefault="0071069E" w:rsidP="0071069E">
      <w:pPr>
        <w:spacing w:after="0"/>
        <w:rPr>
          <w:lang w:val="en-GB"/>
        </w:rPr>
      </w:pPr>
      <w:r>
        <w:rPr>
          <w:lang w:val="en-GB"/>
        </w:rPr>
        <w:t>“52” – model-type family with one earner of 100% of APW</w:t>
      </w:r>
    </w:p>
    <w:p w14:paraId="65F09567" w14:textId="5A76320B" w:rsidR="0071069E" w:rsidRDefault="0071069E" w:rsidP="0071069E">
      <w:pPr>
        <w:spacing w:after="0"/>
        <w:rPr>
          <w:lang w:val="en-GB"/>
        </w:rPr>
      </w:pPr>
      <w:r>
        <w:rPr>
          <w:lang w:val="en-GB"/>
        </w:rPr>
        <w:t>“104” – model-type family with dual earners of 100% of APW each</w:t>
      </w:r>
    </w:p>
    <w:p w14:paraId="036AC6E9" w14:textId="325D963D" w:rsidR="00752781" w:rsidRDefault="00752781" w:rsidP="0071069E">
      <w:pPr>
        <w:spacing w:after="0"/>
        <w:rPr>
          <w:lang w:val="en-GB"/>
        </w:rPr>
      </w:pPr>
    </w:p>
    <w:p w14:paraId="4B596179" w14:textId="2BFBDBC3" w:rsidR="00752781" w:rsidRDefault="00752781" w:rsidP="0071069E">
      <w:pPr>
        <w:spacing w:after="0"/>
        <w:rPr>
          <w:lang w:val="en-GB"/>
        </w:rPr>
      </w:pPr>
      <w:r>
        <w:rPr>
          <w:lang w:val="en-GB"/>
        </w:rPr>
        <w:t xml:space="preserve">For more information, see the documentation file at </w:t>
      </w:r>
      <w:r w:rsidRPr="00AF66AD">
        <w:rPr>
          <w:lang w:val="en-GB"/>
        </w:rPr>
        <w:t>https://www.su.se/social-policy-indicators-database/data</w:t>
      </w:r>
    </w:p>
    <w:p w14:paraId="0BB62686" w14:textId="7C07879D" w:rsidR="0071069E" w:rsidRDefault="0071069E" w:rsidP="0071069E">
      <w:pPr>
        <w:spacing w:after="0"/>
        <w:rPr>
          <w:lang w:val="en-GB"/>
        </w:rPr>
      </w:pPr>
    </w:p>
    <w:p w14:paraId="09BF311B" w14:textId="7662D476" w:rsidR="0071069E" w:rsidRPr="00C863C7" w:rsidRDefault="00EB43A0" w:rsidP="00EB43A0">
      <w:pPr>
        <w:ind w:firstLine="720"/>
        <w:rPr>
          <w:lang w:val="en-GB"/>
        </w:rPr>
      </w:pPr>
      <w:r>
        <w:rPr>
          <w:lang w:val="en-GB"/>
        </w:rPr>
        <w:t>These social rights-type of data</w:t>
      </w:r>
      <w:r w:rsidRPr="000A0B87">
        <w:rPr>
          <w:lang w:val="en-GB"/>
        </w:rPr>
        <w:t xml:space="preserve">, in contrast to expenditure or recipiency rate (e.g., the proportion of students receiving aid) data, are not unconditionally determined by the macroeconomic context and the socio-economic composition of the student population, whereby the proportion of </w:t>
      </w:r>
      <w:r w:rsidRPr="000A0B87">
        <w:rPr>
          <w:lang w:val="en-GB"/>
        </w:rPr>
        <w:lastRenderedPageBreak/>
        <w:t>low-income students is also affected by the level of enrolment, generating a reverse causality problem</w:t>
      </w:r>
      <w:r>
        <w:rPr>
          <w:lang w:val="en-GB"/>
        </w:rPr>
        <w:t xml:space="preserve"> (see the discussion in </w:t>
      </w:r>
      <w:r w:rsidR="00B97AF0">
        <w:rPr>
          <w:lang w:val="en-GB"/>
        </w:rPr>
        <w:t>Author</w:t>
      </w:r>
      <w:r>
        <w:rPr>
          <w:lang w:val="en-GB"/>
        </w:rPr>
        <w:t>).</w:t>
      </w:r>
    </w:p>
    <w:p w14:paraId="7ABCA77D" w14:textId="77777777" w:rsidR="00EB43A0" w:rsidRPr="007B5950" w:rsidRDefault="00EB43A0" w:rsidP="00EB43A0">
      <w:pPr>
        <w:pStyle w:val="Heading3"/>
        <w:rPr>
          <w:b w:val="0"/>
          <w:bCs/>
          <w:i/>
          <w:iCs/>
          <w:sz w:val="24"/>
          <w:lang w:val="en-GB"/>
        </w:rPr>
      </w:pPr>
      <w:r w:rsidRPr="00694017">
        <w:rPr>
          <w:b w:val="0"/>
          <w:bCs/>
          <w:i/>
          <w:iCs/>
          <w:sz w:val="24"/>
          <w:lang w:val="en-GB"/>
        </w:rPr>
        <w:t>Other explanatory variables</w:t>
      </w:r>
    </w:p>
    <w:p w14:paraId="32724F76" w14:textId="77777777" w:rsidR="00EB43A0" w:rsidRPr="000A0B87" w:rsidRDefault="00EB43A0" w:rsidP="00EB43A0">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b/>
          <w:bCs/>
          <w:sz w:val="20"/>
          <w:szCs w:val="20"/>
          <w:lang w:val="en-GB"/>
        </w:rPr>
        <w:t xml:space="preserve">Table </w:t>
      </w:r>
      <w:r>
        <w:rPr>
          <w:rFonts w:ascii="Garamond" w:hAnsi="Garamond"/>
          <w:b/>
          <w:bCs/>
          <w:sz w:val="20"/>
          <w:szCs w:val="20"/>
          <w:lang w:val="en-GB"/>
        </w:rPr>
        <w:t>OR.1</w:t>
      </w:r>
      <w:r w:rsidRPr="000A0B87">
        <w:rPr>
          <w:rFonts w:ascii="Garamond" w:hAnsi="Garamond"/>
          <w:b/>
          <w:bCs/>
          <w:sz w:val="20"/>
          <w:szCs w:val="20"/>
          <w:lang w:val="en-GB"/>
        </w:rPr>
        <w:t xml:space="preserve"> Descriptive statistics – explanatory and control variables, pooled data</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EB43A0" w:rsidRPr="000A0B87" w14:paraId="1E07228F" w14:textId="77777777" w:rsidTr="00921FEE">
        <w:tc>
          <w:tcPr>
            <w:tcW w:w="2508" w:type="dxa"/>
            <w:tcBorders>
              <w:top w:val="single" w:sz="4" w:space="0" w:color="auto"/>
              <w:left w:val="nil"/>
              <w:bottom w:val="single" w:sz="10" w:space="0" w:color="auto"/>
              <w:right w:val="nil"/>
            </w:tcBorders>
          </w:tcPr>
          <w:p w14:paraId="665F2ED1"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Variable</w:t>
            </w:r>
          </w:p>
        </w:tc>
        <w:tc>
          <w:tcPr>
            <w:tcW w:w="800" w:type="dxa"/>
            <w:tcBorders>
              <w:top w:val="single" w:sz="4" w:space="0" w:color="auto"/>
              <w:left w:val="nil"/>
              <w:bottom w:val="single" w:sz="10" w:space="0" w:color="auto"/>
              <w:right w:val="nil"/>
            </w:tcBorders>
            <w:vAlign w:val="center"/>
          </w:tcPr>
          <w:p w14:paraId="6C93F6A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Obs</w:t>
            </w:r>
          </w:p>
        </w:tc>
        <w:tc>
          <w:tcPr>
            <w:tcW w:w="1400" w:type="dxa"/>
            <w:tcBorders>
              <w:top w:val="single" w:sz="4" w:space="0" w:color="auto"/>
              <w:left w:val="nil"/>
              <w:bottom w:val="single" w:sz="10" w:space="0" w:color="auto"/>
              <w:right w:val="nil"/>
            </w:tcBorders>
            <w:vAlign w:val="center"/>
          </w:tcPr>
          <w:p w14:paraId="036AE9C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Mean</w:t>
            </w:r>
          </w:p>
        </w:tc>
        <w:tc>
          <w:tcPr>
            <w:tcW w:w="1400" w:type="dxa"/>
            <w:tcBorders>
              <w:top w:val="single" w:sz="4" w:space="0" w:color="auto"/>
              <w:left w:val="nil"/>
              <w:bottom w:val="single" w:sz="10" w:space="0" w:color="auto"/>
              <w:right w:val="nil"/>
            </w:tcBorders>
            <w:vAlign w:val="center"/>
          </w:tcPr>
          <w:p w14:paraId="3797EB5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Std. Dev.</w:t>
            </w:r>
          </w:p>
        </w:tc>
        <w:tc>
          <w:tcPr>
            <w:tcW w:w="1400" w:type="dxa"/>
            <w:tcBorders>
              <w:top w:val="single" w:sz="4" w:space="0" w:color="auto"/>
              <w:left w:val="nil"/>
              <w:bottom w:val="single" w:sz="10" w:space="0" w:color="auto"/>
              <w:right w:val="nil"/>
            </w:tcBorders>
            <w:vAlign w:val="center"/>
          </w:tcPr>
          <w:p w14:paraId="5A2C0CD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Min</w:t>
            </w:r>
          </w:p>
        </w:tc>
        <w:tc>
          <w:tcPr>
            <w:tcW w:w="1400" w:type="dxa"/>
            <w:tcBorders>
              <w:top w:val="single" w:sz="4" w:space="0" w:color="auto"/>
              <w:left w:val="nil"/>
              <w:bottom w:val="single" w:sz="10" w:space="0" w:color="auto"/>
              <w:right w:val="nil"/>
            </w:tcBorders>
            <w:vAlign w:val="center"/>
          </w:tcPr>
          <w:p w14:paraId="66F69D8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Max</w:t>
            </w:r>
          </w:p>
        </w:tc>
      </w:tr>
      <w:tr w:rsidR="00EB43A0" w:rsidRPr="000A0B87" w14:paraId="51232A34" w14:textId="77777777" w:rsidTr="00921FEE">
        <w:tc>
          <w:tcPr>
            <w:tcW w:w="2508" w:type="dxa"/>
            <w:tcBorders>
              <w:top w:val="nil"/>
              <w:left w:val="nil"/>
              <w:bottom w:val="nil"/>
              <w:right w:val="nil"/>
            </w:tcBorders>
          </w:tcPr>
          <w:p w14:paraId="12C596DA"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w:t>
            </w:r>
            <w:r>
              <w:rPr>
                <w:rFonts w:ascii="Garamond" w:hAnsi="Garamond"/>
                <w:sz w:val="20"/>
                <w:szCs w:val="20"/>
                <w:lang w:val="en-GB"/>
              </w:rPr>
              <w:t xml:space="preserve">(1) </w:t>
            </w:r>
            <w:r w:rsidRPr="000A0B87">
              <w:rPr>
                <w:rFonts w:ascii="Garamond" w:hAnsi="Garamond"/>
                <w:sz w:val="20"/>
                <w:szCs w:val="20"/>
                <w:lang w:val="en-GB"/>
              </w:rPr>
              <w:t xml:space="preserve">Gross National Income per capita (PPP) </w:t>
            </w:r>
          </w:p>
          <w:p w14:paraId="4138E6F0" w14:textId="77777777" w:rsidR="00EB43A0" w:rsidRPr="007B5950" w:rsidRDefault="00EB43A0" w:rsidP="00921FEE">
            <w:pPr>
              <w:widowControl w:val="0"/>
              <w:autoSpaceDE w:val="0"/>
              <w:autoSpaceDN w:val="0"/>
              <w:adjustRightInd w:val="0"/>
              <w:spacing w:after="0" w:line="240" w:lineRule="auto"/>
              <w:rPr>
                <w:rFonts w:ascii="Garamond" w:hAnsi="Garamond"/>
                <w:i/>
                <w:iCs/>
                <w:sz w:val="20"/>
                <w:szCs w:val="20"/>
                <w:vertAlign w:val="superscript"/>
                <w:lang w:val="en-GB"/>
              </w:rPr>
            </w:pPr>
            <w:r w:rsidRPr="000A0B87">
              <w:rPr>
                <w:rFonts w:ascii="Garamond" w:hAnsi="Garamond"/>
                <w:i/>
                <w:iCs/>
                <w:sz w:val="20"/>
                <w:szCs w:val="20"/>
                <w:lang w:val="en-GB"/>
              </w:rPr>
              <w:t>GNI</w:t>
            </w:r>
          </w:p>
        </w:tc>
        <w:tc>
          <w:tcPr>
            <w:tcW w:w="800" w:type="dxa"/>
            <w:tcBorders>
              <w:top w:val="nil"/>
              <w:left w:val="nil"/>
              <w:bottom w:val="nil"/>
              <w:right w:val="nil"/>
            </w:tcBorders>
            <w:vAlign w:val="center"/>
          </w:tcPr>
          <w:p w14:paraId="3F00527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w:t>
            </w:r>
          </w:p>
        </w:tc>
        <w:tc>
          <w:tcPr>
            <w:tcW w:w="1400" w:type="dxa"/>
            <w:tcBorders>
              <w:top w:val="nil"/>
              <w:left w:val="nil"/>
              <w:bottom w:val="nil"/>
              <w:right w:val="nil"/>
            </w:tcBorders>
            <w:vAlign w:val="center"/>
          </w:tcPr>
          <w:p w14:paraId="0A6776F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34472</w:t>
            </w:r>
          </w:p>
        </w:tc>
        <w:tc>
          <w:tcPr>
            <w:tcW w:w="1400" w:type="dxa"/>
            <w:tcBorders>
              <w:top w:val="nil"/>
              <w:left w:val="nil"/>
              <w:bottom w:val="nil"/>
              <w:right w:val="nil"/>
            </w:tcBorders>
            <w:vAlign w:val="center"/>
          </w:tcPr>
          <w:p w14:paraId="3E4AD6B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12688</w:t>
            </w:r>
          </w:p>
        </w:tc>
        <w:tc>
          <w:tcPr>
            <w:tcW w:w="1400" w:type="dxa"/>
            <w:tcBorders>
              <w:top w:val="nil"/>
              <w:left w:val="nil"/>
              <w:bottom w:val="nil"/>
              <w:right w:val="nil"/>
            </w:tcBorders>
            <w:vAlign w:val="center"/>
          </w:tcPr>
          <w:p w14:paraId="581CECA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8600</w:t>
            </w:r>
          </w:p>
        </w:tc>
        <w:tc>
          <w:tcPr>
            <w:tcW w:w="1400" w:type="dxa"/>
            <w:tcBorders>
              <w:top w:val="nil"/>
              <w:left w:val="nil"/>
              <w:bottom w:val="nil"/>
              <w:right w:val="nil"/>
            </w:tcBorders>
            <w:vAlign w:val="center"/>
          </w:tcPr>
          <w:p w14:paraId="68B05E6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69610</w:t>
            </w:r>
          </w:p>
        </w:tc>
      </w:tr>
      <w:tr w:rsidR="00EB43A0" w:rsidRPr="000A0B87" w14:paraId="146C3CC4" w14:textId="77777777" w:rsidTr="00921FEE">
        <w:tc>
          <w:tcPr>
            <w:tcW w:w="2508" w:type="dxa"/>
            <w:tcBorders>
              <w:top w:val="nil"/>
              <w:left w:val="nil"/>
              <w:bottom w:val="nil"/>
              <w:right w:val="nil"/>
            </w:tcBorders>
          </w:tcPr>
          <w:p w14:paraId="4D16E5FB" w14:textId="77777777" w:rsidR="00EB43A0" w:rsidRPr="007B5950" w:rsidRDefault="00EB43A0" w:rsidP="00921FEE">
            <w:pPr>
              <w:widowControl w:val="0"/>
              <w:autoSpaceDE w:val="0"/>
              <w:autoSpaceDN w:val="0"/>
              <w:adjustRightInd w:val="0"/>
              <w:spacing w:after="0" w:line="240" w:lineRule="auto"/>
              <w:rPr>
                <w:rFonts w:ascii="Garamond" w:hAnsi="Garamond"/>
                <w:sz w:val="20"/>
                <w:szCs w:val="20"/>
                <w:vertAlign w:val="superscript"/>
                <w:lang w:val="en-GB"/>
              </w:rPr>
            </w:pPr>
            <w:r w:rsidRPr="000A0B87">
              <w:rPr>
                <w:rFonts w:ascii="Garamond" w:hAnsi="Garamond"/>
                <w:sz w:val="20"/>
                <w:szCs w:val="20"/>
                <w:lang w:val="en-GB"/>
              </w:rPr>
              <w:t xml:space="preserve"> </w:t>
            </w:r>
            <w:r>
              <w:rPr>
                <w:rFonts w:ascii="Garamond" w:hAnsi="Garamond"/>
                <w:sz w:val="20"/>
                <w:szCs w:val="20"/>
                <w:lang w:val="en-GB"/>
              </w:rPr>
              <w:t xml:space="preserve">(2) </w:t>
            </w:r>
            <w:r w:rsidRPr="000A0B87">
              <w:rPr>
                <w:rFonts w:ascii="Garamond" w:hAnsi="Garamond"/>
                <w:sz w:val="20"/>
                <w:szCs w:val="20"/>
                <w:lang w:val="en-GB"/>
              </w:rPr>
              <w:t>Tertiary education attainment 25-34 y/o (%)</w:t>
            </w:r>
          </w:p>
          <w:p w14:paraId="0281A6E7" w14:textId="77777777" w:rsidR="00EB43A0" w:rsidRPr="000A0B87" w:rsidRDefault="00EB43A0" w:rsidP="00921FEE">
            <w:pPr>
              <w:widowControl w:val="0"/>
              <w:autoSpaceDE w:val="0"/>
              <w:autoSpaceDN w:val="0"/>
              <w:adjustRightInd w:val="0"/>
              <w:spacing w:after="0" w:line="240" w:lineRule="auto"/>
              <w:rPr>
                <w:rFonts w:ascii="Garamond" w:hAnsi="Garamond"/>
                <w:i/>
                <w:iCs/>
                <w:sz w:val="20"/>
                <w:szCs w:val="20"/>
                <w:lang w:val="en-GB"/>
              </w:rPr>
            </w:pPr>
            <w:r w:rsidRPr="000A0B87">
              <w:rPr>
                <w:rFonts w:ascii="Garamond" w:hAnsi="Garamond"/>
                <w:i/>
                <w:iCs/>
                <w:sz w:val="20"/>
                <w:szCs w:val="20"/>
                <w:lang w:val="en-GB"/>
              </w:rPr>
              <w:t>att2534</w:t>
            </w:r>
          </w:p>
        </w:tc>
        <w:tc>
          <w:tcPr>
            <w:tcW w:w="800" w:type="dxa"/>
            <w:tcBorders>
              <w:top w:val="nil"/>
              <w:left w:val="nil"/>
              <w:bottom w:val="nil"/>
              <w:right w:val="nil"/>
            </w:tcBorders>
            <w:vAlign w:val="center"/>
          </w:tcPr>
          <w:p w14:paraId="42ECA1C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w:t>
            </w:r>
          </w:p>
        </w:tc>
        <w:tc>
          <w:tcPr>
            <w:tcW w:w="1400" w:type="dxa"/>
            <w:tcBorders>
              <w:top w:val="nil"/>
              <w:left w:val="nil"/>
              <w:bottom w:val="nil"/>
              <w:right w:val="nil"/>
            </w:tcBorders>
            <w:vAlign w:val="center"/>
          </w:tcPr>
          <w:p w14:paraId="0B07B33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37.7</w:t>
            </w:r>
          </w:p>
        </w:tc>
        <w:tc>
          <w:tcPr>
            <w:tcW w:w="1400" w:type="dxa"/>
            <w:tcBorders>
              <w:top w:val="nil"/>
              <w:left w:val="nil"/>
              <w:bottom w:val="nil"/>
              <w:right w:val="nil"/>
            </w:tcBorders>
            <w:vAlign w:val="center"/>
          </w:tcPr>
          <w:p w14:paraId="417397A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12.2</w:t>
            </w:r>
          </w:p>
        </w:tc>
        <w:tc>
          <w:tcPr>
            <w:tcW w:w="1400" w:type="dxa"/>
            <w:tcBorders>
              <w:top w:val="nil"/>
              <w:left w:val="nil"/>
              <w:bottom w:val="nil"/>
              <w:right w:val="nil"/>
            </w:tcBorders>
            <w:vAlign w:val="center"/>
          </w:tcPr>
          <w:p w14:paraId="0A8EBF5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11.7</w:t>
            </w:r>
          </w:p>
        </w:tc>
        <w:tc>
          <w:tcPr>
            <w:tcW w:w="1400" w:type="dxa"/>
            <w:tcBorders>
              <w:top w:val="nil"/>
              <w:left w:val="nil"/>
              <w:bottom w:val="nil"/>
              <w:right w:val="nil"/>
            </w:tcBorders>
            <w:vAlign w:val="center"/>
          </w:tcPr>
          <w:p w14:paraId="214FFB6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69.7</w:t>
            </w:r>
          </w:p>
        </w:tc>
      </w:tr>
      <w:tr w:rsidR="00EB43A0" w:rsidRPr="000A0B87" w14:paraId="19195979" w14:textId="77777777" w:rsidTr="00921FEE">
        <w:tc>
          <w:tcPr>
            <w:tcW w:w="2508" w:type="dxa"/>
            <w:tcBorders>
              <w:top w:val="nil"/>
              <w:left w:val="nil"/>
              <w:bottom w:val="nil"/>
              <w:right w:val="nil"/>
            </w:tcBorders>
          </w:tcPr>
          <w:p w14:paraId="1763F456"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w:t>
            </w:r>
            <w:r>
              <w:rPr>
                <w:rFonts w:ascii="Garamond" w:hAnsi="Garamond"/>
                <w:sz w:val="20"/>
                <w:szCs w:val="20"/>
                <w:lang w:val="en-GB"/>
              </w:rPr>
              <w:t xml:space="preserve">(3) </w:t>
            </w:r>
            <w:r w:rsidRPr="000A0B87">
              <w:rPr>
                <w:rFonts w:ascii="Garamond" w:hAnsi="Garamond"/>
                <w:sz w:val="20"/>
                <w:szCs w:val="20"/>
                <w:lang w:val="en-GB"/>
              </w:rPr>
              <w:t>Tertiary education attainment 25-64 y/o (%)</w:t>
            </w:r>
          </w:p>
          <w:p w14:paraId="70A14581" w14:textId="77777777" w:rsidR="00EB43A0" w:rsidRPr="000A0B87" w:rsidRDefault="00EB43A0" w:rsidP="00921FEE">
            <w:pPr>
              <w:widowControl w:val="0"/>
              <w:autoSpaceDE w:val="0"/>
              <w:autoSpaceDN w:val="0"/>
              <w:adjustRightInd w:val="0"/>
              <w:spacing w:after="0" w:line="240" w:lineRule="auto"/>
              <w:rPr>
                <w:rFonts w:ascii="Garamond" w:hAnsi="Garamond"/>
                <w:i/>
                <w:iCs/>
                <w:sz w:val="20"/>
                <w:szCs w:val="20"/>
                <w:lang w:val="en-GB"/>
              </w:rPr>
            </w:pPr>
            <w:r w:rsidRPr="000A0B87">
              <w:rPr>
                <w:rFonts w:ascii="Garamond" w:hAnsi="Garamond"/>
                <w:i/>
                <w:iCs/>
                <w:sz w:val="20"/>
                <w:szCs w:val="20"/>
                <w:lang w:val="en-GB"/>
              </w:rPr>
              <w:t>att2564</w:t>
            </w:r>
          </w:p>
        </w:tc>
        <w:tc>
          <w:tcPr>
            <w:tcW w:w="800" w:type="dxa"/>
            <w:tcBorders>
              <w:top w:val="nil"/>
              <w:left w:val="nil"/>
              <w:bottom w:val="nil"/>
              <w:right w:val="nil"/>
            </w:tcBorders>
            <w:vAlign w:val="center"/>
          </w:tcPr>
          <w:p w14:paraId="75F463E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w:t>
            </w:r>
          </w:p>
        </w:tc>
        <w:tc>
          <w:tcPr>
            <w:tcW w:w="1400" w:type="dxa"/>
            <w:tcBorders>
              <w:top w:val="nil"/>
              <w:left w:val="nil"/>
              <w:bottom w:val="nil"/>
              <w:right w:val="nil"/>
            </w:tcBorders>
            <w:vAlign w:val="center"/>
          </w:tcPr>
          <w:p w14:paraId="3BA90FC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30.6</w:t>
            </w:r>
          </w:p>
        </w:tc>
        <w:tc>
          <w:tcPr>
            <w:tcW w:w="1400" w:type="dxa"/>
            <w:tcBorders>
              <w:top w:val="nil"/>
              <w:left w:val="nil"/>
              <w:bottom w:val="nil"/>
              <w:right w:val="nil"/>
            </w:tcBorders>
            <w:vAlign w:val="center"/>
          </w:tcPr>
          <w:p w14:paraId="5FCDFE3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10.6</w:t>
            </w:r>
          </w:p>
        </w:tc>
        <w:tc>
          <w:tcPr>
            <w:tcW w:w="1400" w:type="dxa"/>
            <w:tcBorders>
              <w:top w:val="nil"/>
              <w:left w:val="nil"/>
              <w:bottom w:val="nil"/>
              <w:right w:val="nil"/>
            </w:tcBorders>
            <w:vAlign w:val="center"/>
          </w:tcPr>
          <w:p w14:paraId="7C9E1FB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8.1</w:t>
            </w:r>
          </w:p>
        </w:tc>
        <w:tc>
          <w:tcPr>
            <w:tcW w:w="1400" w:type="dxa"/>
            <w:tcBorders>
              <w:top w:val="nil"/>
              <w:left w:val="nil"/>
              <w:bottom w:val="nil"/>
              <w:right w:val="nil"/>
            </w:tcBorders>
            <w:vAlign w:val="center"/>
          </w:tcPr>
          <w:p w14:paraId="59331E2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59.4</w:t>
            </w:r>
          </w:p>
        </w:tc>
      </w:tr>
      <w:tr w:rsidR="00EB43A0" w:rsidRPr="000A0B87" w14:paraId="0ED20A96" w14:textId="77777777" w:rsidTr="00921FEE">
        <w:tc>
          <w:tcPr>
            <w:tcW w:w="2508" w:type="dxa"/>
            <w:tcBorders>
              <w:top w:val="nil"/>
              <w:left w:val="nil"/>
              <w:bottom w:val="nil"/>
              <w:right w:val="nil"/>
            </w:tcBorders>
          </w:tcPr>
          <w:p w14:paraId="7C8A487A"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w:t>
            </w:r>
            <w:r>
              <w:rPr>
                <w:rFonts w:ascii="Garamond" w:hAnsi="Garamond"/>
                <w:sz w:val="20"/>
                <w:szCs w:val="20"/>
                <w:lang w:val="en-GB"/>
              </w:rPr>
              <w:t xml:space="preserve">(4) </w:t>
            </w:r>
            <w:r w:rsidRPr="000A0B87">
              <w:rPr>
                <w:rFonts w:ascii="Garamond" w:hAnsi="Garamond"/>
                <w:sz w:val="20"/>
                <w:szCs w:val="20"/>
                <w:lang w:val="en-GB"/>
              </w:rPr>
              <w:t>Youth (15-24 y/o) unemployment (%)</w:t>
            </w:r>
          </w:p>
          <w:p w14:paraId="600B6222" w14:textId="77777777" w:rsidR="00EB43A0" w:rsidRPr="000A0B87" w:rsidRDefault="00EB43A0" w:rsidP="00921FEE">
            <w:pPr>
              <w:widowControl w:val="0"/>
              <w:autoSpaceDE w:val="0"/>
              <w:autoSpaceDN w:val="0"/>
              <w:adjustRightInd w:val="0"/>
              <w:spacing w:after="0" w:line="240" w:lineRule="auto"/>
              <w:rPr>
                <w:rFonts w:ascii="Garamond" w:hAnsi="Garamond"/>
                <w:i/>
                <w:iCs/>
                <w:sz w:val="20"/>
                <w:szCs w:val="20"/>
                <w:lang w:val="en-GB"/>
              </w:rPr>
            </w:pPr>
            <w:r w:rsidRPr="000A0B87">
              <w:rPr>
                <w:rFonts w:ascii="Garamond" w:hAnsi="Garamond"/>
                <w:i/>
                <w:iCs/>
                <w:sz w:val="20"/>
                <w:szCs w:val="20"/>
                <w:lang w:val="en-GB"/>
              </w:rPr>
              <w:t>y_unemp</w:t>
            </w:r>
          </w:p>
        </w:tc>
        <w:tc>
          <w:tcPr>
            <w:tcW w:w="800" w:type="dxa"/>
            <w:tcBorders>
              <w:top w:val="nil"/>
              <w:left w:val="nil"/>
              <w:bottom w:val="nil"/>
              <w:right w:val="nil"/>
            </w:tcBorders>
            <w:vAlign w:val="center"/>
          </w:tcPr>
          <w:p w14:paraId="2FC0AF4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w:t>
            </w:r>
          </w:p>
        </w:tc>
        <w:tc>
          <w:tcPr>
            <w:tcW w:w="1400" w:type="dxa"/>
            <w:tcBorders>
              <w:top w:val="nil"/>
              <w:left w:val="nil"/>
              <w:bottom w:val="nil"/>
              <w:right w:val="nil"/>
            </w:tcBorders>
            <w:vAlign w:val="center"/>
          </w:tcPr>
          <w:p w14:paraId="0E1048F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17.8</w:t>
            </w:r>
          </w:p>
        </w:tc>
        <w:tc>
          <w:tcPr>
            <w:tcW w:w="1400" w:type="dxa"/>
            <w:tcBorders>
              <w:top w:val="nil"/>
              <w:left w:val="nil"/>
              <w:bottom w:val="nil"/>
              <w:right w:val="nil"/>
            </w:tcBorders>
            <w:vAlign w:val="center"/>
          </w:tcPr>
          <w:p w14:paraId="21CB612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9.2</w:t>
            </w:r>
          </w:p>
        </w:tc>
        <w:tc>
          <w:tcPr>
            <w:tcW w:w="1400" w:type="dxa"/>
            <w:tcBorders>
              <w:top w:val="nil"/>
              <w:left w:val="nil"/>
              <w:bottom w:val="nil"/>
              <w:right w:val="nil"/>
            </w:tcBorders>
            <w:vAlign w:val="center"/>
          </w:tcPr>
          <w:p w14:paraId="125BDF7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3.9</w:t>
            </w:r>
          </w:p>
        </w:tc>
        <w:tc>
          <w:tcPr>
            <w:tcW w:w="1400" w:type="dxa"/>
            <w:tcBorders>
              <w:top w:val="nil"/>
              <w:left w:val="nil"/>
              <w:bottom w:val="nil"/>
              <w:right w:val="nil"/>
            </w:tcBorders>
            <w:vAlign w:val="center"/>
          </w:tcPr>
          <w:p w14:paraId="6998326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53.2</w:t>
            </w:r>
          </w:p>
        </w:tc>
      </w:tr>
      <w:tr w:rsidR="00EB43A0" w:rsidRPr="000A0B87" w14:paraId="5CEB5741" w14:textId="77777777" w:rsidTr="00921FEE">
        <w:tc>
          <w:tcPr>
            <w:tcW w:w="2508" w:type="dxa"/>
            <w:tcBorders>
              <w:top w:val="nil"/>
              <w:left w:val="nil"/>
              <w:bottom w:val="nil"/>
              <w:right w:val="nil"/>
            </w:tcBorders>
          </w:tcPr>
          <w:p w14:paraId="2AECD151"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w:t>
            </w:r>
            <w:r>
              <w:rPr>
                <w:rFonts w:ascii="Garamond" w:hAnsi="Garamond"/>
                <w:sz w:val="20"/>
                <w:szCs w:val="20"/>
                <w:lang w:val="en-GB"/>
              </w:rPr>
              <w:t xml:space="preserve">(5) </w:t>
            </w:r>
            <w:r w:rsidRPr="000A0B87">
              <w:rPr>
                <w:rFonts w:ascii="Garamond" w:hAnsi="Garamond"/>
                <w:sz w:val="20"/>
                <w:szCs w:val="20"/>
                <w:lang w:val="en-GB"/>
              </w:rPr>
              <w:t>Labour market demand for tertiary education (%)</w:t>
            </w:r>
          </w:p>
          <w:p w14:paraId="5A26EC70" w14:textId="77777777" w:rsidR="00EB43A0" w:rsidRPr="000A0B87" w:rsidRDefault="00EB43A0" w:rsidP="00921FEE">
            <w:pPr>
              <w:widowControl w:val="0"/>
              <w:autoSpaceDE w:val="0"/>
              <w:autoSpaceDN w:val="0"/>
              <w:adjustRightInd w:val="0"/>
              <w:spacing w:after="0" w:line="240" w:lineRule="auto"/>
              <w:rPr>
                <w:rFonts w:ascii="Garamond" w:hAnsi="Garamond"/>
                <w:i/>
                <w:iCs/>
                <w:sz w:val="20"/>
                <w:szCs w:val="20"/>
                <w:lang w:val="en-GB"/>
              </w:rPr>
            </w:pPr>
            <w:r w:rsidRPr="000A0B87">
              <w:rPr>
                <w:rFonts w:ascii="Garamond" w:hAnsi="Garamond"/>
                <w:i/>
                <w:iCs/>
                <w:sz w:val="20"/>
                <w:szCs w:val="20"/>
                <w:lang w:val="en-GB"/>
              </w:rPr>
              <w:t>ter_ed_dem</w:t>
            </w:r>
          </w:p>
        </w:tc>
        <w:tc>
          <w:tcPr>
            <w:tcW w:w="800" w:type="dxa"/>
            <w:tcBorders>
              <w:top w:val="nil"/>
              <w:left w:val="nil"/>
              <w:bottom w:val="nil"/>
              <w:right w:val="nil"/>
            </w:tcBorders>
            <w:vAlign w:val="center"/>
          </w:tcPr>
          <w:p w14:paraId="224960A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104</w:t>
            </w:r>
          </w:p>
        </w:tc>
        <w:tc>
          <w:tcPr>
            <w:tcW w:w="1400" w:type="dxa"/>
            <w:tcBorders>
              <w:top w:val="nil"/>
              <w:left w:val="nil"/>
              <w:bottom w:val="nil"/>
              <w:right w:val="nil"/>
            </w:tcBorders>
            <w:vAlign w:val="center"/>
          </w:tcPr>
          <w:p w14:paraId="740CAF1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31.6</w:t>
            </w:r>
          </w:p>
        </w:tc>
        <w:tc>
          <w:tcPr>
            <w:tcW w:w="1400" w:type="dxa"/>
            <w:tcBorders>
              <w:top w:val="nil"/>
              <w:left w:val="nil"/>
              <w:bottom w:val="nil"/>
              <w:right w:val="nil"/>
            </w:tcBorders>
            <w:vAlign w:val="center"/>
          </w:tcPr>
          <w:p w14:paraId="25A604C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5.1</w:t>
            </w:r>
          </w:p>
        </w:tc>
        <w:tc>
          <w:tcPr>
            <w:tcW w:w="1400" w:type="dxa"/>
            <w:tcBorders>
              <w:top w:val="nil"/>
              <w:left w:val="nil"/>
              <w:bottom w:val="nil"/>
              <w:right w:val="nil"/>
            </w:tcBorders>
            <w:vAlign w:val="center"/>
          </w:tcPr>
          <w:p w14:paraId="6D1351F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w:t>
            </w:r>
          </w:p>
        </w:tc>
        <w:tc>
          <w:tcPr>
            <w:tcW w:w="1400" w:type="dxa"/>
            <w:tcBorders>
              <w:top w:val="nil"/>
              <w:left w:val="nil"/>
              <w:bottom w:val="nil"/>
              <w:right w:val="nil"/>
            </w:tcBorders>
            <w:vAlign w:val="center"/>
          </w:tcPr>
          <w:p w14:paraId="193D3A1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42.7</w:t>
            </w:r>
          </w:p>
        </w:tc>
      </w:tr>
      <w:tr w:rsidR="00EB43A0" w:rsidRPr="000A0B87" w14:paraId="4083F9DA" w14:textId="77777777" w:rsidTr="00921FEE">
        <w:tc>
          <w:tcPr>
            <w:tcW w:w="2508" w:type="dxa"/>
            <w:tcBorders>
              <w:top w:val="nil"/>
              <w:left w:val="nil"/>
              <w:bottom w:val="nil"/>
              <w:right w:val="nil"/>
            </w:tcBorders>
          </w:tcPr>
          <w:p w14:paraId="4B7F47F5"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w:t>
            </w:r>
            <w:r>
              <w:rPr>
                <w:rFonts w:ascii="Garamond" w:hAnsi="Garamond"/>
                <w:sz w:val="20"/>
                <w:szCs w:val="20"/>
                <w:lang w:val="en-GB"/>
              </w:rPr>
              <w:t xml:space="preserve">(6) </w:t>
            </w:r>
            <w:r w:rsidRPr="000A0B87">
              <w:rPr>
                <w:rFonts w:ascii="Garamond" w:hAnsi="Garamond"/>
                <w:sz w:val="20"/>
                <w:szCs w:val="20"/>
                <w:lang w:val="en-GB"/>
              </w:rPr>
              <w:t>Secondary students in vocational education (%)</w:t>
            </w:r>
          </w:p>
          <w:p w14:paraId="6CF858B2" w14:textId="77777777" w:rsidR="00EB43A0" w:rsidRPr="000A0B87" w:rsidRDefault="00EB43A0" w:rsidP="00921FEE">
            <w:pPr>
              <w:widowControl w:val="0"/>
              <w:autoSpaceDE w:val="0"/>
              <w:autoSpaceDN w:val="0"/>
              <w:adjustRightInd w:val="0"/>
              <w:spacing w:after="0" w:line="240" w:lineRule="auto"/>
              <w:rPr>
                <w:rFonts w:ascii="Garamond" w:hAnsi="Garamond"/>
                <w:i/>
                <w:iCs/>
                <w:sz w:val="20"/>
                <w:szCs w:val="20"/>
                <w:lang w:val="en-GB"/>
              </w:rPr>
            </w:pPr>
            <w:r w:rsidRPr="000A0B87">
              <w:rPr>
                <w:rFonts w:ascii="Garamond" w:hAnsi="Garamond"/>
                <w:i/>
                <w:iCs/>
                <w:sz w:val="20"/>
                <w:szCs w:val="20"/>
                <w:lang w:val="en-GB"/>
              </w:rPr>
              <w:t>voc</w:t>
            </w:r>
          </w:p>
        </w:tc>
        <w:tc>
          <w:tcPr>
            <w:tcW w:w="800" w:type="dxa"/>
            <w:tcBorders>
              <w:top w:val="nil"/>
              <w:left w:val="nil"/>
              <w:bottom w:val="nil"/>
              <w:right w:val="nil"/>
            </w:tcBorders>
            <w:vAlign w:val="center"/>
          </w:tcPr>
          <w:p w14:paraId="0E6F849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w:t>
            </w:r>
          </w:p>
        </w:tc>
        <w:tc>
          <w:tcPr>
            <w:tcW w:w="1400" w:type="dxa"/>
            <w:tcBorders>
              <w:top w:val="nil"/>
              <w:left w:val="nil"/>
              <w:bottom w:val="nil"/>
              <w:right w:val="nil"/>
            </w:tcBorders>
            <w:vAlign w:val="center"/>
          </w:tcPr>
          <w:p w14:paraId="673DC20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44</w:t>
            </w:r>
          </w:p>
        </w:tc>
        <w:tc>
          <w:tcPr>
            <w:tcW w:w="1400" w:type="dxa"/>
            <w:tcBorders>
              <w:top w:val="nil"/>
              <w:left w:val="nil"/>
              <w:bottom w:val="nil"/>
              <w:right w:val="nil"/>
            </w:tcBorders>
            <w:vAlign w:val="center"/>
          </w:tcPr>
          <w:p w14:paraId="474A9E4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17.9</w:t>
            </w:r>
          </w:p>
        </w:tc>
        <w:tc>
          <w:tcPr>
            <w:tcW w:w="1400" w:type="dxa"/>
            <w:tcBorders>
              <w:top w:val="nil"/>
              <w:left w:val="nil"/>
              <w:bottom w:val="nil"/>
              <w:right w:val="nil"/>
            </w:tcBorders>
            <w:vAlign w:val="center"/>
          </w:tcPr>
          <w:p w14:paraId="14A7DC8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7.5</w:t>
            </w:r>
          </w:p>
        </w:tc>
        <w:tc>
          <w:tcPr>
            <w:tcW w:w="1400" w:type="dxa"/>
            <w:tcBorders>
              <w:top w:val="nil"/>
              <w:left w:val="nil"/>
              <w:bottom w:val="nil"/>
              <w:right w:val="nil"/>
            </w:tcBorders>
            <w:vAlign w:val="center"/>
          </w:tcPr>
          <w:p w14:paraId="06C4A1E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79.6</w:t>
            </w:r>
          </w:p>
        </w:tc>
      </w:tr>
      <w:tr w:rsidR="00EB43A0" w:rsidRPr="000A0B87" w14:paraId="1A9513C3" w14:textId="77777777" w:rsidTr="00921FEE">
        <w:tc>
          <w:tcPr>
            <w:tcW w:w="8908" w:type="dxa"/>
            <w:gridSpan w:val="6"/>
            <w:tcBorders>
              <w:top w:val="single" w:sz="6" w:space="0" w:color="auto"/>
              <w:left w:val="nil"/>
              <w:bottom w:val="nil"/>
              <w:right w:val="nil"/>
            </w:tcBorders>
          </w:tcPr>
          <w:p w14:paraId="2214FF5B"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p>
        </w:tc>
      </w:tr>
    </w:tbl>
    <w:p w14:paraId="6423E12D" w14:textId="77777777" w:rsidR="00EB43A0" w:rsidRDefault="00EB43A0" w:rsidP="00EB43A0">
      <w:pPr>
        <w:spacing w:after="160" w:line="259" w:lineRule="auto"/>
        <w:rPr>
          <w:lang w:val="en-GB"/>
        </w:rPr>
      </w:pPr>
    </w:p>
    <w:p w14:paraId="4F82642C" w14:textId="77777777" w:rsidR="00EB43A0" w:rsidRDefault="00EB43A0" w:rsidP="00EB43A0">
      <w:pPr>
        <w:spacing w:after="160" w:line="259" w:lineRule="auto"/>
        <w:rPr>
          <w:rFonts w:cs="Times New Roman"/>
          <w:lang w:val="en-GB"/>
        </w:rPr>
      </w:pPr>
      <w:r>
        <w:rPr>
          <w:rFonts w:cs="Times New Roman"/>
          <w:lang w:val="en-GB"/>
        </w:rPr>
        <w:t xml:space="preserve">(1) Gross national income per capita (PPP) is taken from the World Bank’s World Development Indicators </w:t>
      </w:r>
      <w:proofErr w:type="spellStart"/>
      <w:r>
        <w:rPr>
          <w:rFonts w:cs="Times New Roman"/>
          <w:lang w:val="en-GB"/>
        </w:rPr>
        <w:t>DataBank</w:t>
      </w:r>
      <w:proofErr w:type="spellEnd"/>
      <w:r>
        <w:rPr>
          <w:rFonts w:cs="Times New Roman"/>
          <w:lang w:val="en-GB"/>
        </w:rPr>
        <w:t>. The measure is lagged by one year versus the dependent variable.</w:t>
      </w:r>
    </w:p>
    <w:p w14:paraId="5849CA3E" w14:textId="77777777" w:rsidR="00EB43A0" w:rsidRPr="003E6AAE" w:rsidRDefault="00EB43A0" w:rsidP="00EB43A0">
      <w:pPr>
        <w:spacing w:after="160" w:line="259" w:lineRule="auto"/>
        <w:rPr>
          <w:rFonts w:cs="Times New Roman"/>
          <w:lang w:val="en-GB"/>
        </w:rPr>
      </w:pPr>
      <w:r w:rsidRPr="003E6AAE">
        <w:rPr>
          <w:rFonts w:cs="Times New Roman"/>
          <w:lang w:val="en-GB"/>
        </w:rPr>
        <w:t>(2) &amp; (3) Both variables are obtained from the OECD database. Missing data were supplemented using the Barro-Lee Educational Attainment Dataset. Since both variables are highly correlated (</w:t>
      </w:r>
      <w:r w:rsidRPr="003E6AAE">
        <w:rPr>
          <w:rFonts w:cs="Times New Roman"/>
          <w:i/>
          <w:iCs/>
          <w:lang w:val="en-GB"/>
        </w:rPr>
        <w:t>r</w:t>
      </w:r>
      <w:r w:rsidRPr="003E6AAE">
        <w:rPr>
          <w:rFonts w:cs="Times New Roman"/>
          <w:lang w:val="en-GB"/>
        </w:rPr>
        <w:t xml:space="preserve">=-.91), they cannot be included in regression models together due to multicollinearity issues. The former is lagged by two years versus the outcome variable, and the latter is the average value in the preceding three years. Quite weak correlations with the outcome (.29 and .34) support our claim that the measures of enrolment and attainment relate to substantially different phenomena, not least because graduation rates vary significantly across countries. </w:t>
      </w:r>
    </w:p>
    <w:p w14:paraId="21E099B2" w14:textId="77777777" w:rsidR="00EB43A0" w:rsidRPr="003E6AAE" w:rsidRDefault="00EB43A0" w:rsidP="00EB43A0">
      <w:pPr>
        <w:rPr>
          <w:rFonts w:cs="Times New Roman"/>
          <w:lang w:val="en-GB"/>
        </w:rPr>
      </w:pPr>
      <w:r w:rsidRPr="003E6AAE">
        <w:rPr>
          <w:rFonts w:cs="Times New Roman"/>
          <w:lang w:val="en-GB"/>
        </w:rPr>
        <w:t xml:space="preserve">(4) The indicator is taken from the World Development Indicators database of the World Bank, and lagged by two years versus the outcome.  </w:t>
      </w:r>
    </w:p>
    <w:p w14:paraId="40750E17" w14:textId="77777777" w:rsidR="00EB43A0" w:rsidRDefault="00EB43A0" w:rsidP="00EB43A0">
      <w:pPr>
        <w:rPr>
          <w:lang w:val="en-GB"/>
        </w:rPr>
      </w:pPr>
      <w:r w:rsidRPr="003E6AAE">
        <w:rPr>
          <w:lang w:val="en-GB"/>
        </w:rPr>
        <w:t xml:space="preserve">(5) </w:t>
      </w:r>
      <w:r w:rsidRPr="003E6AAE">
        <w:rPr>
          <w:iCs/>
          <w:lang w:val="en-GB"/>
        </w:rPr>
        <w:t xml:space="preserve">Labour market demand for graduate skills </w:t>
      </w:r>
      <w:r w:rsidRPr="003E6AAE">
        <w:rPr>
          <w:lang w:val="en-GB"/>
        </w:rPr>
        <w:t>is measured using the skill demand indicator proposed</w:t>
      </w:r>
      <w:r>
        <w:rPr>
          <w:lang w:val="en-GB"/>
        </w:rPr>
        <w:t xml:space="preserve"> </w:t>
      </w:r>
      <w:r w:rsidRPr="003E6AAE">
        <w:rPr>
          <w:lang w:val="en-GB"/>
        </w:rPr>
        <w:t>by Tåhlin and Westerman (</w:t>
      </w:r>
      <w:r>
        <w:rPr>
          <w:lang w:val="en-GB"/>
        </w:rPr>
        <w:t xml:space="preserve">see </w:t>
      </w:r>
      <w:r w:rsidRPr="00B777C7">
        <w:rPr>
          <w:lang w:val="en-GB"/>
        </w:rPr>
        <w:t xml:space="preserve">Tåhlin, M., &amp; Westerman, J. 2021. </w:t>
      </w:r>
      <w:r w:rsidRPr="00B777C7">
        <w:rPr>
          <w:i/>
          <w:iCs/>
          <w:lang w:val="en-GB"/>
        </w:rPr>
        <w:t>Structural consequences of cyclical change for marginal group employment</w:t>
      </w:r>
      <w:r w:rsidRPr="00B777C7">
        <w:rPr>
          <w:lang w:val="en-GB"/>
        </w:rPr>
        <w:t>. OSF.</w:t>
      </w:r>
      <w:r w:rsidRPr="003E6AAE">
        <w:rPr>
          <w:lang w:val="en-GB"/>
        </w:rPr>
        <w:t>) based on the ILO-provided data on the number of jobs requiring tertiary education, defined as jobs in which a substantial portion of skills is largely acquired during tertiary education. The data, not available for Bulgaria, Cyprus, Estonia, Latvia, Malta, and Romania, are lagged by two years, but the enrolment data for 2021 are matched with year 2018 due to data availability.</w:t>
      </w:r>
    </w:p>
    <w:p w14:paraId="042A12F8" w14:textId="7D025B8C" w:rsidR="00EB43A0" w:rsidRDefault="00EB43A0" w:rsidP="00EB43A0">
      <w:pPr>
        <w:rPr>
          <w:lang w:val="en-GB"/>
        </w:rPr>
      </w:pPr>
      <w:r>
        <w:rPr>
          <w:rFonts w:cs="Times New Roman"/>
          <w:lang w:val="en-GB"/>
        </w:rPr>
        <w:t xml:space="preserve">(6) </w:t>
      </w:r>
      <w:r w:rsidRPr="006B15CD">
        <w:rPr>
          <w:iCs/>
          <w:lang w:val="en-GB"/>
        </w:rPr>
        <w:t xml:space="preserve">The proportion of secondary school pupils participating in vocational education </w:t>
      </w:r>
      <w:r w:rsidRPr="008A3001">
        <w:rPr>
          <w:lang w:val="en-GB"/>
        </w:rPr>
        <w:t xml:space="preserve">is measured using the measure provided by </w:t>
      </w:r>
      <w:proofErr w:type="spellStart"/>
      <w:r w:rsidRPr="008A3001">
        <w:rPr>
          <w:lang w:val="en-GB"/>
        </w:rPr>
        <w:t>Unesco</w:t>
      </w:r>
      <w:proofErr w:type="spellEnd"/>
      <w:r w:rsidR="00B21E80">
        <w:rPr>
          <w:lang w:val="en-GB"/>
        </w:rPr>
        <w:t xml:space="preserve"> (UIS)</w:t>
      </w:r>
      <w:r w:rsidRPr="008A3001">
        <w:rPr>
          <w:lang w:val="en-GB"/>
        </w:rPr>
        <w:t xml:space="preserve">: </w:t>
      </w:r>
      <w:r w:rsidRPr="005D7D5F">
        <w:rPr>
          <w:i/>
          <w:iCs/>
          <w:lang w:val="en-GB"/>
        </w:rPr>
        <w:t>share of upper secondary students in vocational education</w:t>
      </w:r>
      <w:r w:rsidRPr="008A3001">
        <w:rPr>
          <w:lang w:val="en-GB"/>
        </w:rPr>
        <w:t xml:space="preserve">. The indicator is the average of the values from the second, third, and fourth years preceding the outcome observation year. Missing data (for earlier years in Australia, Canada, Ireland, Japan, and New Zealand) are handled by extrapolating from a linear trend.  </w:t>
      </w:r>
    </w:p>
    <w:p w14:paraId="3070DB5D" w14:textId="77777777" w:rsidR="00EB43A0" w:rsidRPr="007B5950" w:rsidRDefault="00EB43A0" w:rsidP="00EB43A0">
      <w:pPr>
        <w:pStyle w:val="Heading3"/>
        <w:rPr>
          <w:lang w:val="en-GB"/>
        </w:rPr>
      </w:pPr>
      <w:r>
        <w:rPr>
          <w:lang w:val="en-GB"/>
        </w:rPr>
        <w:t xml:space="preserve">Online Resource B: </w:t>
      </w:r>
      <w:r w:rsidRPr="007B5950">
        <w:rPr>
          <w:lang w:val="en-GB"/>
        </w:rPr>
        <w:t>Additional figures and tables</w:t>
      </w:r>
    </w:p>
    <w:p w14:paraId="749C467D" w14:textId="77777777" w:rsidR="00EB43A0" w:rsidRPr="000A0B87" w:rsidRDefault="00EB43A0" w:rsidP="00EB43A0">
      <w:pPr>
        <w:rPr>
          <w:lang w:val="en-GB"/>
        </w:rPr>
      </w:pPr>
      <w:r w:rsidRPr="000A0B87">
        <w:rPr>
          <w:rFonts w:ascii="Garamond" w:hAnsi="Garamond"/>
          <w:b/>
          <w:bCs/>
          <w:sz w:val="20"/>
          <w:szCs w:val="20"/>
          <w:lang w:val="en-GB"/>
        </w:rPr>
        <w:t>Figure O</w:t>
      </w:r>
      <w:r>
        <w:rPr>
          <w:rFonts w:ascii="Garamond" w:hAnsi="Garamond"/>
          <w:b/>
          <w:bCs/>
          <w:sz w:val="20"/>
          <w:szCs w:val="20"/>
          <w:lang w:val="en-GB"/>
        </w:rPr>
        <w:t>R</w:t>
      </w:r>
      <w:r w:rsidRPr="000A0B87">
        <w:rPr>
          <w:rFonts w:ascii="Garamond" w:hAnsi="Garamond"/>
          <w:b/>
          <w:bCs/>
          <w:sz w:val="20"/>
          <w:szCs w:val="20"/>
          <w:lang w:val="en-GB"/>
        </w:rPr>
        <w:t>.1 Convergence of tertiary enrolment rat</w:t>
      </w:r>
      <w:r>
        <w:rPr>
          <w:rFonts w:ascii="Garamond" w:hAnsi="Garamond"/>
          <w:b/>
          <w:bCs/>
          <w:sz w:val="20"/>
          <w:szCs w:val="20"/>
          <w:lang w:val="en-GB"/>
        </w:rPr>
        <w:t>ios (%)</w:t>
      </w:r>
      <w:r w:rsidRPr="000A0B87">
        <w:rPr>
          <w:rFonts w:ascii="Garamond" w:hAnsi="Garamond"/>
          <w:b/>
          <w:bCs/>
          <w:sz w:val="20"/>
          <w:szCs w:val="20"/>
          <w:lang w:val="en-GB"/>
        </w:rPr>
        <w:t xml:space="preserve"> between 2006 and 2021</w:t>
      </w:r>
    </w:p>
    <w:p w14:paraId="2A492318" w14:textId="77777777" w:rsidR="00EB43A0" w:rsidRPr="000A0B87" w:rsidRDefault="00EB43A0" w:rsidP="00EB43A0">
      <w:pPr>
        <w:rPr>
          <w:rFonts w:ascii="Garamond" w:hAnsi="Garamond"/>
          <w:b/>
          <w:bCs/>
          <w:sz w:val="20"/>
          <w:szCs w:val="20"/>
          <w:lang w:val="en-GB"/>
        </w:rPr>
      </w:pPr>
      <w:r w:rsidRPr="000A0B87">
        <w:rPr>
          <w:rFonts w:ascii="Garamond" w:hAnsi="Garamond"/>
          <w:b/>
          <w:bCs/>
          <w:noProof/>
          <w:sz w:val="20"/>
          <w:szCs w:val="20"/>
          <w:lang w:val="en-GB"/>
        </w:rPr>
        <w:lastRenderedPageBreak/>
        <w:drawing>
          <wp:anchor distT="0" distB="0" distL="114300" distR="114300" simplePos="0" relativeHeight="251659264" behindDoc="0" locked="0" layoutInCell="1" allowOverlap="1" wp14:anchorId="69DE10E0" wp14:editId="073A54EB">
            <wp:simplePos x="0" y="0"/>
            <wp:positionH relativeFrom="column">
              <wp:posOffset>282575</wp:posOffset>
            </wp:positionH>
            <wp:positionV relativeFrom="paragraph">
              <wp:posOffset>6985</wp:posOffset>
            </wp:positionV>
            <wp:extent cx="5035550" cy="3020695"/>
            <wp:effectExtent l="0" t="0" r="0" b="8255"/>
            <wp:wrapThrough wrapText="bothSides">
              <wp:wrapPolygon edited="0">
                <wp:start x="0" y="0"/>
                <wp:lineTo x="0" y="21523"/>
                <wp:lineTo x="21491" y="21523"/>
                <wp:lineTo x="2149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0" cy="302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428F5"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303425A8"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5B957206"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0F4441C6"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489C0A7E"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254B5B24"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56F445F9"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742D4FC0"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095960FB"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44EA23C6"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656B2B4F"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5B69615F"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74C95406"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6AA95433"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7D1029A0"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7019DE0D"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2B688D8A"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650AA180"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63E29872"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06FF2B4E"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062CF34E"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057EB202"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687FB2D1"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05FBEFB2"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2D272521"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51C835EF"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08C9EE97"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45D2C563"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41EB3916"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r w:rsidRPr="000A0B87">
        <w:rPr>
          <w:rFonts w:ascii="Garamond" w:hAnsi="Garamond"/>
          <w:b/>
          <w:bCs/>
          <w:sz w:val="20"/>
          <w:szCs w:val="20"/>
          <w:lang w:val="en-GB"/>
        </w:rPr>
        <w:t>Figure O</w:t>
      </w:r>
      <w:r>
        <w:rPr>
          <w:rFonts w:ascii="Garamond" w:hAnsi="Garamond"/>
          <w:b/>
          <w:bCs/>
          <w:sz w:val="20"/>
          <w:szCs w:val="20"/>
          <w:lang w:val="en-GB"/>
        </w:rPr>
        <w:t>R</w:t>
      </w:r>
      <w:r w:rsidRPr="000A0B87">
        <w:rPr>
          <w:rFonts w:ascii="Garamond" w:hAnsi="Garamond"/>
          <w:b/>
          <w:bCs/>
          <w:sz w:val="20"/>
          <w:szCs w:val="20"/>
          <w:lang w:val="en-GB"/>
        </w:rPr>
        <w:t>.2a-b Correlation between student funding policy and tertiary enrolment ratios, 2005-2020, scatterplots</w:t>
      </w:r>
    </w:p>
    <w:p w14:paraId="77F9DDD3"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47BFE9E1"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287C2AE4" w14:textId="77777777" w:rsidR="00EB43A0" w:rsidRPr="000A0B87" w:rsidRDefault="00EB43A0" w:rsidP="00EB43A0">
      <w:pPr>
        <w:widowControl w:val="0"/>
        <w:autoSpaceDE w:val="0"/>
        <w:autoSpaceDN w:val="0"/>
        <w:adjustRightInd w:val="0"/>
        <w:spacing w:after="0" w:line="240" w:lineRule="auto"/>
        <w:rPr>
          <w:rFonts w:ascii="Garamond" w:hAnsi="Garamond"/>
          <w:b/>
          <w:bCs/>
          <w:sz w:val="18"/>
          <w:szCs w:val="18"/>
          <w:lang w:val="en-GB"/>
        </w:rPr>
      </w:pPr>
      <w:r w:rsidRPr="000A0B87">
        <w:rPr>
          <w:rFonts w:ascii="Garamond" w:hAnsi="Garamond"/>
          <w:b/>
          <w:bCs/>
          <w:sz w:val="18"/>
          <w:szCs w:val="18"/>
          <w:lang w:val="en-GB"/>
        </w:rPr>
        <w:t>a)</w:t>
      </w:r>
    </w:p>
    <w:p w14:paraId="3E86319D"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r w:rsidRPr="000A0B87">
        <w:rPr>
          <w:noProof/>
          <w:lang w:val="en-GB"/>
        </w:rPr>
        <w:drawing>
          <wp:inline distT="0" distB="0" distL="0" distR="0" wp14:anchorId="63D8724B" wp14:editId="01A5868F">
            <wp:extent cx="4392386" cy="3009031"/>
            <wp:effectExtent l="0" t="0" r="825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21866" cy="3029227"/>
                    </a:xfrm>
                    <a:prstGeom prst="rect">
                      <a:avLst/>
                    </a:prstGeom>
                  </pic:spPr>
                </pic:pic>
              </a:graphicData>
            </a:graphic>
          </wp:inline>
        </w:drawing>
      </w:r>
    </w:p>
    <w:p w14:paraId="3D2A2422"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14B90CDD" w14:textId="77777777" w:rsidR="00EB43A0" w:rsidRPr="000A0B87" w:rsidRDefault="00EB43A0" w:rsidP="00EB43A0">
      <w:pPr>
        <w:widowControl w:val="0"/>
        <w:autoSpaceDE w:val="0"/>
        <w:autoSpaceDN w:val="0"/>
        <w:adjustRightInd w:val="0"/>
        <w:spacing w:after="0" w:line="240" w:lineRule="auto"/>
        <w:rPr>
          <w:rFonts w:ascii="Garamond" w:hAnsi="Garamond"/>
          <w:b/>
          <w:bCs/>
          <w:sz w:val="18"/>
          <w:szCs w:val="18"/>
          <w:lang w:val="en-GB"/>
        </w:rPr>
      </w:pPr>
      <w:r w:rsidRPr="000A0B87">
        <w:rPr>
          <w:rFonts w:ascii="Garamond" w:hAnsi="Garamond"/>
          <w:b/>
          <w:bCs/>
          <w:sz w:val="18"/>
          <w:szCs w:val="18"/>
          <w:lang w:val="en-GB"/>
        </w:rPr>
        <w:t xml:space="preserve">b) </w:t>
      </w:r>
    </w:p>
    <w:p w14:paraId="1A2F2BF7"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1EB6669E"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r w:rsidRPr="000A0B87">
        <w:rPr>
          <w:noProof/>
          <w:lang w:val="en-GB"/>
        </w:rPr>
        <w:lastRenderedPageBreak/>
        <w:drawing>
          <wp:inline distT="0" distB="0" distL="0" distR="0" wp14:anchorId="4627D139" wp14:editId="0092572C">
            <wp:extent cx="4327071" cy="309610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31554" cy="3099313"/>
                    </a:xfrm>
                    <a:prstGeom prst="rect">
                      <a:avLst/>
                    </a:prstGeom>
                  </pic:spPr>
                </pic:pic>
              </a:graphicData>
            </a:graphic>
          </wp:inline>
        </w:drawing>
      </w:r>
    </w:p>
    <w:p w14:paraId="568B849A"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416AF38B"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p>
    <w:p w14:paraId="3F0DEF0B" w14:textId="77777777" w:rsidR="00EB43A0" w:rsidRPr="000A0B87" w:rsidRDefault="00EB43A0" w:rsidP="00EB43A0">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b/>
          <w:bCs/>
          <w:sz w:val="20"/>
          <w:szCs w:val="20"/>
          <w:lang w:val="en-GB"/>
        </w:rPr>
        <w:t>Table O</w:t>
      </w:r>
      <w:r>
        <w:rPr>
          <w:rFonts w:ascii="Garamond" w:hAnsi="Garamond"/>
          <w:b/>
          <w:bCs/>
          <w:sz w:val="20"/>
          <w:szCs w:val="20"/>
          <w:lang w:val="en-GB"/>
        </w:rPr>
        <w:t>R</w:t>
      </w:r>
      <w:r w:rsidRPr="000A0B87">
        <w:rPr>
          <w:rFonts w:ascii="Garamond" w:hAnsi="Garamond"/>
          <w:b/>
          <w:bCs/>
          <w:sz w:val="20"/>
          <w:szCs w:val="20"/>
          <w:lang w:val="en-GB"/>
        </w:rPr>
        <w:t>.</w:t>
      </w:r>
      <w:r>
        <w:rPr>
          <w:rFonts w:ascii="Garamond" w:hAnsi="Garamond"/>
          <w:b/>
          <w:bCs/>
          <w:sz w:val="20"/>
          <w:szCs w:val="20"/>
          <w:lang w:val="en-GB"/>
        </w:rPr>
        <w:t>2</w:t>
      </w:r>
      <w:r w:rsidRPr="000A0B87">
        <w:rPr>
          <w:rFonts w:ascii="Garamond" w:hAnsi="Garamond"/>
          <w:b/>
          <w:bCs/>
          <w:sz w:val="20"/>
          <w:szCs w:val="20"/>
          <w:lang w:val="en-GB"/>
        </w:rPr>
        <w:t xml:space="preserve"> Tertiary enrolment ratio</w:t>
      </w:r>
      <w:r>
        <w:rPr>
          <w:rFonts w:ascii="Garamond" w:hAnsi="Garamond"/>
          <w:b/>
          <w:bCs/>
          <w:sz w:val="20"/>
          <w:szCs w:val="20"/>
          <w:lang w:val="en-GB"/>
        </w:rPr>
        <w:t xml:space="preserve"> (%)</w:t>
      </w:r>
      <w:r w:rsidRPr="000A0B87">
        <w:rPr>
          <w:rFonts w:ascii="Garamond" w:hAnsi="Garamond"/>
          <w:b/>
          <w:bCs/>
          <w:sz w:val="20"/>
          <w:szCs w:val="20"/>
          <w:lang w:val="en-GB"/>
        </w:rPr>
        <w:t>, 2006-2021. Own calculation based on UIS enrolment data and OECD population data</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EB43A0" w:rsidRPr="000A0B87" w14:paraId="24ABD9AA" w14:textId="77777777" w:rsidTr="00921FEE">
        <w:tc>
          <w:tcPr>
            <w:tcW w:w="2508" w:type="dxa"/>
            <w:tcBorders>
              <w:top w:val="single" w:sz="4" w:space="0" w:color="auto"/>
              <w:left w:val="nil"/>
              <w:bottom w:val="single" w:sz="10" w:space="0" w:color="auto"/>
              <w:right w:val="nil"/>
            </w:tcBorders>
          </w:tcPr>
          <w:p w14:paraId="149840C8"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Tertiary enrolment ratio</w:t>
            </w:r>
          </w:p>
        </w:tc>
        <w:tc>
          <w:tcPr>
            <w:tcW w:w="800" w:type="dxa"/>
            <w:tcBorders>
              <w:top w:val="single" w:sz="4" w:space="0" w:color="auto"/>
              <w:left w:val="nil"/>
              <w:bottom w:val="single" w:sz="10" w:space="0" w:color="auto"/>
              <w:right w:val="nil"/>
            </w:tcBorders>
          </w:tcPr>
          <w:p w14:paraId="2FF9EC9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Obs</w:t>
            </w:r>
          </w:p>
        </w:tc>
        <w:tc>
          <w:tcPr>
            <w:tcW w:w="1400" w:type="dxa"/>
            <w:tcBorders>
              <w:top w:val="single" w:sz="4" w:space="0" w:color="auto"/>
              <w:left w:val="nil"/>
              <w:bottom w:val="single" w:sz="10" w:space="0" w:color="auto"/>
              <w:right w:val="nil"/>
            </w:tcBorders>
          </w:tcPr>
          <w:p w14:paraId="21F5E54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Mean</w:t>
            </w:r>
          </w:p>
        </w:tc>
        <w:tc>
          <w:tcPr>
            <w:tcW w:w="1400" w:type="dxa"/>
            <w:tcBorders>
              <w:top w:val="single" w:sz="4" w:space="0" w:color="auto"/>
              <w:left w:val="nil"/>
              <w:bottom w:val="single" w:sz="10" w:space="0" w:color="auto"/>
              <w:right w:val="nil"/>
            </w:tcBorders>
          </w:tcPr>
          <w:p w14:paraId="716888E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Std. Dev.</w:t>
            </w:r>
          </w:p>
        </w:tc>
        <w:tc>
          <w:tcPr>
            <w:tcW w:w="1400" w:type="dxa"/>
            <w:tcBorders>
              <w:top w:val="single" w:sz="4" w:space="0" w:color="auto"/>
              <w:left w:val="nil"/>
              <w:bottom w:val="single" w:sz="10" w:space="0" w:color="auto"/>
              <w:right w:val="nil"/>
            </w:tcBorders>
          </w:tcPr>
          <w:p w14:paraId="5259497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Min</w:t>
            </w:r>
          </w:p>
        </w:tc>
        <w:tc>
          <w:tcPr>
            <w:tcW w:w="1400" w:type="dxa"/>
            <w:tcBorders>
              <w:top w:val="single" w:sz="4" w:space="0" w:color="auto"/>
              <w:left w:val="nil"/>
              <w:bottom w:val="single" w:sz="10" w:space="0" w:color="auto"/>
              <w:right w:val="nil"/>
            </w:tcBorders>
          </w:tcPr>
          <w:p w14:paraId="4664D0D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Max</w:t>
            </w:r>
          </w:p>
        </w:tc>
      </w:tr>
      <w:tr w:rsidR="00EB43A0" w:rsidRPr="000A0B87" w14:paraId="1E6694CE" w14:textId="77777777" w:rsidTr="00921FEE">
        <w:tc>
          <w:tcPr>
            <w:tcW w:w="2508" w:type="dxa"/>
            <w:tcBorders>
              <w:top w:val="nil"/>
              <w:left w:val="nil"/>
              <w:bottom w:val="nil"/>
              <w:right w:val="nil"/>
            </w:tcBorders>
          </w:tcPr>
          <w:p w14:paraId="6FCA0C4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2006</w:t>
            </w:r>
          </w:p>
        </w:tc>
        <w:tc>
          <w:tcPr>
            <w:tcW w:w="800" w:type="dxa"/>
            <w:tcBorders>
              <w:top w:val="nil"/>
              <w:left w:val="nil"/>
              <w:bottom w:val="nil"/>
              <w:right w:val="nil"/>
            </w:tcBorders>
          </w:tcPr>
          <w:p w14:paraId="3545B82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4EB6075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30.867</w:t>
            </w:r>
          </w:p>
        </w:tc>
        <w:tc>
          <w:tcPr>
            <w:tcW w:w="1400" w:type="dxa"/>
            <w:tcBorders>
              <w:top w:val="nil"/>
              <w:left w:val="nil"/>
              <w:bottom w:val="nil"/>
              <w:right w:val="nil"/>
            </w:tcBorders>
          </w:tcPr>
          <w:p w14:paraId="384421F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9.531</w:t>
            </w:r>
          </w:p>
        </w:tc>
        <w:tc>
          <w:tcPr>
            <w:tcW w:w="1400" w:type="dxa"/>
            <w:tcBorders>
              <w:top w:val="nil"/>
              <w:left w:val="nil"/>
              <w:bottom w:val="nil"/>
              <w:right w:val="nil"/>
            </w:tcBorders>
          </w:tcPr>
          <w:p w14:paraId="28D7012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12.895</w:t>
            </w:r>
          </w:p>
        </w:tc>
        <w:tc>
          <w:tcPr>
            <w:tcW w:w="1400" w:type="dxa"/>
            <w:tcBorders>
              <w:top w:val="nil"/>
              <w:left w:val="nil"/>
              <w:bottom w:val="nil"/>
              <w:right w:val="nil"/>
            </w:tcBorders>
          </w:tcPr>
          <w:p w14:paraId="5B531C0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57.605</w:t>
            </w:r>
          </w:p>
        </w:tc>
      </w:tr>
      <w:tr w:rsidR="00EB43A0" w:rsidRPr="000A0B87" w14:paraId="1F70D253" w14:textId="77777777" w:rsidTr="00921FEE">
        <w:tc>
          <w:tcPr>
            <w:tcW w:w="2508" w:type="dxa"/>
            <w:tcBorders>
              <w:top w:val="nil"/>
              <w:left w:val="nil"/>
              <w:bottom w:val="nil"/>
              <w:right w:val="nil"/>
            </w:tcBorders>
          </w:tcPr>
          <w:p w14:paraId="6067640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2011</w:t>
            </w:r>
          </w:p>
        </w:tc>
        <w:tc>
          <w:tcPr>
            <w:tcW w:w="800" w:type="dxa"/>
            <w:tcBorders>
              <w:top w:val="nil"/>
              <w:left w:val="nil"/>
              <w:bottom w:val="nil"/>
              <w:right w:val="nil"/>
            </w:tcBorders>
          </w:tcPr>
          <w:p w14:paraId="7975151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1BB613A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33.004</w:t>
            </w:r>
          </w:p>
        </w:tc>
        <w:tc>
          <w:tcPr>
            <w:tcW w:w="1400" w:type="dxa"/>
            <w:tcBorders>
              <w:top w:val="nil"/>
              <w:left w:val="nil"/>
              <w:bottom w:val="nil"/>
              <w:right w:val="nil"/>
            </w:tcBorders>
          </w:tcPr>
          <w:p w14:paraId="331DC04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8.242</w:t>
            </w:r>
          </w:p>
        </w:tc>
        <w:tc>
          <w:tcPr>
            <w:tcW w:w="1400" w:type="dxa"/>
            <w:tcBorders>
              <w:top w:val="nil"/>
              <w:left w:val="nil"/>
              <w:bottom w:val="nil"/>
              <w:right w:val="nil"/>
            </w:tcBorders>
          </w:tcPr>
          <w:p w14:paraId="1765EA8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16.001</w:t>
            </w:r>
          </w:p>
        </w:tc>
        <w:tc>
          <w:tcPr>
            <w:tcW w:w="1400" w:type="dxa"/>
            <w:tcBorders>
              <w:top w:val="nil"/>
              <w:left w:val="nil"/>
              <w:bottom w:val="nil"/>
              <w:right w:val="nil"/>
            </w:tcBorders>
          </w:tcPr>
          <w:p w14:paraId="3BE370F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54.156</w:t>
            </w:r>
          </w:p>
        </w:tc>
      </w:tr>
      <w:tr w:rsidR="00EB43A0" w:rsidRPr="000A0B87" w14:paraId="69EEB16A" w14:textId="77777777" w:rsidTr="00921FEE">
        <w:tc>
          <w:tcPr>
            <w:tcW w:w="2508" w:type="dxa"/>
            <w:tcBorders>
              <w:top w:val="nil"/>
              <w:left w:val="nil"/>
              <w:bottom w:val="nil"/>
              <w:right w:val="nil"/>
            </w:tcBorders>
          </w:tcPr>
          <w:p w14:paraId="46418EE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2016</w:t>
            </w:r>
          </w:p>
        </w:tc>
        <w:tc>
          <w:tcPr>
            <w:tcW w:w="800" w:type="dxa"/>
            <w:tcBorders>
              <w:top w:val="nil"/>
              <w:left w:val="nil"/>
              <w:bottom w:val="nil"/>
              <w:right w:val="nil"/>
            </w:tcBorders>
          </w:tcPr>
          <w:p w14:paraId="5C13D1B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7F6224B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31.958</w:t>
            </w:r>
          </w:p>
        </w:tc>
        <w:tc>
          <w:tcPr>
            <w:tcW w:w="1400" w:type="dxa"/>
            <w:tcBorders>
              <w:top w:val="nil"/>
              <w:left w:val="nil"/>
              <w:bottom w:val="nil"/>
              <w:right w:val="nil"/>
            </w:tcBorders>
          </w:tcPr>
          <w:p w14:paraId="732841C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8.599</w:t>
            </w:r>
          </w:p>
        </w:tc>
        <w:tc>
          <w:tcPr>
            <w:tcW w:w="1400" w:type="dxa"/>
            <w:tcBorders>
              <w:top w:val="nil"/>
              <w:left w:val="nil"/>
              <w:bottom w:val="nil"/>
              <w:right w:val="nil"/>
            </w:tcBorders>
          </w:tcPr>
          <w:p w14:paraId="6A701DF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18.321</w:t>
            </w:r>
          </w:p>
        </w:tc>
        <w:tc>
          <w:tcPr>
            <w:tcW w:w="1400" w:type="dxa"/>
            <w:tcBorders>
              <w:top w:val="nil"/>
              <w:left w:val="nil"/>
              <w:bottom w:val="nil"/>
              <w:right w:val="nil"/>
            </w:tcBorders>
          </w:tcPr>
          <w:p w14:paraId="6A3AB99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59.904</w:t>
            </w:r>
          </w:p>
        </w:tc>
      </w:tr>
      <w:tr w:rsidR="00EB43A0" w:rsidRPr="000A0B87" w14:paraId="4C250E3D" w14:textId="77777777" w:rsidTr="00921FEE">
        <w:tc>
          <w:tcPr>
            <w:tcW w:w="2508" w:type="dxa"/>
            <w:tcBorders>
              <w:top w:val="nil"/>
              <w:left w:val="nil"/>
              <w:bottom w:val="nil"/>
              <w:right w:val="nil"/>
            </w:tcBorders>
          </w:tcPr>
          <w:p w14:paraId="05192E5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2021</w:t>
            </w:r>
          </w:p>
        </w:tc>
        <w:tc>
          <w:tcPr>
            <w:tcW w:w="800" w:type="dxa"/>
            <w:tcBorders>
              <w:top w:val="nil"/>
              <w:left w:val="nil"/>
              <w:bottom w:val="nil"/>
              <w:right w:val="nil"/>
            </w:tcBorders>
          </w:tcPr>
          <w:p w14:paraId="32146D1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54AAEEB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34.553</w:t>
            </w:r>
          </w:p>
        </w:tc>
        <w:tc>
          <w:tcPr>
            <w:tcW w:w="1400" w:type="dxa"/>
            <w:tcBorders>
              <w:top w:val="nil"/>
              <w:left w:val="nil"/>
              <w:bottom w:val="nil"/>
              <w:right w:val="nil"/>
            </w:tcBorders>
          </w:tcPr>
          <w:p w14:paraId="3C95B68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10.25</w:t>
            </w:r>
          </w:p>
        </w:tc>
        <w:tc>
          <w:tcPr>
            <w:tcW w:w="1400" w:type="dxa"/>
            <w:tcBorders>
              <w:top w:val="nil"/>
              <w:left w:val="nil"/>
              <w:bottom w:val="nil"/>
              <w:right w:val="nil"/>
            </w:tcBorders>
          </w:tcPr>
          <w:p w14:paraId="568757A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20.285</w:t>
            </w:r>
          </w:p>
        </w:tc>
        <w:tc>
          <w:tcPr>
            <w:tcW w:w="1400" w:type="dxa"/>
            <w:tcBorders>
              <w:top w:val="nil"/>
              <w:left w:val="nil"/>
              <w:bottom w:val="nil"/>
              <w:right w:val="nil"/>
            </w:tcBorders>
          </w:tcPr>
          <w:p w14:paraId="213A142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75.595</w:t>
            </w:r>
          </w:p>
        </w:tc>
      </w:tr>
      <w:tr w:rsidR="00EB43A0" w:rsidRPr="000A0B87" w14:paraId="4CE12D86" w14:textId="77777777" w:rsidTr="00921FEE">
        <w:tc>
          <w:tcPr>
            <w:tcW w:w="8908" w:type="dxa"/>
            <w:gridSpan w:val="6"/>
            <w:tcBorders>
              <w:top w:val="single" w:sz="6" w:space="0" w:color="auto"/>
              <w:left w:val="nil"/>
              <w:bottom w:val="nil"/>
              <w:right w:val="nil"/>
            </w:tcBorders>
          </w:tcPr>
          <w:p w14:paraId="44A018B8"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p>
        </w:tc>
      </w:tr>
    </w:tbl>
    <w:p w14:paraId="759C4FFC" w14:textId="77777777" w:rsidR="00EB43A0" w:rsidRPr="000A0B87" w:rsidRDefault="00EB43A0" w:rsidP="00EB43A0">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b/>
          <w:bCs/>
          <w:sz w:val="20"/>
          <w:szCs w:val="20"/>
          <w:lang w:val="en-GB"/>
        </w:rPr>
        <w:br/>
        <w:t>Table O</w:t>
      </w:r>
      <w:r>
        <w:rPr>
          <w:rFonts w:ascii="Garamond" w:hAnsi="Garamond"/>
          <w:b/>
          <w:bCs/>
          <w:sz w:val="20"/>
          <w:szCs w:val="20"/>
          <w:lang w:val="en-GB"/>
        </w:rPr>
        <w:t>R</w:t>
      </w:r>
      <w:r w:rsidRPr="000A0B87">
        <w:rPr>
          <w:rFonts w:ascii="Garamond" w:hAnsi="Garamond"/>
          <w:b/>
          <w:bCs/>
          <w:sz w:val="20"/>
          <w:szCs w:val="20"/>
          <w:lang w:val="en-GB"/>
        </w:rPr>
        <w:t>.</w:t>
      </w:r>
      <w:r>
        <w:rPr>
          <w:rFonts w:ascii="Garamond" w:hAnsi="Garamond"/>
          <w:b/>
          <w:bCs/>
          <w:sz w:val="20"/>
          <w:szCs w:val="20"/>
          <w:lang w:val="en-GB"/>
        </w:rPr>
        <w:t>3</w:t>
      </w:r>
      <w:r w:rsidRPr="000A0B87">
        <w:rPr>
          <w:rFonts w:ascii="Garamond" w:hAnsi="Garamond"/>
          <w:b/>
          <w:bCs/>
          <w:sz w:val="20"/>
          <w:szCs w:val="20"/>
          <w:lang w:val="en-GB"/>
        </w:rPr>
        <w:t xml:space="preserve"> Tertiary enrolment ratio</w:t>
      </w:r>
      <w:r>
        <w:rPr>
          <w:rFonts w:ascii="Garamond" w:hAnsi="Garamond"/>
          <w:b/>
          <w:bCs/>
          <w:sz w:val="20"/>
          <w:szCs w:val="20"/>
          <w:lang w:val="en-GB"/>
        </w:rPr>
        <w:t xml:space="preserve"> (%)</w:t>
      </w:r>
      <w:r w:rsidRPr="000A0B87">
        <w:rPr>
          <w:rFonts w:ascii="Garamond" w:hAnsi="Garamond"/>
          <w:b/>
          <w:bCs/>
          <w:sz w:val="20"/>
          <w:szCs w:val="20"/>
          <w:lang w:val="en-GB"/>
        </w:rPr>
        <w:t xml:space="preserve"> – changes over time (2005-2020). Own calculation based on UIS enrolment data and OECD population data </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EB43A0" w:rsidRPr="000A0B87" w14:paraId="33A5AD89" w14:textId="77777777" w:rsidTr="00921FEE">
        <w:tc>
          <w:tcPr>
            <w:tcW w:w="2508" w:type="dxa"/>
            <w:tcBorders>
              <w:top w:val="single" w:sz="4" w:space="0" w:color="auto"/>
              <w:left w:val="nil"/>
              <w:bottom w:val="single" w:sz="10" w:space="0" w:color="auto"/>
              <w:right w:val="nil"/>
            </w:tcBorders>
          </w:tcPr>
          <w:p w14:paraId="08B55C61"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Tertiary enrolment ratio</w:t>
            </w:r>
          </w:p>
        </w:tc>
        <w:tc>
          <w:tcPr>
            <w:tcW w:w="800" w:type="dxa"/>
            <w:tcBorders>
              <w:top w:val="single" w:sz="4" w:space="0" w:color="auto"/>
              <w:left w:val="nil"/>
              <w:bottom w:val="single" w:sz="10" w:space="0" w:color="auto"/>
              <w:right w:val="nil"/>
            </w:tcBorders>
          </w:tcPr>
          <w:p w14:paraId="30A5A30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Obs</w:t>
            </w:r>
          </w:p>
        </w:tc>
        <w:tc>
          <w:tcPr>
            <w:tcW w:w="1400" w:type="dxa"/>
            <w:tcBorders>
              <w:top w:val="single" w:sz="4" w:space="0" w:color="auto"/>
              <w:left w:val="nil"/>
              <w:bottom w:val="single" w:sz="10" w:space="0" w:color="auto"/>
              <w:right w:val="nil"/>
            </w:tcBorders>
          </w:tcPr>
          <w:p w14:paraId="5D6BCFF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Mean</w:t>
            </w:r>
          </w:p>
        </w:tc>
        <w:tc>
          <w:tcPr>
            <w:tcW w:w="1400" w:type="dxa"/>
            <w:tcBorders>
              <w:top w:val="single" w:sz="4" w:space="0" w:color="auto"/>
              <w:left w:val="nil"/>
              <w:bottom w:val="single" w:sz="10" w:space="0" w:color="auto"/>
              <w:right w:val="nil"/>
            </w:tcBorders>
          </w:tcPr>
          <w:p w14:paraId="0C16AFD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Std. Dev.</w:t>
            </w:r>
          </w:p>
        </w:tc>
        <w:tc>
          <w:tcPr>
            <w:tcW w:w="1400" w:type="dxa"/>
            <w:tcBorders>
              <w:top w:val="single" w:sz="4" w:space="0" w:color="auto"/>
              <w:left w:val="nil"/>
              <w:bottom w:val="single" w:sz="10" w:space="0" w:color="auto"/>
              <w:right w:val="nil"/>
            </w:tcBorders>
          </w:tcPr>
          <w:p w14:paraId="5D65AFC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Min</w:t>
            </w:r>
          </w:p>
        </w:tc>
        <w:tc>
          <w:tcPr>
            <w:tcW w:w="1400" w:type="dxa"/>
            <w:tcBorders>
              <w:top w:val="single" w:sz="4" w:space="0" w:color="auto"/>
              <w:left w:val="nil"/>
              <w:bottom w:val="single" w:sz="10" w:space="0" w:color="auto"/>
              <w:right w:val="nil"/>
            </w:tcBorders>
          </w:tcPr>
          <w:p w14:paraId="2114BD0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Max</w:t>
            </w:r>
          </w:p>
        </w:tc>
      </w:tr>
      <w:tr w:rsidR="00EB43A0" w:rsidRPr="000A0B87" w14:paraId="0487D7C8" w14:textId="77777777" w:rsidTr="00921FEE">
        <w:tc>
          <w:tcPr>
            <w:tcW w:w="2508" w:type="dxa"/>
            <w:tcBorders>
              <w:top w:val="nil"/>
              <w:left w:val="nil"/>
              <w:bottom w:val="nil"/>
              <w:right w:val="nil"/>
            </w:tcBorders>
          </w:tcPr>
          <w:p w14:paraId="75FF266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Δ2006-2021</w:t>
            </w:r>
          </w:p>
        </w:tc>
        <w:tc>
          <w:tcPr>
            <w:tcW w:w="800" w:type="dxa"/>
            <w:tcBorders>
              <w:top w:val="nil"/>
              <w:left w:val="nil"/>
              <w:bottom w:val="nil"/>
              <w:right w:val="nil"/>
            </w:tcBorders>
          </w:tcPr>
          <w:p w14:paraId="5870274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619F0EE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3.686</w:t>
            </w:r>
          </w:p>
        </w:tc>
        <w:tc>
          <w:tcPr>
            <w:tcW w:w="1400" w:type="dxa"/>
            <w:tcBorders>
              <w:top w:val="nil"/>
              <w:left w:val="nil"/>
              <w:bottom w:val="nil"/>
              <w:right w:val="nil"/>
            </w:tcBorders>
          </w:tcPr>
          <w:p w14:paraId="2E0AA9E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9.132</w:t>
            </w:r>
          </w:p>
        </w:tc>
        <w:tc>
          <w:tcPr>
            <w:tcW w:w="1400" w:type="dxa"/>
            <w:tcBorders>
              <w:top w:val="nil"/>
              <w:left w:val="nil"/>
              <w:bottom w:val="nil"/>
              <w:right w:val="nil"/>
            </w:tcBorders>
          </w:tcPr>
          <w:p w14:paraId="6A24C66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-12.784</w:t>
            </w:r>
          </w:p>
        </w:tc>
        <w:tc>
          <w:tcPr>
            <w:tcW w:w="1400" w:type="dxa"/>
            <w:tcBorders>
              <w:top w:val="nil"/>
              <w:left w:val="nil"/>
              <w:bottom w:val="nil"/>
              <w:right w:val="nil"/>
            </w:tcBorders>
          </w:tcPr>
          <w:p w14:paraId="1FDD36B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35.616</w:t>
            </w:r>
          </w:p>
        </w:tc>
      </w:tr>
      <w:tr w:rsidR="00EB43A0" w:rsidRPr="000A0B87" w14:paraId="67310979" w14:textId="77777777" w:rsidTr="00921FEE">
        <w:tc>
          <w:tcPr>
            <w:tcW w:w="2508" w:type="dxa"/>
            <w:tcBorders>
              <w:top w:val="nil"/>
              <w:left w:val="nil"/>
              <w:bottom w:val="nil"/>
              <w:right w:val="nil"/>
            </w:tcBorders>
          </w:tcPr>
          <w:p w14:paraId="6A6DBEF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Δ2006-2011</w:t>
            </w:r>
          </w:p>
        </w:tc>
        <w:tc>
          <w:tcPr>
            <w:tcW w:w="800" w:type="dxa"/>
            <w:tcBorders>
              <w:top w:val="nil"/>
              <w:left w:val="nil"/>
              <w:bottom w:val="nil"/>
              <w:right w:val="nil"/>
            </w:tcBorders>
          </w:tcPr>
          <w:p w14:paraId="0F43E32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3A6CEA7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2.136</w:t>
            </w:r>
          </w:p>
        </w:tc>
        <w:tc>
          <w:tcPr>
            <w:tcW w:w="1400" w:type="dxa"/>
            <w:tcBorders>
              <w:top w:val="nil"/>
              <w:left w:val="nil"/>
              <w:bottom w:val="nil"/>
              <w:right w:val="nil"/>
            </w:tcBorders>
          </w:tcPr>
          <w:p w14:paraId="7F6C892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3.606</w:t>
            </w:r>
          </w:p>
        </w:tc>
        <w:tc>
          <w:tcPr>
            <w:tcW w:w="1400" w:type="dxa"/>
            <w:tcBorders>
              <w:top w:val="nil"/>
              <w:left w:val="nil"/>
              <w:bottom w:val="nil"/>
              <w:right w:val="nil"/>
            </w:tcBorders>
          </w:tcPr>
          <w:p w14:paraId="01D6DC3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-6.413</w:t>
            </w:r>
          </w:p>
        </w:tc>
        <w:tc>
          <w:tcPr>
            <w:tcW w:w="1400" w:type="dxa"/>
            <w:tcBorders>
              <w:top w:val="nil"/>
              <w:left w:val="nil"/>
              <w:bottom w:val="nil"/>
              <w:right w:val="nil"/>
            </w:tcBorders>
          </w:tcPr>
          <w:p w14:paraId="2ACBCAD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8.652</w:t>
            </w:r>
          </w:p>
        </w:tc>
      </w:tr>
      <w:tr w:rsidR="00EB43A0" w:rsidRPr="000A0B87" w14:paraId="77755CF3" w14:textId="77777777" w:rsidTr="00921FEE">
        <w:tc>
          <w:tcPr>
            <w:tcW w:w="2508" w:type="dxa"/>
            <w:tcBorders>
              <w:top w:val="nil"/>
              <w:left w:val="nil"/>
              <w:bottom w:val="nil"/>
              <w:right w:val="nil"/>
            </w:tcBorders>
          </w:tcPr>
          <w:p w14:paraId="5F454B5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Δ2011-2016</w:t>
            </w:r>
          </w:p>
        </w:tc>
        <w:tc>
          <w:tcPr>
            <w:tcW w:w="800" w:type="dxa"/>
            <w:tcBorders>
              <w:top w:val="nil"/>
              <w:left w:val="nil"/>
              <w:bottom w:val="nil"/>
              <w:right w:val="nil"/>
            </w:tcBorders>
          </w:tcPr>
          <w:p w14:paraId="0068F18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55075BA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-1.046</w:t>
            </w:r>
          </w:p>
        </w:tc>
        <w:tc>
          <w:tcPr>
            <w:tcW w:w="1400" w:type="dxa"/>
            <w:tcBorders>
              <w:top w:val="nil"/>
              <w:left w:val="nil"/>
              <w:bottom w:val="nil"/>
              <w:right w:val="nil"/>
            </w:tcBorders>
          </w:tcPr>
          <w:p w14:paraId="16530C2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5.508</w:t>
            </w:r>
          </w:p>
        </w:tc>
        <w:tc>
          <w:tcPr>
            <w:tcW w:w="1400" w:type="dxa"/>
            <w:tcBorders>
              <w:top w:val="nil"/>
              <w:left w:val="nil"/>
              <w:bottom w:val="nil"/>
              <w:right w:val="nil"/>
            </w:tcBorders>
          </w:tcPr>
          <w:p w14:paraId="0B06F6A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-11.49</w:t>
            </w:r>
          </w:p>
        </w:tc>
        <w:tc>
          <w:tcPr>
            <w:tcW w:w="1400" w:type="dxa"/>
            <w:tcBorders>
              <w:top w:val="nil"/>
              <w:left w:val="nil"/>
              <w:bottom w:val="nil"/>
              <w:right w:val="nil"/>
            </w:tcBorders>
          </w:tcPr>
          <w:p w14:paraId="253182D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14.3</w:t>
            </w:r>
          </w:p>
        </w:tc>
      </w:tr>
      <w:tr w:rsidR="00EB43A0" w:rsidRPr="000A0B87" w14:paraId="71EC8613" w14:textId="77777777" w:rsidTr="00921FEE">
        <w:tc>
          <w:tcPr>
            <w:tcW w:w="2508" w:type="dxa"/>
            <w:tcBorders>
              <w:top w:val="nil"/>
              <w:left w:val="nil"/>
              <w:bottom w:val="nil"/>
              <w:right w:val="nil"/>
            </w:tcBorders>
          </w:tcPr>
          <w:p w14:paraId="6C7BD73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Δ2016-2021</w:t>
            </w:r>
          </w:p>
        </w:tc>
        <w:tc>
          <w:tcPr>
            <w:tcW w:w="800" w:type="dxa"/>
            <w:tcBorders>
              <w:top w:val="nil"/>
              <w:left w:val="nil"/>
              <w:bottom w:val="nil"/>
              <w:right w:val="nil"/>
            </w:tcBorders>
          </w:tcPr>
          <w:p w14:paraId="65FCBD2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2BF0C54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2.596</w:t>
            </w:r>
          </w:p>
        </w:tc>
        <w:tc>
          <w:tcPr>
            <w:tcW w:w="1400" w:type="dxa"/>
            <w:tcBorders>
              <w:top w:val="nil"/>
              <w:left w:val="nil"/>
              <w:bottom w:val="nil"/>
              <w:right w:val="nil"/>
            </w:tcBorders>
          </w:tcPr>
          <w:p w14:paraId="4ECDEFC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3.733</w:t>
            </w:r>
          </w:p>
        </w:tc>
        <w:tc>
          <w:tcPr>
            <w:tcW w:w="1400" w:type="dxa"/>
            <w:tcBorders>
              <w:top w:val="nil"/>
              <w:left w:val="nil"/>
              <w:bottom w:val="nil"/>
              <w:right w:val="nil"/>
            </w:tcBorders>
          </w:tcPr>
          <w:p w14:paraId="4D7509E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-5.813</w:t>
            </w:r>
          </w:p>
        </w:tc>
        <w:tc>
          <w:tcPr>
            <w:tcW w:w="1400" w:type="dxa"/>
            <w:tcBorders>
              <w:top w:val="nil"/>
              <w:left w:val="nil"/>
              <w:bottom w:val="nil"/>
              <w:right w:val="nil"/>
            </w:tcBorders>
          </w:tcPr>
          <w:p w14:paraId="1E099D8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15.691</w:t>
            </w:r>
          </w:p>
        </w:tc>
      </w:tr>
      <w:tr w:rsidR="00EB43A0" w:rsidRPr="000A0B87" w14:paraId="546CD6D6" w14:textId="77777777" w:rsidTr="00921FEE">
        <w:tc>
          <w:tcPr>
            <w:tcW w:w="8908" w:type="dxa"/>
            <w:gridSpan w:val="6"/>
            <w:tcBorders>
              <w:top w:val="single" w:sz="6" w:space="0" w:color="auto"/>
              <w:left w:val="nil"/>
              <w:bottom w:val="nil"/>
              <w:right w:val="nil"/>
            </w:tcBorders>
          </w:tcPr>
          <w:p w14:paraId="19E07ECA"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p>
        </w:tc>
      </w:tr>
    </w:tbl>
    <w:p w14:paraId="6E7AA635"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7247309E" w14:textId="77777777" w:rsidR="00EB43A0" w:rsidRPr="000A0B87" w:rsidRDefault="00EB43A0" w:rsidP="00EB43A0">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b/>
          <w:bCs/>
          <w:sz w:val="20"/>
          <w:szCs w:val="20"/>
          <w:lang w:val="en-GB"/>
        </w:rPr>
        <w:t>Table O</w:t>
      </w:r>
      <w:r>
        <w:rPr>
          <w:rFonts w:ascii="Garamond" w:hAnsi="Garamond"/>
          <w:b/>
          <w:bCs/>
          <w:sz w:val="20"/>
          <w:szCs w:val="20"/>
          <w:lang w:val="en-GB"/>
        </w:rPr>
        <w:t>R</w:t>
      </w:r>
      <w:r w:rsidRPr="000A0B87">
        <w:rPr>
          <w:rFonts w:ascii="Garamond" w:hAnsi="Garamond"/>
          <w:b/>
          <w:bCs/>
          <w:sz w:val="20"/>
          <w:szCs w:val="20"/>
          <w:lang w:val="en-GB"/>
        </w:rPr>
        <w:t>.</w:t>
      </w:r>
      <w:r>
        <w:rPr>
          <w:rFonts w:ascii="Garamond" w:hAnsi="Garamond"/>
          <w:b/>
          <w:bCs/>
          <w:sz w:val="20"/>
          <w:szCs w:val="20"/>
          <w:lang w:val="en-GB"/>
        </w:rPr>
        <w:t>4</w:t>
      </w:r>
      <w:r w:rsidRPr="000A0B87">
        <w:rPr>
          <w:rFonts w:ascii="Garamond" w:hAnsi="Garamond"/>
          <w:b/>
          <w:bCs/>
          <w:sz w:val="20"/>
          <w:szCs w:val="20"/>
          <w:lang w:val="en-GB"/>
        </w:rPr>
        <w:t xml:space="preserve"> Student funding policy – generosity and decommodification, 2005-2020, % of APW. Own calculation based on SSFD </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EB43A0" w:rsidRPr="000A0B87" w14:paraId="4B4E0A90" w14:textId="77777777" w:rsidTr="00921FEE">
        <w:tc>
          <w:tcPr>
            <w:tcW w:w="2508" w:type="dxa"/>
            <w:tcBorders>
              <w:top w:val="single" w:sz="4" w:space="0" w:color="auto"/>
              <w:left w:val="nil"/>
              <w:bottom w:val="single" w:sz="10" w:space="0" w:color="auto"/>
              <w:right w:val="nil"/>
            </w:tcBorders>
          </w:tcPr>
          <w:p w14:paraId="302116DC"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 xml:space="preserve"> Variable</w:t>
            </w:r>
          </w:p>
        </w:tc>
        <w:tc>
          <w:tcPr>
            <w:tcW w:w="800" w:type="dxa"/>
            <w:tcBorders>
              <w:top w:val="single" w:sz="4" w:space="0" w:color="auto"/>
              <w:left w:val="nil"/>
              <w:bottom w:val="single" w:sz="10" w:space="0" w:color="auto"/>
              <w:right w:val="nil"/>
            </w:tcBorders>
          </w:tcPr>
          <w:p w14:paraId="0076BA5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Obs</w:t>
            </w:r>
          </w:p>
        </w:tc>
        <w:tc>
          <w:tcPr>
            <w:tcW w:w="1400" w:type="dxa"/>
            <w:tcBorders>
              <w:top w:val="single" w:sz="4" w:space="0" w:color="auto"/>
              <w:left w:val="nil"/>
              <w:bottom w:val="single" w:sz="10" w:space="0" w:color="auto"/>
              <w:right w:val="nil"/>
            </w:tcBorders>
          </w:tcPr>
          <w:p w14:paraId="65D7227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Mean</w:t>
            </w:r>
          </w:p>
        </w:tc>
        <w:tc>
          <w:tcPr>
            <w:tcW w:w="1400" w:type="dxa"/>
            <w:tcBorders>
              <w:top w:val="single" w:sz="4" w:space="0" w:color="auto"/>
              <w:left w:val="nil"/>
              <w:bottom w:val="single" w:sz="10" w:space="0" w:color="auto"/>
              <w:right w:val="nil"/>
            </w:tcBorders>
          </w:tcPr>
          <w:p w14:paraId="0953574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Std. Dev.</w:t>
            </w:r>
          </w:p>
        </w:tc>
        <w:tc>
          <w:tcPr>
            <w:tcW w:w="1400" w:type="dxa"/>
            <w:tcBorders>
              <w:top w:val="single" w:sz="4" w:space="0" w:color="auto"/>
              <w:left w:val="nil"/>
              <w:bottom w:val="single" w:sz="10" w:space="0" w:color="auto"/>
              <w:right w:val="nil"/>
            </w:tcBorders>
          </w:tcPr>
          <w:p w14:paraId="5D4713E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Min</w:t>
            </w:r>
          </w:p>
        </w:tc>
        <w:tc>
          <w:tcPr>
            <w:tcW w:w="1400" w:type="dxa"/>
            <w:tcBorders>
              <w:top w:val="single" w:sz="4" w:space="0" w:color="auto"/>
              <w:left w:val="nil"/>
              <w:bottom w:val="single" w:sz="10" w:space="0" w:color="auto"/>
              <w:right w:val="nil"/>
            </w:tcBorders>
          </w:tcPr>
          <w:p w14:paraId="0AD2929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Max</w:t>
            </w:r>
          </w:p>
        </w:tc>
      </w:tr>
      <w:tr w:rsidR="00EB43A0" w:rsidRPr="000A0B87" w14:paraId="2F84F55A" w14:textId="77777777" w:rsidTr="00921FEE">
        <w:tc>
          <w:tcPr>
            <w:tcW w:w="2508" w:type="dxa"/>
            <w:tcBorders>
              <w:top w:val="nil"/>
              <w:left w:val="nil"/>
              <w:bottom w:val="nil"/>
              <w:right w:val="nil"/>
            </w:tcBorders>
          </w:tcPr>
          <w:p w14:paraId="0BF80524"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Generosity</w:t>
            </w:r>
          </w:p>
        </w:tc>
        <w:tc>
          <w:tcPr>
            <w:tcW w:w="800" w:type="dxa"/>
            <w:tcBorders>
              <w:top w:val="nil"/>
              <w:left w:val="nil"/>
              <w:bottom w:val="nil"/>
              <w:right w:val="nil"/>
            </w:tcBorders>
          </w:tcPr>
          <w:p w14:paraId="44E9ECD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5D30389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1DF6F68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265D844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6CA921D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r>
      <w:tr w:rsidR="00EB43A0" w:rsidRPr="000A0B87" w14:paraId="4ED5B01C" w14:textId="77777777" w:rsidTr="00921FEE">
        <w:tc>
          <w:tcPr>
            <w:tcW w:w="2508" w:type="dxa"/>
            <w:tcBorders>
              <w:top w:val="nil"/>
              <w:left w:val="nil"/>
              <w:bottom w:val="nil"/>
              <w:right w:val="nil"/>
            </w:tcBorders>
          </w:tcPr>
          <w:p w14:paraId="1AC53E1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2005</w:t>
            </w:r>
          </w:p>
        </w:tc>
        <w:tc>
          <w:tcPr>
            <w:tcW w:w="800" w:type="dxa"/>
            <w:tcBorders>
              <w:top w:val="nil"/>
              <w:left w:val="nil"/>
              <w:bottom w:val="nil"/>
              <w:right w:val="nil"/>
            </w:tcBorders>
          </w:tcPr>
          <w:p w14:paraId="1BEAA06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1318C99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15.349</w:t>
            </w:r>
          </w:p>
        </w:tc>
        <w:tc>
          <w:tcPr>
            <w:tcW w:w="1400" w:type="dxa"/>
            <w:tcBorders>
              <w:top w:val="nil"/>
              <w:left w:val="nil"/>
              <w:bottom w:val="nil"/>
              <w:right w:val="nil"/>
            </w:tcBorders>
          </w:tcPr>
          <w:p w14:paraId="38FB745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14.756</w:t>
            </w:r>
          </w:p>
        </w:tc>
        <w:tc>
          <w:tcPr>
            <w:tcW w:w="1400" w:type="dxa"/>
            <w:tcBorders>
              <w:top w:val="nil"/>
              <w:left w:val="nil"/>
              <w:bottom w:val="nil"/>
              <w:right w:val="nil"/>
            </w:tcBorders>
          </w:tcPr>
          <w:p w14:paraId="21AADB1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-23.174</w:t>
            </w:r>
          </w:p>
        </w:tc>
        <w:tc>
          <w:tcPr>
            <w:tcW w:w="1400" w:type="dxa"/>
            <w:tcBorders>
              <w:top w:val="nil"/>
              <w:left w:val="nil"/>
              <w:bottom w:val="nil"/>
              <w:right w:val="nil"/>
            </w:tcBorders>
          </w:tcPr>
          <w:p w14:paraId="32A3BEA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34.773</w:t>
            </w:r>
          </w:p>
        </w:tc>
      </w:tr>
      <w:tr w:rsidR="00EB43A0" w:rsidRPr="000A0B87" w14:paraId="12170C7A" w14:textId="77777777" w:rsidTr="00921FEE">
        <w:tc>
          <w:tcPr>
            <w:tcW w:w="2508" w:type="dxa"/>
            <w:tcBorders>
              <w:top w:val="nil"/>
              <w:left w:val="nil"/>
              <w:bottom w:val="nil"/>
              <w:right w:val="nil"/>
            </w:tcBorders>
          </w:tcPr>
          <w:p w14:paraId="76D1F8C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2010</w:t>
            </w:r>
          </w:p>
        </w:tc>
        <w:tc>
          <w:tcPr>
            <w:tcW w:w="800" w:type="dxa"/>
            <w:tcBorders>
              <w:top w:val="nil"/>
              <w:left w:val="nil"/>
              <w:bottom w:val="nil"/>
              <w:right w:val="nil"/>
            </w:tcBorders>
          </w:tcPr>
          <w:p w14:paraId="7042365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372AD90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15.262</w:t>
            </w:r>
          </w:p>
        </w:tc>
        <w:tc>
          <w:tcPr>
            <w:tcW w:w="1400" w:type="dxa"/>
            <w:tcBorders>
              <w:top w:val="nil"/>
              <w:left w:val="nil"/>
              <w:bottom w:val="nil"/>
              <w:right w:val="nil"/>
            </w:tcBorders>
          </w:tcPr>
          <w:p w14:paraId="01D3E6E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12.882</w:t>
            </w:r>
          </w:p>
        </w:tc>
        <w:tc>
          <w:tcPr>
            <w:tcW w:w="1400" w:type="dxa"/>
            <w:tcBorders>
              <w:top w:val="nil"/>
              <w:left w:val="nil"/>
              <w:bottom w:val="nil"/>
              <w:right w:val="nil"/>
            </w:tcBorders>
          </w:tcPr>
          <w:p w14:paraId="394D5F0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-17.237</w:t>
            </w:r>
          </w:p>
        </w:tc>
        <w:tc>
          <w:tcPr>
            <w:tcW w:w="1400" w:type="dxa"/>
            <w:tcBorders>
              <w:top w:val="nil"/>
              <w:left w:val="nil"/>
              <w:bottom w:val="nil"/>
              <w:right w:val="nil"/>
            </w:tcBorders>
          </w:tcPr>
          <w:p w14:paraId="6843F4E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37.815</w:t>
            </w:r>
          </w:p>
        </w:tc>
      </w:tr>
      <w:tr w:rsidR="00EB43A0" w:rsidRPr="000A0B87" w14:paraId="19EE45C0" w14:textId="77777777" w:rsidTr="00921FEE">
        <w:tc>
          <w:tcPr>
            <w:tcW w:w="2508" w:type="dxa"/>
            <w:tcBorders>
              <w:top w:val="nil"/>
              <w:left w:val="nil"/>
              <w:bottom w:val="nil"/>
              <w:right w:val="nil"/>
            </w:tcBorders>
          </w:tcPr>
          <w:p w14:paraId="19464D8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2015</w:t>
            </w:r>
          </w:p>
        </w:tc>
        <w:tc>
          <w:tcPr>
            <w:tcW w:w="800" w:type="dxa"/>
            <w:tcBorders>
              <w:top w:val="nil"/>
              <w:left w:val="nil"/>
              <w:bottom w:val="nil"/>
              <w:right w:val="nil"/>
            </w:tcBorders>
          </w:tcPr>
          <w:p w14:paraId="3919308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16666D0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15.056</w:t>
            </w:r>
          </w:p>
        </w:tc>
        <w:tc>
          <w:tcPr>
            <w:tcW w:w="1400" w:type="dxa"/>
            <w:tcBorders>
              <w:top w:val="nil"/>
              <w:left w:val="nil"/>
              <w:bottom w:val="nil"/>
              <w:right w:val="nil"/>
            </w:tcBorders>
          </w:tcPr>
          <w:p w14:paraId="727166C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13.671</w:t>
            </w:r>
          </w:p>
        </w:tc>
        <w:tc>
          <w:tcPr>
            <w:tcW w:w="1400" w:type="dxa"/>
            <w:tcBorders>
              <w:top w:val="nil"/>
              <w:left w:val="nil"/>
              <w:bottom w:val="nil"/>
              <w:right w:val="nil"/>
            </w:tcBorders>
          </w:tcPr>
          <w:p w14:paraId="0381CEB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-15.662</w:t>
            </w:r>
          </w:p>
        </w:tc>
        <w:tc>
          <w:tcPr>
            <w:tcW w:w="1400" w:type="dxa"/>
            <w:tcBorders>
              <w:top w:val="nil"/>
              <w:left w:val="nil"/>
              <w:bottom w:val="nil"/>
              <w:right w:val="nil"/>
            </w:tcBorders>
          </w:tcPr>
          <w:p w14:paraId="25E33ED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40.427</w:t>
            </w:r>
          </w:p>
        </w:tc>
      </w:tr>
      <w:tr w:rsidR="00EB43A0" w:rsidRPr="000A0B87" w14:paraId="303A519D" w14:textId="77777777" w:rsidTr="00921FEE">
        <w:tc>
          <w:tcPr>
            <w:tcW w:w="2508" w:type="dxa"/>
            <w:tcBorders>
              <w:top w:val="nil"/>
              <w:left w:val="nil"/>
              <w:bottom w:val="nil"/>
              <w:right w:val="nil"/>
            </w:tcBorders>
          </w:tcPr>
          <w:p w14:paraId="64F69E7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2020</w:t>
            </w:r>
          </w:p>
        </w:tc>
        <w:tc>
          <w:tcPr>
            <w:tcW w:w="800" w:type="dxa"/>
            <w:tcBorders>
              <w:top w:val="nil"/>
              <w:left w:val="nil"/>
              <w:bottom w:val="nil"/>
              <w:right w:val="nil"/>
            </w:tcBorders>
          </w:tcPr>
          <w:p w14:paraId="6429C1D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30FD94E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14.869</w:t>
            </w:r>
          </w:p>
        </w:tc>
        <w:tc>
          <w:tcPr>
            <w:tcW w:w="1400" w:type="dxa"/>
            <w:tcBorders>
              <w:top w:val="nil"/>
              <w:left w:val="nil"/>
              <w:bottom w:val="nil"/>
              <w:right w:val="nil"/>
            </w:tcBorders>
          </w:tcPr>
          <w:p w14:paraId="0B45D57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12.964</w:t>
            </w:r>
          </w:p>
        </w:tc>
        <w:tc>
          <w:tcPr>
            <w:tcW w:w="1400" w:type="dxa"/>
            <w:tcBorders>
              <w:top w:val="nil"/>
              <w:left w:val="nil"/>
              <w:bottom w:val="nil"/>
              <w:right w:val="nil"/>
            </w:tcBorders>
          </w:tcPr>
          <w:p w14:paraId="111BA3A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-13.142</w:t>
            </w:r>
          </w:p>
        </w:tc>
        <w:tc>
          <w:tcPr>
            <w:tcW w:w="1400" w:type="dxa"/>
            <w:tcBorders>
              <w:top w:val="nil"/>
              <w:left w:val="nil"/>
              <w:bottom w:val="nil"/>
              <w:right w:val="nil"/>
            </w:tcBorders>
          </w:tcPr>
          <w:p w14:paraId="6C63157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37.492</w:t>
            </w:r>
          </w:p>
        </w:tc>
      </w:tr>
      <w:tr w:rsidR="00EB43A0" w:rsidRPr="000A0B87" w14:paraId="46A61E2E" w14:textId="77777777" w:rsidTr="00921FEE">
        <w:tc>
          <w:tcPr>
            <w:tcW w:w="2508" w:type="dxa"/>
            <w:tcBorders>
              <w:top w:val="nil"/>
              <w:left w:val="nil"/>
              <w:bottom w:val="nil"/>
              <w:right w:val="nil"/>
            </w:tcBorders>
          </w:tcPr>
          <w:p w14:paraId="4859CB7A"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Decommodification</w:t>
            </w:r>
          </w:p>
        </w:tc>
        <w:tc>
          <w:tcPr>
            <w:tcW w:w="800" w:type="dxa"/>
            <w:tcBorders>
              <w:top w:val="nil"/>
              <w:left w:val="nil"/>
              <w:bottom w:val="nil"/>
              <w:right w:val="nil"/>
            </w:tcBorders>
          </w:tcPr>
          <w:p w14:paraId="37DFE03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22A8554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2EDB3A7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2B5F96C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0D27B06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r>
      <w:tr w:rsidR="00EB43A0" w:rsidRPr="000A0B87" w14:paraId="192AF17D" w14:textId="77777777" w:rsidTr="00921FEE">
        <w:tc>
          <w:tcPr>
            <w:tcW w:w="2508" w:type="dxa"/>
            <w:tcBorders>
              <w:top w:val="nil"/>
              <w:left w:val="nil"/>
              <w:bottom w:val="nil"/>
              <w:right w:val="nil"/>
            </w:tcBorders>
          </w:tcPr>
          <w:p w14:paraId="6DE0933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2005</w:t>
            </w:r>
          </w:p>
        </w:tc>
        <w:tc>
          <w:tcPr>
            <w:tcW w:w="800" w:type="dxa"/>
            <w:tcBorders>
              <w:top w:val="nil"/>
              <w:left w:val="nil"/>
              <w:bottom w:val="nil"/>
              <w:right w:val="nil"/>
            </w:tcBorders>
          </w:tcPr>
          <w:p w14:paraId="5B7D84C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795B4BE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3.814</w:t>
            </w:r>
          </w:p>
        </w:tc>
        <w:tc>
          <w:tcPr>
            <w:tcW w:w="1400" w:type="dxa"/>
            <w:tcBorders>
              <w:top w:val="nil"/>
              <w:left w:val="nil"/>
              <w:bottom w:val="nil"/>
              <w:right w:val="nil"/>
            </w:tcBorders>
          </w:tcPr>
          <w:p w14:paraId="3E7C1B6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15.085</w:t>
            </w:r>
          </w:p>
        </w:tc>
        <w:tc>
          <w:tcPr>
            <w:tcW w:w="1400" w:type="dxa"/>
            <w:tcBorders>
              <w:top w:val="nil"/>
              <w:left w:val="nil"/>
              <w:bottom w:val="nil"/>
              <w:right w:val="nil"/>
            </w:tcBorders>
          </w:tcPr>
          <w:p w14:paraId="3A33749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-27.999</w:t>
            </w:r>
          </w:p>
        </w:tc>
        <w:tc>
          <w:tcPr>
            <w:tcW w:w="1400" w:type="dxa"/>
            <w:tcBorders>
              <w:top w:val="nil"/>
              <w:left w:val="nil"/>
              <w:bottom w:val="nil"/>
              <w:right w:val="nil"/>
            </w:tcBorders>
          </w:tcPr>
          <w:p w14:paraId="630D881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33.146</w:t>
            </w:r>
          </w:p>
        </w:tc>
      </w:tr>
      <w:tr w:rsidR="00EB43A0" w:rsidRPr="000A0B87" w14:paraId="0B22EE9C" w14:textId="77777777" w:rsidTr="00921FEE">
        <w:tc>
          <w:tcPr>
            <w:tcW w:w="2508" w:type="dxa"/>
            <w:tcBorders>
              <w:top w:val="nil"/>
              <w:left w:val="nil"/>
              <w:bottom w:val="nil"/>
              <w:right w:val="nil"/>
            </w:tcBorders>
          </w:tcPr>
          <w:p w14:paraId="1F7F0A0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2010</w:t>
            </w:r>
          </w:p>
        </w:tc>
        <w:tc>
          <w:tcPr>
            <w:tcW w:w="800" w:type="dxa"/>
            <w:tcBorders>
              <w:top w:val="nil"/>
              <w:left w:val="nil"/>
              <w:bottom w:val="nil"/>
              <w:right w:val="nil"/>
            </w:tcBorders>
          </w:tcPr>
          <w:p w14:paraId="67B14CB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17D8167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2.794</w:t>
            </w:r>
          </w:p>
        </w:tc>
        <w:tc>
          <w:tcPr>
            <w:tcW w:w="1400" w:type="dxa"/>
            <w:tcBorders>
              <w:top w:val="nil"/>
              <w:left w:val="nil"/>
              <w:bottom w:val="nil"/>
              <w:right w:val="nil"/>
            </w:tcBorders>
          </w:tcPr>
          <w:p w14:paraId="57E1B55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14.424</w:t>
            </w:r>
          </w:p>
        </w:tc>
        <w:tc>
          <w:tcPr>
            <w:tcW w:w="1400" w:type="dxa"/>
            <w:tcBorders>
              <w:top w:val="nil"/>
              <w:left w:val="nil"/>
              <w:bottom w:val="nil"/>
              <w:right w:val="nil"/>
            </w:tcBorders>
          </w:tcPr>
          <w:p w14:paraId="08F748C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-29.48</w:t>
            </w:r>
          </w:p>
        </w:tc>
        <w:tc>
          <w:tcPr>
            <w:tcW w:w="1400" w:type="dxa"/>
            <w:tcBorders>
              <w:top w:val="nil"/>
              <w:left w:val="nil"/>
              <w:bottom w:val="nil"/>
              <w:right w:val="nil"/>
            </w:tcBorders>
          </w:tcPr>
          <w:p w14:paraId="11AF3F7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22.145</w:t>
            </w:r>
          </w:p>
        </w:tc>
      </w:tr>
      <w:tr w:rsidR="00EB43A0" w:rsidRPr="000A0B87" w14:paraId="79C53F1D" w14:textId="77777777" w:rsidTr="00921FEE">
        <w:tc>
          <w:tcPr>
            <w:tcW w:w="2508" w:type="dxa"/>
            <w:tcBorders>
              <w:top w:val="nil"/>
              <w:left w:val="nil"/>
              <w:bottom w:val="nil"/>
              <w:right w:val="nil"/>
            </w:tcBorders>
          </w:tcPr>
          <w:p w14:paraId="56288E7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2015</w:t>
            </w:r>
          </w:p>
        </w:tc>
        <w:tc>
          <w:tcPr>
            <w:tcW w:w="800" w:type="dxa"/>
            <w:tcBorders>
              <w:top w:val="nil"/>
              <w:left w:val="nil"/>
              <w:bottom w:val="nil"/>
              <w:right w:val="nil"/>
            </w:tcBorders>
          </w:tcPr>
          <w:p w14:paraId="6CEF5DF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35F5105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2.078</w:t>
            </w:r>
          </w:p>
        </w:tc>
        <w:tc>
          <w:tcPr>
            <w:tcW w:w="1400" w:type="dxa"/>
            <w:tcBorders>
              <w:top w:val="nil"/>
              <w:left w:val="nil"/>
              <w:bottom w:val="nil"/>
              <w:right w:val="nil"/>
            </w:tcBorders>
          </w:tcPr>
          <w:p w14:paraId="1581CA2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13.579</w:t>
            </w:r>
          </w:p>
        </w:tc>
        <w:tc>
          <w:tcPr>
            <w:tcW w:w="1400" w:type="dxa"/>
            <w:tcBorders>
              <w:top w:val="nil"/>
              <w:left w:val="nil"/>
              <w:bottom w:val="nil"/>
              <w:right w:val="nil"/>
            </w:tcBorders>
          </w:tcPr>
          <w:p w14:paraId="2F360CF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-30.211</w:t>
            </w:r>
          </w:p>
        </w:tc>
        <w:tc>
          <w:tcPr>
            <w:tcW w:w="1400" w:type="dxa"/>
            <w:tcBorders>
              <w:top w:val="nil"/>
              <w:left w:val="nil"/>
              <w:bottom w:val="nil"/>
              <w:right w:val="nil"/>
            </w:tcBorders>
          </w:tcPr>
          <w:p w14:paraId="479D54A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20.761</w:t>
            </w:r>
          </w:p>
        </w:tc>
      </w:tr>
      <w:tr w:rsidR="00EB43A0" w:rsidRPr="000A0B87" w14:paraId="3B47061C" w14:textId="77777777" w:rsidTr="00921FEE">
        <w:tc>
          <w:tcPr>
            <w:tcW w:w="2508" w:type="dxa"/>
            <w:tcBorders>
              <w:top w:val="nil"/>
              <w:left w:val="nil"/>
              <w:bottom w:val="nil"/>
              <w:right w:val="nil"/>
            </w:tcBorders>
          </w:tcPr>
          <w:p w14:paraId="1F13416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2020</w:t>
            </w:r>
          </w:p>
        </w:tc>
        <w:tc>
          <w:tcPr>
            <w:tcW w:w="800" w:type="dxa"/>
            <w:tcBorders>
              <w:top w:val="nil"/>
              <w:left w:val="nil"/>
              <w:bottom w:val="nil"/>
              <w:right w:val="nil"/>
            </w:tcBorders>
          </w:tcPr>
          <w:p w14:paraId="40C2099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6EF64CD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2.402</w:t>
            </w:r>
          </w:p>
        </w:tc>
        <w:tc>
          <w:tcPr>
            <w:tcW w:w="1400" w:type="dxa"/>
            <w:tcBorders>
              <w:top w:val="nil"/>
              <w:left w:val="nil"/>
              <w:bottom w:val="nil"/>
              <w:right w:val="nil"/>
            </w:tcBorders>
          </w:tcPr>
          <w:p w14:paraId="79EE479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12.969</w:t>
            </w:r>
          </w:p>
        </w:tc>
        <w:tc>
          <w:tcPr>
            <w:tcW w:w="1400" w:type="dxa"/>
            <w:tcBorders>
              <w:top w:val="nil"/>
              <w:left w:val="nil"/>
              <w:bottom w:val="nil"/>
              <w:right w:val="nil"/>
            </w:tcBorders>
          </w:tcPr>
          <w:p w14:paraId="453D5F5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-34.409</w:t>
            </w:r>
          </w:p>
        </w:tc>
        <w:tc>
          <w:tcPr>
            <w:tcW w:w="1400" w:type="dxa"/>
            <w:tcBorders>
              <w:top w:val="nil"/>
              <w:left w:val="nil"/>
              <w:bottom w:val="nil"/>
              <w:right w:val="nil"/>
            </w:tcBorders>
          </w:tcPr>
          <w:p w14:paraId="5E7EA32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19.45</w:t>
            </w:r>
          </w:p>
        </w:tc>
      </w:tr>
      <w:tr w:rsidR="00EB43A0" w:rsidRPr="000A0B87" w14:paraId="6BD0DB6A" w14:textId="77777777" w:rsidTr="00921FEE">
        <w:tc>
          <w:tcPr>
            <w:tcW w:w="8908" w:type="dxa"/>
            <w:gridSpan w:val="6"/>
            <w:tcBorders>
              <w:top w:val="single" w:sz="6" w:space="0" w:color="auto"/>
              <w:left w:val="nil"/>
              <w:bottom w:val="nil"/>
              <w:right w:val="nil"/>
            </w:tcBorders>
          </w:tcPr>
          <w:p w14:paraId="2EC23751"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p>
        </w:tc>
      </w:tr>
    </w:tbl>
    <w:p w14:paraId="467E6C2A"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r w:rsidRPr="000A0B87">
        <w:rPr>
          <w:rFonts w:ascii="Garamond" w:hAnsi="Garamond"/>
          <w:b/>
          <w:bCs/>
          <w:sz w:val="20"/>
          <w:szCs w:val="20"/>
          <w:lang w:val="en-GB"/>
        </w:rPr>
        <w:br/>
      </w:r>
    </w:p>
    <w:p w14:paraId="7B086E6E"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0D8176BD" w14:textId="77777777" w:rsidR="00EB43A0" w:rsidRPr="000A0B87" w:rsidRDefault="00EB43A0" w:rsidP="00EB43A0">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b/>
          <w:bCs/>
          <w:sz w:val="20"/>
          <w:szCs w:val="20"/>
          <w:lang w:val="en-GB"/>
        </w:rPr>
        <w:t>Table O</w:t>
      </w:r>
      <w:r>
        <w:rPr>
          <w:rFonts w:ascii="Garamond" w:hAnsi="Garamond"/>
          <w:b/>
          <w:bCs/>
          <w:sz w:val="20"/>
          <w:szCs w:val="20"/>
          <w:lang w:val="en-GB"/>
        </w:rPr>
        <w:t>R</w:t>
      </w:r>
      <w:r w:rsidRPr="000A0B87">
        <w:rPr>
          <w:rFonts w:ascii="Garamond" w:hAnsi="Garamond"/>
          <w:b/>
          <w:bCs/>
          <w:sz w:val="20"/>
          <w:szCs w:val="20"/>
          <w:lang w:val="en-GB"/>
        </w:rPr>
        <w:t>.</w:t>
      </w:r>
      <w:r>
        <w:rPr>
          <w:rFonts w:ascii="Garamond" w:hAnsi="Garamond"/>
          <w:b/>
          <w:bCs/>
          <w:sz w:val="20"/>
          <w:szCs w:val="20"/>
          <w:lang w:val="en-GB"/>
        </w:rPr>
        <w:t>5</w:t>
      </w:r>
      <w:r w:rsidRPr="000A0B87">
        <w:rPr>
          <w:rFonts w:ascii="Garamond" w:hAnsi="Garamond"/>
          <w:b/>
          <w:bCs/>
          <w:sz w:val="20"/>
          <w:szCs w:val="20"/>
          <w:lang w:val="en-GB"/>
        </w:rPr>
        <w:t xml:space="preserve"> Student funding policy – generosity and decommodification, changes over time (2005-2020), % of APW. Own calculation based on SSFD</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EB43A0" w:rsidRPr="000A0B87" w14:paraId="1985B550" w14:textId="77777777" w:rsidTr="00921FEE">
        <w:tc>
          <w:tcPr>
            <w:tcW w:w="2508" w:type="dxa"/>
            <w:tcBorders>
              <w:top w:val="single" w:sz="4" w:space="0" w:color="auto"/>
              <w:left w:val="nil"/>
              <w:bottom w:val="single" w:sz="10" w:space="0" w:color="auto"/>
              <w:right w:val="nil"/>
            </w:tcBorders>
          </w:tcPr>
          <w:p w14:paraId="3AB4DF0B"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lastRenderedPageBreak/>
              <w:t xml:space="preserve"> Variable</w:t>
            </w:r>
          </w:p>
        </w:tc>
        <w:tc>
          <w:tcPr>
            <w:tcW w:w="800" w:type="dxa"/>
            <w:tcBorders>
              <w:top w:val="single" w:sz="4" w:space="0" w:color="auto"/>
              <w:left w:val="nil"/>
              <w:bottom w:val="single" w:sz="10" w:space="0" w:color="auto"/>
              <w:right w:val="nil"/>
            </w:tcBorders>
          </w:tcPr>
          <w:p w14:paraId="47DD6D2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Obs</w:t>
            </w:r>
          </w:p>
        </w:tc>
        <w:tc>
          <w:tcPr>
            <w:tcW w:w="1400" w:type="dxa"/>
            <w:tcBorders>
              <w:top w:val="single" w:sz="4" w:space="0" w:color="auto"/>
              <w:left w:val="nil"/>
              <w:bottom w:val="single" w:sz="10" w:space="0" w:color="auto"/>
              <w:right w:val="nil"/>
            </w:tcBorders>
          </w:tcPr>
          <w:p w14:paraId="14B262C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Mean</w:t>
            </w:r>
          </w:p>
        </w:tc>
        <w:tc>
          <w:tcPr>
            <w:tcW w:w="1400" w:type="dxa"/>
            <w:tcBorders>
              <w:top w:val="single" w:sz="4" w:space="0" w:color="auto"/>
              <w:left w:val="nil"/>
              <w:bottom w:val="single" w:sz="10" w:space="0" w:color="auto"/>
              <w:right w:val="nil"/>
            </w:tcBorders>
          </w:tcPr>
          <w:p w14:paraId="1A84BA8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Std. Dev.</w:t>
            </w:r>
          </w:p>
        </w:tc>
        <w:tc>
          <w:tcPr>
            <w:tcW w:w="1400" w:type="dxa"/>
            <w:tcBorders>
              <w:top w:val="single" w:sz="4" w:space="0" w:color="auto"/>
              <w:left w:val="nil"/>
              <w:bottom w:val="single" w:sz="10" w:space="0" w:color="auto"/>
              <w:right w:val="nil"/>
            </w:tcBorders>
          </w:tcPr>
          <w:p w14:paraId="70F36F2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Min</w:t>
            </w:r>
          </w:p>
        </w:tc>
        <w:tc>
          <w:tcPr>
            <w:tcW w:w="1400" w:type="dxa"/>
            <w:tcBorders>
              <w:top w:val="single" w:sz="4" w:space="0" w:color="auto"/>
              <w:left w:val="nil"/>
              <w:bottom w:val="single" w:sz="10" w:space="0" w:color="auto"/>
              <w:right w:val="nil"/>
            </w:tcBorders>
          </w:tcPr>
          <w:p w14:paraId="45FD17C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Max</w:t>
            </w:r>
          </w:p>
        </w:tc>
      </w:tr>
      <w:tr w:rsidR="00EB43A0" w:rsidRPr="000A0B87" w14:paraId="108B0B0F" w14:textId="77777777" w:rsidTr="00921FEE">
        <w:tc>
          <w:tcPr>
            <w:tcW w:w="2508" w:type="dxa"/>
            <w:tcBorders>
              <w:top w:val="nil"/>
              <w:left w:val="nil"/>
              <w:bottom w:val="nil"/>
              <w:right w:val="nil"/>
            </w:tcBorders>
          </w:tcPr>
          <w:p w14:paraId="3989823F"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Generosity</w:t>
            </w:r>
          </w:p>
        </w:tc>
        <w:tc>
          <w:tcPr>
            <w:tcW w:w="800" w:type="dxa"/>
            <w:tcBorders>
              <w:top w:val="nil"/>
              <w:left w:val="nil"/>
              <w:bottom w:val="nil"/>
              <w:right w:val="nil"/>
            </w:tcBorders>
          </w:tcPr>
          <w:p w14:paraId="6B568FF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72DDD1D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42C82083"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129421B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57DE91C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r>
      <w:tr w:rsidR="00EB43A0" w:rsidRPr="000A0B87" w14:paraId="33122153" w14:textId="77777777" w:rsidTr="00921FEE">
        <w:tc>
          <w:tcPr>
            <w:tcW w:w="2508" w:type="dxa"/>
            <w:tcBorders>
              <w:top w:val="nil"/>
              <w:left w:val="nil"/>
              <w:bottom w:val="nil"/>
              <w:right w:val="nil"/>
            </w:tcBorders>
          </w:tcPr>
          <w:p w14:paraId="413405C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Δ2005-2020</w:t>
            </w:r>
          </w:p>
        </w:tc>
        <w:tc>
          <w:tcPr>
            <w:tcW w:w="800" w:type="dxa"/>
            <w:tcBorders>
              <w:top w:val="nil"/>
              <w:left w:val="nil"/>
              <w:bottom w:val="nil"/>
              <w:right w:val="nil"/>
            </w:tcBorders>
          </w:tcPr>
          <w:p w14:paraId="03CEA08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28F015F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-.48</w:t>
            </w:r>
          </w:p>
        </w:tc>
        <w:tc>
          <w:tcPr>
            <w:tcW w:w="1400" w:type="dxa"/>
            <w:tcBorders>
              <w:top w:val="nil"/>
              <w:left w:val="nil"/>
              <w:bottom w:val="nil"/>
              <w:right w:val="nil"/>
            </w:tcBorders>
          </w:tcPr>
          <w:p w14:paraId="1D8822F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11.726</w:t>
            </w:r>
          </w:p>
        </w:tc>
        <w:tc>
          <w:tcPr>
            <w:tcW w:w="1400" w:type="dxa"/>
            <w:tcBorders>
              <w:top w:val="nil"/>
              <w:left w:val="nil"/>
              <w:bottom w:val="nil"/>
              <w:right w:val="nil"/>
            </w:tcBorders>
          </w:tcPr>
          <w:p w14:paraId="0AB21CF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-24.703</w:t>
            </w:r>
          </w:p>
        </w:tc>
        <w:tc>
          <w:tcPr>
            <w:tcW w:w="1400" w:type="dxa"/>
            <w:tcBorders>
              <w:top w:val="nil"/>
              <w:left w:val="nil"/>
              <w:bottom w:val="nil"/>
              <w:right w:val="nil"/>
            </w:tcBorders>
          </w:tcPr>
          <w:p w14:paraId="6E0E3B9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39.903</w:t>
            </w:r>
          </w:p>
        </w:tc>
      </w:tr>
      <w:tr w:rsidR="00EB43A0" w:rsidRPr="000A0B87" w14:paraId="07451A82" w14:textId="77777777" w:rsidTr="00921FEE">
        <w:tc>
          <w:tcPr>
            <w:tcW w:w="2508" w:type="dxa"/>
            <w:tcBorders>
              <w:top w:val="nil"/>
              <w:left w:val="nil"/>
              <w:bottom w:val="nil"/>
              <w:right w:val="nil"/>
            </w:tcBorders>
          </w:tcPr>
          <w:p w14:paraId="5995299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Δ2005-2010</w:t>
            </w:r>
          </w:p>
        </w:tc>
        <w:tc>
          <w:tcPr>
            <w:tcW w:w="800" w:type="dxa"/>
            <w:tcBorders>
              <w:top w:val="nil"/>
              <w:left w:val="nil"/>
              <w:bottom w:val="nil"/>
              <w:right w:val="nil"/>
            </w:tcBorders>
          </w:tcPr>
          <w:p w14:paraId="4A6A82A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7322AB2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-.087</w:t>
            </w:r>
          </w:p>
        </w:tc>
        <w:tc>
          <w:tcPr>
            <w:tcW w:w="1400" w:type="dxa"/>
            <w:tcBorders>
              <w:top w:val="nil"/>
              <w:left w:val="nil"/>
              <w:bottom w:val="nil"/>
              <w:right w:val="nil"/>
            </w:tcBorders>
          </w:tcPr>
          <w:p w14:paraId="140D3F1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8.224</w:t>
            </w:r>
          </w:p>
        </w:tc>
        <w:tc>
          <w:tcPr>
            <w:tcW w:w="1400" w:type="dxa"/>
            <w:tcBorders>
              <w:top w:val="nil"/>
              <w:left w:val="nil"/>
              <w:bottom w:val="nil"/>
              <w:right w:val="nil"/>
            </w:tcBorders>
          </w:tcPr>
          <w:p w14:paraId="5B39AD6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-13.062</w:t>
            </w:r>
          </w:p>
        </w:tc>
        <w:tc>
          <w:tcPr>
            <w:tcW w:w="1400" w:type="dxa"/>
            <w:tcBorders>
              <w:top w:val="nil"/>
              <w:left w:val="nil"/>
              <w:bottom w:val="nil"/>
              <w:right w:val="nil"/>
            </w:tcBorders>
          </w:tcPr>
          <w:p w14:paraId="4EBEC2D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33.142</w:t>
            </w:r>
          </w:p>
        </w:tc>
      </w:tr>
      <w:tr w:rsidR="00EB43A0" w:rsidRPr="000A0B87" w14:paraId="0E4B4B5C" w14:textId="77777777" w:rsidTr="00921FEE">
        <w:tc>
          <w:tcPr>
            <w:tcW w:w="2508" w:type="dxa"/>
            <w:tcBorders>
              <w:top w:val="nil"/>
              <w:left w:val="nil"/>
              <w:bottom w:val="nil"/>
              <w:right w:val="nil"/>
            </w:tcBorders>
          </w:tcPr>
          <w:p w14:paraId="0116986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Δ2010-2015</w:t>
            </w:r>
          </w:p>
        </w:tc>
        <w:tc>
          <w:tcPr>
            <w:tcW w:w="800" w:type="dxa"/>
            <w:tcBorders>
              <w:top w:val="nil"/>
              <w:left w:val="nil"/>
              <w:bottom w:val="nil"/>
              <w:right w:val="nil"/>
            </w:tcBorders>
          </w:tcPr>
          <w:p w14:paraId="5AE0D96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7F01B45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-.206</w:t>
            </w:r>
          </w:p>
        </w:tc>
        <w:tc>
          <w:tcPr>
            <w:tcW w:w="1400" w:type="dxa"/>
            <w:tcBorders>
              <w:top w:val="nil"/>
              <w:left w:val="nil"/>
              <w:bottom w:val="nil"/>
              <w:right w:val="nil"/>
            </w:tcBorders>
          </w:tcPr>
          <w:p w14:paraId="7F704412"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7.427</w:t>
            </w:r>
          </w:p>
        </w:tc>
        <w:tc>
          <w:tcPr>
            <w:tcW w:w="1400" w:type="dxa"/>
            <w:tcBorders>
              <w:top w:val="nil"/>
              <w:left w:val="nil"/>
              <w:bottom w:val="nil"/>
              <w:right w:val="nil"/>
            </w:tcBorders>
          </w:tcPr>
          <w:p w14:paraId="10F0580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-18.392</w:t>
            </w:r>
          </w:p>
        </w:tc>
        <w:tc>
          <w:tcPr>
            <w:tcW w:w="1400" w:type="dxa"/>
            <w:tcBorders>
              <w:top w:val="nil"/>
              <w:left w:val="nil"/>
              <w:bottom w:val="nil"/>
              <w:right w:val="nil"/>
            </w:tcBorders>
          </w:tcPr>
          <w:p w14:paraId="6F6EF21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23.581</w:t>
            </w:r>
          </w:p>
        </w:tc>
      </w:tr>
      <w:tr w:rsidR="00EB43A0" w:rsidRPr="000A0B87" w14:paraId="1EAAEE1E" w14:textId="77777777" w:rsidTr="00921FEE">
        <w:tc>
          <w:tcPr>
            <w:tcW w:w="2508" w:type="dxa"/>
            <w:tcBorders>
              <w:top w:val="nil"/>
              <w:left w:val="nil"/>
              <w:bottom w:val="nil"/>
              <w:right w:val="nil"/>
            </w:tcBorders>
          </w:tcPr>
          <w:p w14:paraId="7996AF9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Δ2015-2020</w:t>
            </w:r>
          </w:p>
        </w:tc>
        <w:tc>
          <w:tcPr>
            <w:tcW w:w="800" w:type="dxa"/>
            <w:tcBorders>
              <w:top w:val="nil"/>
              <w:left w:val="nil"/>
              <w:bottom w:val="nil"/>
              <w:right w:val="nil"/>
            </w:tcBorders>
          </w:tcPr>
          <w:p w14:paraId="24DBCD7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1F650C8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-.187</w:t>
            </w:r>
          </w:p>
        </w:tc>
        <w:tc>
          <w:tcPr>
            <w:tcW w:w="1400" w:type="dxa"/>
            <w:tcBorders>
              <w:top w:val="nil"/>
              <w:left w:val="nil"/>
              <w:bottom w:val="nil"/>
              <w:right w:val="nil"/>
            </w:tcBorders>
          </w:tcPr>
          <w:p w14:paraId="029EF59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5.682</w:t>
            </w:r>
          </w:p>
        </w:tc>
        <w:tc>
          <w:tcPr>
            <w:tcW w:w="1400" w:type="dxa"/>
            <w:tcBorders>
              <w:top w:val="nil"/>
              <w:left w:val="nil"/>
              <w:bottom w:val="nil"/>
              <w:right w:val="nil"/>
            </w:tcBorders>
          </w:tcPr>
          <w:p w14:paraId="27401AB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-19.564</w:t>
            </w:r>
          </w:p>
        </w:tc>
        <w:tc>
          <w:tcPr>
            <w:tcW w:w="1400" w:type="dxa"/>
            <w:tcBorders>
              <w:top w:val="nil"/>
              <w:left w:val="nil"/>
              <w:bottom w:val="nil"/>
              <w:right w:val="nil"/>
            </w:tcBorders>
          </w:tcPr>
          <w:p w14:paraId="614E94A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12.082</w:t>
            </w:r>
          </w:p>
        </w:tc>
      </w:tr>
      <w:tr w:rsidR="00EB43A0" w:rsidRPr="000A0B87" w14:paraId="1CFB3ACE" w14:textId="77777777" w:rsidTr="00921FEE">
        <w:tc>
          <w:tcPr>
            <w:tcW w:w="2508" w:type="dxa"/>
            <w:tcBorders>
              <w:top w:val="nil"/>
              <w:left w:val="nil"/>
              <w:bottom w:val="nil"/>
              <w:right w:val="nil"/>
            </w:tcBorders>
          </w:tcPr>
          <w:p w14:paraId="1E7DC7FF"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r w:rsidRPr="000A0B87">
              <w:rPr>
                <w:rFonts w:ascii="Garamond" w:hAnsi="Garamond"/>
                <w:sz w:val="20"/>
                <w:szCs w:val="20"/>
                <w:lang w:val="en-GB"/>
              </w:rPr>
              <w:t>Decommodification</w:t>
            </w:r>
          </w:p>
        </w:tc>
        <w:tc>
          <w:tcPr>
            <w:tcW w:w="800" w:type="dxa"/>
            <w:tcBorders>
              <w:top w:val="nil"/>
              <w:left w:val="nil"/>
              <w:bottom w:val="nil"/>
              <w:right w:val="nil"/>
            </w:tcBorders>
          </w:tcPr>
          <w:p w14:paraId="5A6E45F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537F2E1C"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5118BB0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3CCC6AC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c>
          <w:tcPr>
            <w:tcW w:w="1400" w:type="dxa"/>
            <w:tcBorders>
              <w:top w:val="nil"/>
              <w:left w:val="nil"/>
              <w:bottom w:val="nil"/>
              <w:right w:val="nil"/>
            </w:tcBorders>
          </w:tcPr>
          <w:p w14:paraId="0929A06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p>
        </w:tc>
      </w:tr>
      <w:tr w:rsidR="00EB43A0" w:rsidRPr="000A0B87" w14:paraId="43018911" w14:textId="77777777" w:rsidTr="00921FEE">
        <w:tc>
          <w:tcPr>
            <w:tcW w:w="2508" w:type="dxa"/>
            <w:tcBorders>
              <w:top w:val="nil"/>
              <w:left w:val="nil"/>
              <w:bottom w:val="nil"/>
              <w:right w:val="nil"/>
            </w:tcBorders>
          </w:tcPr>
          <w:p w14:paraId="6D0BAAD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Δ2005-2020</w:t>
            </w:r>
          </w:p>
        </w:tc>
        <w:tc>
          <w:tcPr>
            <w:tcW w:w="800" w:type="dxa"/>
            <w:tcBorders>
              <w:top w:val="nil"/>
              <w:left w:val="nil"/>
              <w:bottom w:val="nil"/>
              <w:right w:val="nil"/>
            </w:tcBorders>
          </w:tcPr>
          <w:p w14:paraId="73A5777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2DE59C4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-1.413</w:t>
            </w:r>
          </w:p>
        </w:tc>
        <w:tc>
          <w:tcPr>
            <w:tcW w:w="1400" w:type="dxa"/>
            <w:tcBorders>
              <w:top w:val="nil"/>
              <w:left w:val="nil"/>
              <w:bottom w:val="nil"/>
              <w:right w:val="nil"/>
            </w:tcBorders>
          </w:tcPr>
          <w:p w14:paraId="5CA812BF"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12.018</w:t>
            </w:r>
          </w:p>
        </w:tc>
        <w:tc>
          <w:tcPr>
            <w:tcW w:w="1400" w:type="dxa"/>
            <w:tcBorders>
              <w:top w:val="nil"/>
              <w:left w:val="nil"/>
              <w:bottom w:val="nil"/>
              <w:right w:val="nil"/>
            </w:tcBorders>
          </w:tcPr>
          <w:p w14:paraId="36E41EE0"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-34.641</w:t>
            </w:r>
          </w:p>
        </w:tc>
        <w:tc>
          <w:tcPr>
            <w:tcW w:w="1400" w:type="dxa"/>
            <w:tcBorders>
              <w:top w:val="nil"/>
              <w:left w:val="nil"/>
              <w:bottom w:val="nil"/>
              <w:right w:val="nil"/>
            </w:tcBorders>
          </w:tcPr>
          <w:p w14:paraId="68814A0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29.165</w:t>
            </w:r>
          </w:p>
        </w:tc>
      </w:tr>
      <w:tr w:rsidR="00EB43A0" w:rsidRPr="000A0B87" w14:paraId="062E136D" w14:textId="77777777" w:rsidTr="00921FEE">
        <w:tc>
          <w:tcPr>
            <w:tcW w:w="2508" w:type="dxa"/>
            <w:tcBorders>
              <w:top w:val="nil"/>
              <w:left w:val="nil"/>
              <w:bottom w:val="nil"/>
              <w:right w:val="nil"/>
            </w:tcBorders>
          </w:tcPr>
          <w:p w14:paraId="2CF4368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Δ2005-2010</w:t>
            </w:r>
          </w:p>
        </w:tc>
        <w:tc>
          <w:tcPr>
            <w:tcW w:w="800" w:type="dxa"/>
            <w:tcBorders>
              <w:top w:val="nil"/>
              <w:left w:val="nil"/>
              <w:bottom w:val="nil"/>
              <w:right w:val="nil"/>
            </w:tcBorders>
          </w:tcPr>
          <w:p w14:paraId="2FDDB636"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67A3FA2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-1.021</w:t>
            </w:r>
          </w:p>
        </w:tc>
        <w:tc>
          <w:tcPr>
            <w:tcW w:w="1400" w:type="dxa"/>
            <w:tcBorders>
              <w:top w:val="nil"/>
              <w:left w:val="nil"/>
              <w:bottom w:val="nil"/>
              <w:right w:val="nil"/>
            </w:tcBorders>
          </w:tcPr>
          <w:p w14:paraId="18C171E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5.124</w:t>
            </w:r>
          </w:p>
        </w:tc>
        <w:tc>
          <w:tcPr>
            <w:tcW w:w="1400" w:type="dxa"/>
            <w:tcBorders>
              <w:top w:val="nil"/>
              <w:left w:val="nil"/>
              <w:bottom w:val="nil"/>
              <w:right w:val="nil"/>
            </w:tcBorders>
          </w:tcPr>
          <w:p w14:paraId="503B97C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-13.062</w:t>
            </w:r>
          </w:p>
        </w:tc>
        <w:tc>
          <w:tcPr>
            <w:tcW w:w="1400" w:type="dxa"/>
            <w:tcBorders>
              <w:top w:val="nil"/>
              <w:left w:val="nil"/>
              <w:bottom w:val="nil"/>
              <w:right w:val="nil"/>
            </w:tcBorders>
          </w:tcPr>
          <w:p w14:paraId="193AF74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17.383</w:t>
            </w:r>
          </w:p>
        </w:tc>
      </w:tr>
      <w:tr w:rsidR="00EB43A0" w:rsidRPr="000A0B87" w14:paraId="3DEC3828" w14:textId="77777777" w:rsidTr="00921FEE">
        <w:tc>
          <w:tcPr>
            <w:tcW w:w="2508" w:type="dxa"/>
            <w:tcBorders>
              <w:top w:val="nil"/>
              <w:left w:val="nil"/>
              <w:bottom w:val="nil"/>
              <w:right w:val="nil"/>
            </w:tcBorders>
          </w:tcPr>
          <w:p w14:paraId="30ABF6E5"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Δ2010-2015</w:t>
            </w:r>
          </w:p>
        </w:tc>
        <w:tc>
          <w:tcPr>
            <w:tcW w:w="800" w:type="dxa"/>
            <w:tcBorders>
              <w:top w:val="nil"/>
              <w:left w:val="nil"/>
              <w:bottom w:val="nil"/>
              <w:right w:val="nil"/>
            </w:tcBorders>
          </w:tcPr>
          <w:p w14:paraId="502B6ECE"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2D46B6D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-.716</w:t>
            </w:r>
          </w:p>
        </w:tc>
        <w:tc>
          <w:tcPr>
            <w:tcW w:w="1400" w:type="dxa"/>
            <w:tcBorders>
              <w:top w:val="nil"/>
              <w:left w:val="nil"/>
              <w:bottom w:val="nil"/>
              <w:right w:val="nil"/>
            </w:tcBorders>
          </w:tcPr>
          <w:p w14:paraId="0CE1466D"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7.558</w:t>
            </w:r>
          </w:p>
        </w:tc>
        <w:tc>
          <w:tcPr>
            <w:tcW w:w="1400" w:type="dxa"/>
            <w:tcBorders>
              <w:top w:val="nil"/>
              <w:left w:val="nil"/>
              <w:bottom w:val="nil"/>
              <w:right w:val="nil"/>
            </w:tcBorders>
          </w:tcPr>
          <w:p w14:paraId="395781CA"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-24.675</w:t>
            </w:r>
          </w:p>
        </w:tc>
        <w:tc>
          <w:tcPr>
            <w:tcW w:w="1400" w:type="dxa"/>
            <w:tcBorders>
              <w:top w:val="nil"/>
              <w:left w:val="nil"/>
              <w:bottom w:val="nil"/>
              <w:right w:val="nil"/>
            </w:tcBorders>
          </w:tcPr>
          <w:p w14:paraId="6D1AF314"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12.549</w:t>
            </w:r>
          </w:p>
        </w:tc>
      </w:tr>
      <w:tr w:rsidR="00EB43A0" w:rsidRPr="000A0B87" w14:paraId="4B5EF8F0" w14:textId="77777777" w:rsidTr="00921FEE">
        <w:tc>
          <w:tcPr>
            <w:tcW w:w="2508" w:type="dxa"/>
            <w:tcBorders>
              <w:top w:val="nil"/>
              <w:left w:val="nil"/>
              <w:bottom w:val="nil"/>
              <w:right w:val="nil"/>
            </w:tcBorders>
          </w:tcPr>
          <w:p w14:paraId="2A3333F8"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Δ2015-2020</w:t>
            </w:r>
          </w:p>
        </w:tc>
        <w:tc>
          <w:tcPr>
            <w:tcW w:w="800" w:type="dxa"/>
            <w:tcBorders>
              <w:top w:val="nil"/>
              <w:left w:val="nil"/>
              <w:bottom w:val="nil"/>
              <w:right w:val="nil"/>
            </w:tcBorders>
          </w:tcPr>
          <w:p w14:paraId="095D77FB"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w:t>
            </w:r>
          </w:p>
        </w:tc>
        <w:tc>
          <w:tcPr>
            <w:tcW w:w="1400" w:type="dxa"/>
            <w:tcBorders>
              <w:top w:val="nil"/>
              <w:left w:val="nil"/>
              <w:bottom w:val="nil"/>
              <w:right w:val="nil"/>
            </w:tcBorders>
          </w:tcPr>
          <w:p w14:paraId="61D0853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.324</w:t>
            </w:r>
          </w:p>
        </w:tc>
        <w:tc>
          <w:tcPr>
            <w:tcW w:w="1400" w:type="dxa"/>
            <w:tcBorders>
              <w:top w:val="nil"/>
              <w:left w:val="nil"/>
              <w:bottom w:val="nil"/>
              <w:right w:val="nil"/>
            </w:tcBorders>
          </w:tcPr>
          <w:p w14:paraId="17936F31"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4.505</w:t>
            </w:r>
          </w:p>
        </w:tc>
        <w:tc>
          <w:tcPr>
            <w:tcW w:w="1400" w:type="dxa"/>
            <w:tcBorders>
              <w:top w:val="nil"/>
              <w:left w:val="nil"/>
              <w:bottom w:val="nil"/>
              <w:right w:val="nil"/>
            </w:tcBorders>
          </w:tcPr>
          <w:p w14:paraId="0E1D66F9"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-10.052</w:t>
            </w:r>
          </w:p>
        </w:tc>
        <w:tc>
          <w:tcPr>
            <w:tcW w:w="1400" w:type="dxa"/>
            <w:tcBorders>
              <w:top w:val="nil"/>
              <w:left w:val="nil"/>
              <w:bottom w:val="nil"/>
              <w:right w:val="nil"/>
            </w:tcBorders>
          </w:tcPr>
          <w:p w14:paraId="19040C77" w14:textId="77777777" w:rsidR="00EB43A0" w:rsidRPr="000A0B87" w:rsidRDefault="00EB43A0" w:rsidP="00921FEE">
            <w:pPr>
              <w:widowControl w:val="0"/>
              <w:autoSpaceDE w:val="0"/>
              <w:autoSpaceDN w:val="0"/>
              <w:adjustRightInd w:val="0"/>
              <w:spacing w:after="0" w:line="240" w:lineRule="auto"/>
              <w:jc w:val="center"/>
              <w:rPr>
                <w:rFonts w:ascii="Garamond" w:hAnsi="Garamond"/>
                <w:sz w:val="20"/>
                <w:szCs w:val="20"/>
                <w:lang w:val="en-GB"/>
              </w:rPr>
            </w:pPr>
            <w:r w:rsidRPr="000A0B87">
              <w:rPr>
                <w:rFonts w:ascii="Garamond" w:hAnsi="Garamond"/>
                <w:sz w:val="20"/>
                <w:szCs w:val="20"/>
                <w:lang w:val="en-GB"/>
              </w:rPr>
              <w:t>13.779</w:t>
            </w:r>
          </w:p>
        </w:tc>
      </w:tr>
      <w:tr w:rsidR="00EB43A0" w:rsidRPr="000A0B87" w14:paraId="0C7E6E78" w14:textId="77777777" w:rsidTr="00921FEE">
        <w:tc>
          <w:tcPr>
            <w:tcW w:w="8908" w:type="dxa"/>
            <w:gridSpan w:val="6"/>
            <w:tcBorders>
              <w:top w:val="single" w:sz="6" w:space="0" w:color="auto"/>
              <w:left w:val="nil"/>
              <w:bottom w:val="nil"/>
              <w:right w:val="nil"/>
            </w:tcBorders>
          </w:tcPr>
          <w:p w14:paraId="1580E283" w14:textId="77777777" w:rsidR="00EB43A0" w:rsidRPr="000A0B87" w:rsidRDefault="00EB43A0" w:rsidP="00921FEE">
            <w:pPr>
              <w:widowControl w:val="0"/>
              <w:autoSpaceDE w:val="0"/>
              <w:autoSpaceDN w:val="0"/>
              <w:adjustRightInd w:val="0"/>
              <w:spacing w:after="0" w:line="240" w:lineRule="auto"/>
              <w:rPr>
                <w:rFonts w:ascii="Garamond" w:hAnsi="Garamond"/>
                <w:sz w:val="20"/>
                <w:szCs w:val="20"/>
                <w:lang w:val="en-GB"/>
              </w:rPr>
            </w:pPr>
          </w:p>
        </w:tc>
      </w:tr>
    </w:tbl>
    <w:p w14:paraId="6960B1E1" w14:textId="77777777" w:rsidR="00EB43A0" w:rsidRDefault="00EB43A0" w:rsidP="00EB43A0">
      <w:pPr>
        <w:widowControl w:val="0"/>
        <w:autoSpaceDE w:val="0"/>
        <w:autoSpaceDN w:val="0"/>
        <w:adjustRightInd w:val="0"/>
        <w:spacing w:after="0" w:line="240" w:lineRule="auto"/>
        <w:rPr>
          <w:rFonts w:ascii="Garamond" w:hAnsi="Garamond"/>
          <w:b/>
          <w:bCs/>
          <w:sz w:val="20"/>
          <w:szCs w:val="20"/>
          <w:lang w:val="en-GB"/>
        </w:rPr>
      </w:pPr>
    </w:p>
    <w:p w14:paraId="3D94FF19" w14:textId="77777777" w:rsidR="00EB43A0" w:rsidRPr="000A0B87" w:rsidRDefault="00EB43A0" w:rsidP="00EB43A0">
      <w:pPr>
        <w:widowControl w:val="0"/>
        <w:autoSpaceDE w:val="0"/>
        <w:autoSpaceDN w:val="0"/>
        <w:adjustRightInd w:val="0"/>
        <w:spacing w:after="0" w:line="240" w:lineRule="auto"/>
        <w:rPr>
          <w:rFonts w:ascii="Garamond" w:hAnsi="Garamond"/>
          <w:b/>
          <w:bCs/>
          <w:sz w:val="20"/>
          <w:szCs w:val="20"/>
          <w:lang w:val="en-GB"/>
        </w:rPr>
      </w:pPr>
      <w:r w:rsidRPr="000A0B87">
        <w:rPr>
          <w:rFonts w:ascii="Garamond" w:hAnsi="Garamond"/>
          <w:b/>
          <w:bCs/>
          <w:sz w:val="20"/>
          <w:szCs w:val="20"/>
          <w:lang w:val="en-GB"/>
        </w:rPr>
        <w:t>Table O</w:t>
      </w:r>
      <w:r>
        <w:rPr>
          <w:rFonts w:ascii="Garamond" w:hAnsi="Garamond"/>
          <w:b/>
          <w:bCs/>
          <w:sz w:val="20"/>
          <w:szCs w:val="20"/>
          <w:lang w:val="en-GB"/>
        </w:rPr>
        <w:t>R</w:t>
      </w:r>
      <w:r w:rsidRPr="000A0B87">
        <w:rPr>
          <w:rFonts w:ascii="Garamond" w:hAnsi="Garamond"/>
          <w:b/>
          <w:bCs/>
          <w:sz w:val="20"/>
          <w:szCs w:val="20"/>
          <w:lang w:val="en-GB"/>
        </w:rPr>
        <w:t>.</w:t>
      </w:r>
      <w:r>
        <w:rPr>
          <w:rFonts w:ascii="Garamond" w:hAnsi="Garamond"/>
          <w:b/>
          <w:bCs/>
          <w:sz w:val="20"/>
          <w:szCs w:val="20"/>
          <w:lang w:val="en-GB"/>
        </w:rPr>
        <w:t>6</w:t>
      </w:r>
      <w:r w:rsidRPr="000A0B87">
        <w:rPr>
          <w:rFonts w:ascii="Garamond" w:hAnsi="Garamond"/>
          <w:b/>
          <w:bCs/>
          <w:sz w:val="20"/>
          <w:szCs w:val="20"/>
          <w:lang w:val="en-GB"/>
        </w:rPr>
        <w:t xml:space="preserve"> Matrix of pairwise correlations – variables included in the regression models </w:t>
      </w:r>
    </w:p>
    <w:tbl>
      <w:tblPr>
        <w:tblW w:w="5000" w:type="pct"/>
        <w:tblLook w:val="0000" w:firstRow="0" w:lastRow="0" w:firstColumn="0" w:lastColumn="0" w:noHBand="0" w:noVBand="0"/>
      </w:tblPr>
      <w:tblGrid>
        <w:gridCol w:w="1467"/>
        <w:gridCol w:w="891"/>
        <w:gridCol w:w="892"/>
        <w:gridCol w:w="892"/>
        <w:gridCol w:w="892"/>
        <w:gridCol w:w="892"/>
        <w:gridCol w:w="892"/>
        <w:gridCol w:w="892"/>
        <w:gridCol w:w="636"/>
        <w:gridCol w:w="681"/>
      </w:tblGrid>
      <w:tr w:rsidR="00EB43A0" w:rsidRPr="000A0B87" w14:paraId="65483019" w14:textId="77777777" w:rsidTr="00921FEE">
        <w:tc>
          <w:tcPr>
            <w:tcW w:w="813" w:type="pct"/>
            <w:tcBorders>
              <w:top w:val="single" w:sz="4" w:space="0" w:color="auto"/>
              <w:left w:val="nil"/>
              <w:bottom w:val="single" w:sz="6" w:space="0" w:color="auto"/>
              <w:right w:val="nil"/>
            </w:tcBorders>
          </w:tcPr>
          <w:p w14:paraId="180B2D50"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Variables</w:t>
            </w:r>
          </w:p>
        </w:tc>
        <w:tc>
          <w:tcPr>
            <w:tcW w:w="494" w:type="pct"/>
            <w:tcBorders>
              <w:top w:val="single" w:sz="4" w:space="0" w:color="auto"/>
              <w:left w:val="nil"/>
              <w:bottom w:val="single" w:sz="6" w:space="0" w:color="auto"/>
              <w:right w:val="nil"/>
            </w:tcBorders>
          </w:tcPr>
          <w:p w14:paraId="7FD6179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w:t>
            </w:r>
          </w:p>
        </w:tc>
        <w:tc>
          <w:tcPr>
            <w:tcW w:w="494" w:type="pct"/>
            <w:tcBorders>
              <w:top w:val="single" w:sz="4" w:space="0" w:color="auto"/>
              <w:left w:val="nil"/>
              <w:bottom w:val="single" w:sz="6" w:space="0" w:color="auto"/>
              <w:right w:val="nil"/>
            </w:tcBorders>
          </w:tcPr>
          <w:p w14:paraId="53552C7E"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(2)</w:t>
            </w:r>
          </w:p>
        </w:tc>
        <w:tc>
          <w:tcPr>
            <w:tcW w:w="494" w:type="pct"/>
            <w:tcBorders>
              <w:top w:val="single" w:sz="4" w:space="0" w:color="auto"/>
              <w:left w:val="nil"/>
              <w:bottom w:val="single" w:sz="6" w:space="0" w:color="auto"/>
              <w:right w:val="nil"/>
            </w:tcBorders>
          </w:tcPr>
          <w:p w14:paraId="0598AFD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(3)</w:t>
            </w:r>
          </w:p>
        </w:tc>
        <w:tc>
          <w:tcPr>
            <w:tcW w:w="494" w:type="pct"/>
            <w:tcBorders>
              <w:top w:val="single" w:sz="4" w:space="0" w:color="auto"/>
              <w:left w:val="nil"/>
              <w:bottom w:val="single" w:sz="6" w:space="0" w:color="auto"/>
              <w:right w:val="nil"/>
            </w:tcBorders>
          </w:tcPr>
          <w:p w14:paraId="4D9DE128"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(4)</w:t>
            </w:r>
          </w:p>
        </w:tc>
        <w:tc>
          <w:tcPr>
            <w:tcW w:w="494" w:type="pct"/>
            <w:tcBorders>
              <w:top w:val="single" w:sz="4" w:space="0" w:color="auto"/>
              <w:left w:val="nil"/>
              <w:bottom w:val="single" w:sz="6" w:space="0" w:color="auto"/>
              <w:right w:val="nil"/>
            </w:tcBorders>
          </w:tcPr>
          <w:p w14:paraId="3CD39B8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(5)</w:t>
            </w:r>
          </w:p>
        </w:tc>
        <w:tc>
          <w:tcPr>
            <w:tcW w:w="494" w:type="pct"/>
            <w:tcBorders>
              <w:top w:val="single" w:sz="4" w:space="0" w:color="auto"/>
              <w:left w:val="nil"/>
              <w:bottom w:val="single" w:sz="6" w:space="0" w:color="auto"/>
              <w:right w:val="nil"/>
            </w:tcBorders>
          </w:tcPr>
          <w:p w14:paraId="1D01E495"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(6)</w:t>
            </w:r>
          </w:p>
        </w:tc>
        <w:tc>
          <w:tcPr>
            <w:tcW w:w="494" w:type="pct"/>
            <w:tcBorders>
              <w:top w:val="single" w:sz="4" w:space="0" w:color="auto"/>
              <w:left w:val="nil"/>
              <w:bottom w:val="single" w:sz="6" w:space="0" w:color="auto"/>
              <w:right w:val="nil"/>
            </w:tcBorders>
          </w:tcPr>
          <w:p w14:paraId="6CAAE27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(7)</w:t>
            </w:r>
          </w:p>
        </w:tc>
        <w:tc>
          <w:tcPr>
            <w:tcW w:w="352" w:type="pct"/>
            <w:tcBorders>
              <w:top w:val="single" w:sz="4" w:space="0" w:color="auto"/>
              <w:left w:val="nil"/>
              <w:bottom w:val="single" w:sz="6" w:space="0" w:color="auto"/>
              <w:right w:val="nil"/>
            </w:tcBorders>
          </w:tcPr>
          <w:p w14:paraId="72C00F1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(8)</w:t>
            </w:r>
          </w:p>
        </w:tc>
        <w:tc>
          <w:tcPr>
            <w:tcW w:w="377" w:type="pct"/>
            <w:tcBorders>
              <w:top w:val="single" w:sz="4" w:space="0" w:color="auto"/>
              <w:left w:val="nil"/>
              <w:bottom w:val="single" w:sz="6" w:space="0" w:color="auto"/>
              <w:right w:val="nil"/>
            </w:tcBorders>
          </w:tcPr>
          <w:p w14:paraId="4D0F76AA"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(9)</w:t>
            </w:r>
          </w:p>
        </w:tc>
      </w:tr>
      <w:tr w:rsidR="00EB43A0" w:rsidRPr="000A0B87" w14:paraId="7F33AB64" w14:textId="77777777" w:rsidTr="00921FEE">
        <w:tc>
          <w:tcPr>
            <w:tcW w:w="813" w:type="pct"/>
            <w:tcBorders>
              <w:top w:val="nil"/>
              <w:left w:val="nil"/>
              <w:bottom w:val="nil"/>
              <w:right w:val="nil"/>
            </w:tcBorders>
          </w:tcPr>
          <w:p w14:paraId="1D6A0ED8"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(1) gnr</w:t>
            </w:r>
          </w:p>
        </w:tc>
        <w:tc>
          <w:tcPr>
            <w:tcW w:w="494" w:type="pct"/>
            <w:tcBorders>
              <w:top w:val="nil"/>
              <w:left w:val="nil"/>
              <w:bottom w:val="nil"/>
              <w:right w:val="nil"/>
            </w:tcBorders>
          </w:tcPr>
          <w:p w14:paraId="08C82D31"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494" w:type="pct"/>
            <w:tcBorders>
              <w:top w:val="nil"/>
              <w:left w:val="nil"/>
              <w:bottom w:val="nil"/>
              <w:right w:val="nil"/>
            </w:tcBorders>
          </w:tcPr>
          <w:p w14:paraId="027A778A"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2F48883B"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0C9F018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4B0A441A"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63E36BCA"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26AB1620"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52" w:type="pct"/>
            <w:tcBorders>
              <w:top w:val="nil"/>
              <w:left w:val="nil"/>
              <w:bottom w:val="nil"/>
              <w:right w:val="nil"/>
            </w:tcBorders>
          </w:tcPr>
          <w:p w14:paraId="0C7C9921"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230B2FC0"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29736B1E" w14:textId="77777777" w:rsidTr="00921FEE">
        <w:tc>
          <w:tcPr>
            <w:tcW w:w="813" w:type="pct"/>
            <w:tcBorders>
              <w:top w:val="nil"/>
              <w:left w:val="nil"/>
              <w:bottom w:val="nil"/>
              <w:right w:val="nil"/>
            </w:tcBorders>
          </w:tcPr>
          <w:p w14:paraId="7C4328F0"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(2) decom</w:t>
            </w:r>
          </w:p>
        </w:tc>
        <w:tc>
          <w:tcPr>
            <w:tcW w:w="494" w:type="pct"/>
            <w:tcBorders>
              <w:top w:val="nil"/>
              <w:left w:val="nil"/>
              <w:bottom w:val="nil"/>
              <w:right w:val="nil"/>
            </w:tcBorders>
          </w:tcPr>
          <w:p w14:paraId="37868B1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0.343***</w:t>
            </w:r>
          </w:p>
        </w:tc>
        <w:tc>
          <w:tcPr>
            <w:tcW w:w="494" w:type="pct"/>
            <w:tcBorders>
              <w:top w:val="nil"/>
              <w:left w:val="nil"/>
              <w:bottom w:val="nil"/>
              <w:right w:val="nil"/>
            </w:tcBorders>
          </w:tcPr>
          <w:p w14:paraId="3F925CE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494" w:type="pct"/>
            <w:tcBorders>
              <w:top w:val="nil"/>
              <w:left w:val="nil"/>
              <w:bottom w:val="nil"/>
              <w:right w:val="nil"/>
            </w:tcBorders>
          </w:tcPr>
          <w:p w14:paraId="6D02CD3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1F87221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1E33192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2959D13B"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75BC7DE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52" w:type="pct"/>
            <w:tcBorders>
              <w:top w:val="nil"/>
              <w:left w:val="nil"/>
              <w:bottom w:val="nil"/>
              <w:right w:val="nil"/>
            </w:tcBorders>
          </w:tcPr>
          <w:p w14:paraId="5B36ECF8"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652DCF3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3117DBB9" w14:textId="77777777" w:rsidTr="00921FEE">
        <w:tc>
          <w:tcPr>
            <w:tcW w:w="813" w:type="pct"/>
            <w:tcBorders>
              <w:top w:val="nil"/>
              <w:left w:val="nil"/>
              <w:bottom w:val="nil"/>
              <w:right w:val="nil"/>
            </w:tcBorders>
          </w:tcPr>
          <w:p w14:paraId="4BE11439"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(3) TER</w:t>
            </w:r>
          </w:p>
        </w:tc>
        <w:tc>
          <w:tcPr>
            <w:tcW w:w="494" w:type="pct"/>
            <w:tcBorders>
              <w:top w:val="nil"/>
              <w:left w:val="nil"/>
              <w:bottom w:val="nil"/>
              <w:right w:val="nil"/>
            </w:tcBorders>
          </w:tcPr>
          <w:p w14:paraId="14D19CA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-0.002</w:t>
            </w:r>
          </w:p>
        </w:tc>
        <w:tc>
          <w:tcPr>
            <w:tcW w:w="494" w:type="pct"/>
            <w:tcBorders>
              <w:top w:val="nil"/>
              <w:left w:val="nil"/>
              <w:bottom w:val="nil"/>
              <w:right w:val="nil"/>
            </w:tcBorders>
          </w:tcPr>
          <w:p w14:paraId="4872C918"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-0.016</w:t>
            </w:r>
          </w:p>
        </w:tc>
        <w:tc>
          <w:tcPr>
            <w:tcW w:w="494" w:type="pct"/>
            <w:tcBorders>
              <w:top w:val="nil"/>
              <w:left w:val="nil"/>
              <w:bottom w:val="nil"/>
              <w:right w:val="nil"/>
            </w:tcBorders>
          </w:tcPr>
          <w:p w14:paraId="76997A2D"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494" w:type="pct"/>
            <w:tcBorders>
              <w:top w:val="nil"/>
              <w:left w:val="nil"/>
              <w:bottom w:val="nil"/>
              <w:right w:val="nil"/>
            </w:tcBorders>
          </w:tcPr>
          <w:p w14:paraId="78F1161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53E97966"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3EE32070"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2A602F1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52" w:type="pct"/>
            <w:tcBorders>
              <w:top w:val="nil"/>
              <w:left w:val="nil"/>
              <w:bottom w:val="nil"/>
              <w:right w:val="nil"/>
            </w:tcBorders>
          </w:tcPr>
          <w:p w14:paraId="46FC8836"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61025230"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7642DF7D" w14:textId="77777777" w:rsidTr="00921FEE">
        <w:tc>
          <w:tcPr>
            <w:tcW w:w="813" w:type="pct"/>
            <w:tcBorders>
              <w:top w:val="nil"/>
              <w:left w:val="nil"/>
              <w:bottom w:val="nil"/>
              <w:right w:val="nil"/>
            </w:tcBorders>
          </w:tcPr>
          <w:p w14:paraId="7B550B57"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(4) GNI</w:t>
            </w:r>
          </w:p>
        </w:tc>
        <w:tc>
          <w:tcPr>
            <w:tcW w:w="494" w:type="pct"/>
            <w:tcBorders>
              <w:top w:val="nil"/>
              <w:left w:val="nil"/>
              <w:bottom w:val="nil"/>
              <w:right w:val="nil"/>
            </w:tcBorders>
          </w:tcPr>
          <w:p w14:paraId="08A0FF38"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0.431***</w:t>
            </w:r>
          </w:p>
        </w:tc>
        <w:tc>
          <w:tcPr>
            <w:tcW w:w="494" w:type="pct"/>
            <w:tcBorders>
              <w:top w:val="nil"/>
              <w:left w:val="nil"/>
              <w:bottom w:val="nil"/>
              <w:right w:val="nil"/>
            </w:tcBorders>
          </w:tcPr>
          <w:p w14:paraId="236BCF80"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0.171*</w:t>
            </w:r>
          </w:p>
        </w:tc>
        <w:tc>
          <w:tcPr>
            <w:tcW w:w="494" w:type="pct"/>
            <w:tcBorders>
              <w:top w:val="nil"/>
              <w:left w:val="nil"/>
              <w:bottom w:val="nil"/>
              <w:right w:val="nil"/>
            </w:tcBorders>
          </w:tcPr>
          <w:p w14:paraId="7A04384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0.183**</w:t>
            </w:r>
          </w:p>
        </w:tc>
        <w:tc>
          <w:tcPr>
            <w:tcW w:w="494" w:type="pct"/>
            <w:tcBorders>
              <w:top w:val="nil"/>
              <w:left w:val="nil"/>
              <w:bottom w:val="nil"/>
              <w:right w:val="nil"/>
            </w:tcBorders>
          </w:tcPr>
          <w:p w14:paraId="0EEF6F95"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494" w:type="pct"/>
            <w:tcBorders>
              <w:top w:val="nil"/>
              <w:left w:val="nil"/>
              <w:bottom w:val="nil"/>
              <w:right w:val="nil"/>
            </w:tcBorders>
          </w:tcPr>
          <w:p w14:paraId="129869BE"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7C1D63DA"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0E8CAD7E"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52" w:type="pct"/>
            <w:tcBorders>
              <w:top w:val="nil"/>
              <w:left w:val="nil"/>
              <w:bottom w:val="nil"/>
              <w:right w:val="nil"/>
            </w:tcBorders>
          </w:tcPr>
          <w:p w14:paraId="45E861A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7EF774A5"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01C5F0E5" w14:textId="77777777" w:rsidTr="00921FEE">
        <w:tc>
          <w:tcPr>
            <w:tcW w:w="813" w:type="pct"/>
            <w:tcBorders>
              <w:top w:val="nil"/>
              <w:left w:val="nil"/>
              <w:bottom w:val="nil"/>
              <w:right w:val="nil"/>
            </w:tcBorders>
          </w:tcPr>
          <w:p w14:paraId="7E84C0DB"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(5) att2534</w:t>
            </w:r>
          </w:p>
        </w:tc>
        <w:tc>
          <w:tcPr>
            <w:tcW w:w="494" w:type="pct"/>
            <w:tcBorders>
              <w:top w:val="nil"/>
              <w:left w:val="nil"/>
              <w:bottom w:val="nil"/>
              <w:right w:val="nil"/>
            </w:tcBorders>
          </w:tcPr>
          <w:p w14:paraId="45E79AE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0.167*</w:t>
            </w:r>
          </w:p>
        </w:tc>
        <w:tc>
          <w:tcPr>
            <w:tcW w:w="494" w:type="pct"/>
            <w:tcBorders>
              <w:top w:val="nil"/>
              <w:left w:val="nil"/>
              <w:bottom w:val="nil"/>
              <w:right w:val="nil"/>
            </w:tcBorders>
          </w:tcPr>
          <w:p w14:paraId="612E67C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-0.335***</w:t>
            </w:r>
          </w:p>
        </w:tc>
        <w:tc>
          <w:tcPr>
            <w:tcW w:w="494" w:type="pct"/>
            <w:tcBorders>
              <w:top w:val="nil"/>
              <w:left w:val="nil"/>
              <w:bottom w:val="nil"/>
              <w:right w:val="nil"/>
            </w:tcBorders>
          </w:tcPr>
          <w:p w14:paraId="4C514C8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0.290***</w:t>
            </w:r>
          </w:p>
        </w:tc>
        <w:tc>
          <w:tcPr>
            <w:tcW w:w="494" w:type="pct"/>
            <w:tcBorders>
              <w:top w:val="nil"/>
              <w:left w:val="nil"/>
              <w:bottom w:val="nil"/>
              <w:right w:val="nil"/>
            </w:tcBorders>
          </w:tcPr>
          <w:p w14:paraId="65F10F0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0.549***</w:t>
            </w:r>
          </w:p>
        </w:tc>
        <w:tc>
          <w:tcPr>
            <w:tcW w:w="494" w:type="pct"/>
            <w:tcBorders>
              <w:top w:val="nil"/>
              <w:left w:val="nil"/>
              <w:bottom w:val="nil"/>
              <w:right w:val="nil"/>
            </w:tcBorders>
          </w:tcPr>
          <w:p w14:paraId="6BDAB71D"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494" w:type="pct"/>
            <w:tcBorders>
              <w:top w:val="nil"/>
              <w:left w:val="nil"/>
              <w:bottom w:val="nil"/>
              <w:right w:val="nil"/>
            </w:tcBorders>
          </w:tcPr>
          <w:p w14:paraId="40AFD47D"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494" w:type="pct"/>
            <w:tcBorders>
              <w:top w:val="nil"/>
              <w:left w:val="nil"/>
              <w:bottom w:val="nil"/>
              <w:right w:val="nil"/>
            </w:tcBorders>
          </w:tcPr>
          <w:p w14:paraId="34778A1D"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52" w:type="pct"/>
            <w:tcBorders>
              <w:top w:val="nil"/>
              <w:left w:val="nil"/>
              <w:bottom w:val="nil"/>
              <w:right w:val="nil"/>
            </w:tcBorders>
          </w:tcPr>
          <w:p w14:paraId="68FA580B"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67109235"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14D7D49E" w14:textId="77777777" w:rsidTr="00921FEE">
        <w:tc>
          <w:tcPr>
            <w:tcW w:w="813" w:type="pct"/>
            <w:tcBorders>
              <w:top w:val="nil"/>
              <w:left w:val="nil"/>
              <w:bottom w:val="nil"/>
              <w:right w:val="nil"/>
            </w:tcBorders>
          </w:tcPr>
          <w:p w14:paraId="21B73B6A"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(6) att2564</w:t>
            </w:r>
          </w:p>
        </w:tc>
        <w:tc>
          <w:tcPr>
            <w:tcW w:w="494" w:type="pct"/>
            <w:tcBorders>
              <w:top w:val="nil"/>
              <w:left w:val="nil"/>
              <w:bottom w:val="nil"/>
              <w:right w:val="nil"/>
            </w:tcBorders>
          </w:tcPr>
          <w:p w14:paraId="0D6F0A2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0.275***</w:t>
            </w:r>
          </w:p>
        </w:tc>
        <w:tc>
          <w:tcPr>
            <w:tcW w:w="494" w:type="pct"/>
            <w:tcBorders>
              <w:top w:val="nil"/>
              <w:left w:val="nil"/>
              <w:bottom w:val="nil"/>
              <w:right w:val="nil"/>
            </w:tcBorders>
          </w:tcPr>
          <w:p w14:paraId="77E5774C"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-0.333***</w:t>
            </w:r>
          </w:p>
        </w:tc>
        <w:tc>
          <w:tcPr>
            <w:tcW w:w="494" w:type="pct"/>
            <w:tcBorders>
              <w:top w:val="nil"/>
              <w:left w:val="nil"/>
              <w:bottom w:val="nil"/>
              <w:right w:val="nil"/>
            </w:tcBorders>
          </w:tcPr>
          <w:p w14:paraId="391E857D"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0.341***</w:t>
            </w:r>
          </w:p>
        </w:tc>
        <w:tc>
          <w:tcPr>
            <w:tcW w:w="494" w:type="pct"/>
            <w:tcBorders>
              <w:top w:val="nil"/>
              <w:left w:val="nil"/>
              <w:bottom w:val="nil"/>
              <w:right w:val="nil"/>
            </w:tcBorders>
          </w:tcPr>
          <w:p w14:paraId="62F3CF05"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0.651***</w:t>
            </w:r>
          </w:p>
        </w:tc>
        <w:tc>
          <w:tcPr>
            <w:tcW w:w="494" w:type="pct"/>
            <w:tcBorders>
              <w:top w:val="nil"/>
              <w:left w:val="nil"/>
              <w:bottom w:val="nil"/>
              <w:right w:val="nil"/>
            </w:tcBorders>
          </w:tcPr>
          <w:p w14:paraId="3E59DF0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0.910***</w:t>
            </w:r>
          </w:p>
        </w:tc>
        <w:tc>
          <w:tcPr>
            <w:tcW w:w="494" w:type="pct"/>
            <w:tcBorders>
              <w:top w:val="nil"/>
              <w:left w:val="nil"/>
              <w:bottom w:val="nil"/>
              <w:right w:val="nil"/>
            </w:tcBorders>
          </w:tcPr>
          <w:p w14:paraId="18CD5B05"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494" w:type="pct"/>
            <w:tcBorders>
              <w:top w:val="nil"/>
              <w:left w:val="nil"/>
              <w:bottom w:val="nil"/>
              <w:right w:val="nil"/>
            </w:tcBorders>
          </w:tcPr>
          <w:p w14:paraId="19299BF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52" w:type="pct"/>
            <w:tcBorders>
              <w:top w:val="nil"/>
              <w:left w:val="nil"/>
              <w:bottom w:val="nil"/>
              <w:right w:val="nil"/>
            </w:tcBorders>
          </w:tcPr>
          <w:p w14:paraId="6C523C8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29EA1942"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2B08E3FD" w14:textId="77777777" w:rsidTr="00921FEE">
        <w:tc>
          <w:tcPr>
            <w:tcW w:w="813" w:type="pct"/>
            <w:tcBorders>
              <w:top w:val="nil"/>
              <w:left w:val="nil"/>
              <w:bottom w:val="nil"/>
              <w:right w:val="nil"/>
            </w:tcBorders>
          </w:tcPr>
          <w:p w14:paraId="37046A7F"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(7) y_unemp</w:t>
            </w:r>
          </w:p>
        </w:tc>
        <w:tc>
          <w:tcPr>
            <w:tcW w:w="494" w:type="pct"/>
            <w:tcBorders>
              <w:top w:val="nil"/>
              <w:left w:val="nil"/>
              <w:bottom w:val="nil"/>
              <w:right w:val="nil"/>
            </w:tcBorders>
          </w:tcPr>
          <w:p w14:paraId="3F764D5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-0.334***</w:t>
            </w:r>
          </w:p>
        </w:tc>
        <w:tc>
          <w:tcPr>
            <w:tcW w:w="494" w:type="pct"/>
            <w:tcBorders>
              <w:top w:val="nil"/>
              <w:left w:val="nil"/>
              <w:bottom w:val="nil"/>
              <w:right w:val="nil"/>
            </w:tcBorders>
          </w:tcPr>
          <w:p w14:paraId="3882268D"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0.056</w:t>
            </w:r>
          </w:p>
        </w:tc>
        <w:tc>
          <w:tcPr>
            <w:tcW w:w="494" w:type="pct"/>
            <w:tcBorders>
              <w:top w:val="nil"/>
              <w:left w:val="nil"/>
              <w:bottom w:val="nil"/>
              <w:right w:val="nil"/>
            </w:tcBorders>
          </w:tcPr>
          <w:p w14:paraId="740DB32E"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0.149*</w:t>
            </w:r>
          </w:p>
        </w:tc>
        <w:tc>
          <w:tcPr>
            <w:tcW w:w="494" w:type="pct"/>
            <w:tcBorders>
              <w:top w:val="nil"/>
              <w:left w:val="nil"/>
              <w:bottom w:val="nil"/>
              <w:right w:val="nil"/>
            </w:tcBorders>
          </w:tcPr>
          <w:p w14:paraId="4C9FE23F"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-0.405***</w:t>
            </w:r>
          </w:p>
        </w:tc>
        <w:tc>
          <w:tcPr>
            <w:tcW w:w="494" w:type="pct"/>
            <w:tcBorders>
              <w:top w:val="nil"/>
              <w:left w:val="nil"/>
              <w:bottom w:val="nil"/>
              <w:right w:val="nil"/>
            </w:tcBorders>
          </w:tcPr>
          <w:p w14:paraId="2CB7728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-0.307***</w:t>
            </w:r>
          </w:p>
        </w:tc>
        <w:tc>
          <w:tcPr>
            <w:tcW w:w="494" w:type="pct"/>
            <w:tcBorders>
              <w:top w:val="nil"/>
              <w:left w:val="nil"/>
              <w:bottom w:val="nil"/>
              <w:right w:val="nil"/>
            </w:tcBorders>
          </w:tcPr>
          <w:p w14:paraId="14B0ED7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-0.326***</w:t>
            </w:r>
          </w:p>
        </w:tc>
        <w:tc>
          <w:tcPr>
            <w:tcW w:w="494" w:type="pct"/>
            <w:tcBorders>
              <w:top w:val="nil"/>
              <w:left w:val="nil"/>
              <w:bottom w:val="nil"/>
              <w:right w:val="nil"/>
            </w:tcBorders>
          </w:tcPr>
          <w:p w14:paraId="629210CB"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352" w:type="pct"/>
            <w:tcBorders>
              <w:top w:val="nil"/>
              <w:left w:val="nil"/>
              <w:bottom w:val="nil"/>
              <w:right w:val="nil"/>
            </w:tcBorders>
          </w:tcPr>
          <w:p w14:paraId="189B288B"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c>
          <w:tcPr>
            <w:tcW w:w="377" w:type="pct"/>
            <w:tcBorders>
              <w:top w:val="nil"/>
              <w:left w:val="nil"/>
              <w:bottom w:val="nil"/>
              <w:right w:val="nil"/>
            </w:tcBorders>
          </w:tcPr>
          <w:p w14:paraId="136F2C7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4C40134C" w14:textId="77777777" w:rsidTr="00921FEE">
        <w:tc>
          <w:tcPr>
            <w:tcW w:w="813" w:type="pct"/>
            <w:tcBorders>
              <w:top w:val="nil"/>
              <w:left w:val="nil"/>
              <w:bottom w:val="nil"/>
              <w:right w:val="nil"/>
            </w:tcBorders>
          </w:tcPr>
          <w:p w14:paraId="0F1F1AD5"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(8) ter_ed_dem</w:t>
            </w:r>
          </w:p>
        </w:tc>
        <w:tc>
          <w:tcPr>
            <w:tcW w:w="494" w:type="pct"/>
            <w:tcBorders>
              <w:top w:val="nil"/>
              <w:left w:val="nil"/>
              <w:bottom w:val="nil"/>
              <w:right w:val="nil"/>
            </w:tcBorders>
          </w:tcPr>
          <w:p w14:paraId="37552084"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0.475***</w:t>
            </w:r>
          </w:p>
        </w:tc>
        <w:tc>
          <w:tcPr>
            <w:tcW w:w="494" w:type="pct"/>
            <w:tcBorders>
              <w:top w:val="nil"/>
              <w:left w:val="nil"/>
              <w:bottom w:val="nil"/>
              <w:right w:val="nil"/>
            </w:tcBorders>
          </w:tcPr>
          <w:p w14:paraId="57CD3833"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0.034</w:t>
            </w:r>
          </w:p>
        </w:tc>
        <w:tc>
          <w:tcPr>
            <w:tcW w:w="494" w:type="pct"/>
            <w:tcBorders>
              <w:top w:val="nil"/>
              <w:left w:val="nil"/>
              <w:bottom w:val="nil"/>
              <w:right w:val="nil"/>
            </w:tcBorders>
          </w:tcPr>
          <w:p w14:paraId="76F1EAF8"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0.058</w:t>
            </w:r>
          </w:p>
        </w:tc>
        <w:tc>
          <w:tcPr>
            <w:tcW w:w="494" w:type="pct"/>
            <w:tcBorders>
              <w:top w:val="nil"/>
              <w:left w:val="nil"/>
              <w:bottom w:val="nil"/>
              <w:right w:val="nil"/>
            </w:tcBorders>
          </w:tcPr>
          <w:p w14:paraId="39D02242"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0.676***</w:t>
            </w:r>
          </w:p>
        </w:tc>
        <w:tc>
          <w:tcPr>
            <w:tcW w:w="494" w:type="pct"/>
            <w:tcBorders>
              <w:top w:val="nil"/>
              <w:left w:val="nil"/>
              <w:bottom w:val="nil"/>
              <w:right w:val="nil"/>
            </w:tcBorders>
          </w:tcPr>
          <w:p w14:paraId="00BF02B1"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0.343***</w:t>
            </w:r>
          </w:p>
        </w:tc>
        <w:tc>
          <w:tcPr>
            <w:tcW w:w="494" w:type="pct"/>
            <w:tcBorders>
              <w:top w:val="nil"/>
              <w:left w:val="nil"/>
              <w:bottom w:val="nil"/>
              <w:right w:val="nil"/>
            </w:tcBorders>
          </w:tcPr>
          <w:p w14:paraId="3AD6E311"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0.517***</w:t>
            </w:r>
          </w:p>
        </w:tc>
        <w:tc>
          <w:tcPr>
            <w:tcW w:w="494" w:type="pct"/>
            <w:tcBorders>
              <w:top w:val="nil"/>
              <w:left w:val="nil"/>
              <w:bottom w:val="nil"/>
              <w:right w:val="nil"/>
            </w:tcBorders>
          </w:tcPr>
          <w:p w14:paraId="60D1E7CE"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-0.393***</w:t>
            </w:r>
          </w:p>
        </w:tc>
        <w:tc>
          <w:tcPr>
            <w:tcW w:w="352" w:type="pct"/>
            <w:tcBorders>
              <w:top w:val="nil"/>
              <w:left w:val="nil"/>
              <w:bottom w:val="nil"/>
              <w:right w:val="nil"/>
            </w:tcBorders>
          </w:tcPr>
          <w:p w14:paraId="6FB6ACF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c>
          <w:tcPr>
            <w:tcW w:w="377" w:type="pct"/>
            <w:tcBorders>
              <w:top w:val="nil"/>
              <w:left w:val="nil"/>
              <w:bottom w:val="nil"/>
              <w:right w:val="nil"/>
            </w:tcBorders>
          </w:tcPr>
          <w:p w14:paraId="4E16657C"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p>
        </w:tc>
      </w:tr>
      <w:tr w:rsidR="00EB43A0" w:rsidRPr="000A0B87" w14:paraId="5FD424BF" w14:textId="77777777" w:rsidTr="00921FEE">
        <w:tc>
          <w:tcPr>
            <w:tcW w:w="813" w:type="pct"/>
            <w:tcBorders>
              <w:top w:val="nil"/>
              <w:left w:val="nil"/>
              <w:bottom w:val="nil"/>
              <w:right w:val="nil"/>
            </w:tcBorders>
          </w:tcPr>
          <w:p w14:paraId="51312EDD"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sz w:val="18"/>
                <w:szCs w:val="18"/>
                <w:lang w:val="en-GB"/>
              </w:rPr>
              <w:t>(9) voc</w:t>
            </w:r>
          </w:p>
        </w:tc>
        <w:tc>
          <w:tcPr>
            <w:tcW w:w="494" w:type="pct"/>
            <w:tcBorders>
              <w:top w:val="nil"/>
              <w:left w:val="nil"/>
              <w:bottom w:val="nil"/>
              <w:right w:val="nil"/>
            </w:tcBorders>
          </w:tcPr>
          <w:p w14:paraId="66DFAF7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0.042</w:t>
            </w:r>
          </w:p>
        </w:tc>
        <w:tc>
          <w:tcPr>
            <w:tcW w:w="494" w:type="pct"/>
            <w:tcBorders>
              <w:top w:val="nil"/>
              <w:left w:val="nil"/>
              <w:bottom w:val="nil"/>
              <w:right w:val="nil"/>
            </w:tcBorders>
          </w:tcPr>
          <w:p w14:paraId="2E5B90F8"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0.418***</w:t>
            </w:r>
          </w:p>
        </w:tc>
        <w:tc>
          <w:tcPr>
            <w:tcW w:w="494" w:type="pct"/>
            <w:tcBorders>
              <w:top w:val="nil"/>
              <w:left w:val="nil"/>
              <w:bottom w:val="nil"/>
              <w:right w:val="nil"/>
            </w:tcBorders>
          </w:tcPr>
          <w:p w14:paraId="09D5560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0.004</w:t>
            </w:r>
          </w:p>
        </w:tc>
        <w:tc>
          <w:tcPr>
            <w:tcW w:w="494" w:type="pct"/>
            <w:tcBorders>
              <w:top w:val="nil"/>
              <w:left w:val="nil"/>
              <w:bottom w:val="nil"/>
              <w:right w:val="nil"/>
            </w:tcBorders>
          </w:tcPr>
          <w:p w14:paraId="585245E0"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0.013</w:t>
            </w:r>
          </w:p>
        </w:tc>
        <w:tc>
          <w:tcPr>
            <w:tcW w:w="494" w:type="pct"/>
            <w:tcBorders>
              <w:top w:val="nil"/>
              <w:left w:val="nil"/>
              <w:bottom w:val="nil"/>
              <w:right w:val="nil"/>
            </w:tcBorders>
          </w:tcPr>
          <w:p w14:paraId="674F7B76"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-0.479***</w:t>
            </w:r>
          </w:p>
        </w:tc>
        <w:tc>
          <w:tcPr>
            <w:tcW w:w="494" w:type="pct"/>
            <w:tcBorders>
              <w:top w:val="nil"/>
              <w:left w:val="nil"/>
              <w:bottom w:val="nil"/>
              <w:right w:val="nil"/>
            </w:tcBorders>
          </w:tcPr>
          <w:p w14:paraId="6F405CF1"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-0.393***</w:t>
            </w:r>
          </w:p>
        </w:tc>
        <w:tc>
          <w:tcPr>
            <w:tcW w:w="494" w:type="pct"/>
            <w:tcBorders>
              <w:top w:val="nil"/>
              <w:left w:val="nil"/>
              <w:bottom w:val="nil"/>
              <w:right w:val="nil"/>
            </w:tcBorders>
          </w:tcPr>
          <w:p w14:paraId="133A8C2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0.018</w:t>
            </w:r>
          </w:p>
        </w:tc>
        <w:tc>
          <w:tcPr>
            <w:tcW w:w="352" w:type="pct"/>
            <w:tcBorders>
              <w:top w:val="nil"/>
              <w:left w:val="nil"/>
              <w:bottom w:val="nil"/>
              <w:right w:val="nil"/>
            </w:tcBorders>
          </w:tcPr>
          <w:p w14:paraId="481F7EB9"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0.099</w:t>
            </w:r>
          </w:p>
        </w:tc>
        <w:tc>
          <w:tcPr>
            <w:tcW w:w="377" w:type="pct"/>
            <w:tcBorders>
              <w:top w:val="nil"/>
              <w:left w:val="nil"/>
              <w:bottom w:val="nil"/>
              <w:right w:val="nil"/>
            </w:tcBorders>
          </w:tcPr>
          <w:p w14:paraId="7B4D4EC7" w14:textId="77777777" w:rsidR="00EB43A0" w:rsidRPr="000A0B87" w:rsidRDefault="00EB43A0" w:rsidP="00921FEE">
            <w:pPr>
              <w:widowControl w:val="0"/>
              <w:autoSpaceDE w:val="0"/>
              <w:autoSpaceDN w:val="0"/>
              <w:adjustRightInd w:val="0"/>
              <w:spacing w:after="0" w:line="240" w:lineRule="auto"/>
              <w:jc w:val="right"/>
              <w:rPr>
                <w:rFonts w:ascii="Garamond" w:hAnsi="Garamond"/>
                <w:sz w:val="18"/>
                <w:szCs w:val="18"/>
                <w:lang w:val="en-GB"/>
              </w:rPr>
            </w:pPr>
            <w:r w:rsidRPr="000A0B87">
              <w:rPr>
                <w:rFonts w:ascii="Garamond" w:hAnsi="Garamond"/>
                <w:sz w:val="18"/>
                <w:szCs w:val="18"/>
                <w:lang w:val="en-GB"/>
              </w:rPr>
              <w:t>1.000</w:t>
            </w:r>
          </w:p>
        </w:tc>
      </w:tr>
      <w:tr w:rsidR="00EB43A0" w:rsidRPr="000A0B87" w14:paraId="5D514CED" w14:textId="77777777" w:rsidTr="00921FEE">
        <w:tc>
          <w:tcPr>
            <w:tcW w:w="5000" w:type="pct"/>
            <w:gridSpan w:val="10"/>
            <w:tcBorders>
              <w:top w:val="single" w:sz="6" w:space="0" w:color="auto"/>
              <w:left w:val="nil"/>
              <w:bottom w:val="nil"/>
              <w:right w:val="nil"/>
            </w:tcBorders>
          </w:tcPr>
          <w:p w14:paraId="6892A859" w14:textId="77777777" w:rsidR="00EB43A0" w:rsidRPr="000A0B87" w:rsidRDefault="00EB43A0" w:rsidP="00921FEE">
            <w:pPr>
              <w:widowControl w:val="0"/>
              <w:autoSpaceDE w:val="0"/>
              <w:autoSpaceDN w:val="0"/>
              <w:adjustRightInd w:val="0"/>
              <w:spacing w:after="0" w:line="240" w:lineRule="auto"/>
              <w:rPr>
                <w:rFonts w:ascii="Garamond" w:hAnsi="Garamond"/>
                <w:sz w:val="18"/>
                <w:szCs w:val="18"/>
                <w:lang w:val="en-GB"/>
              </w:rPr>
            </w:pPr>
            <w:r w:rsidRPr="000A0B87">
              <w:rPr>
                <w:rFonts w:ascii="Garamond" w:hAnsi="Garamond"/>
                <w:i/>
                <w:iCs/>
                <w:sz w:val="18"/>
                <w:szCs w:val="18"/>
                <w:lang w:val="en-GB"/>
              </w:rPr>
              <w:t>*** p&lt;0.01, ** p&lt;0.05, * p&lt;0.1</w:t>
            </w:r>
          </w:p>
        </w:tc>
      </w:tr>
    </w:tbl>
    <w:p w14:paraId="1300FDD6" w14:textId="77777777" w:rsidR="00EB43A0" w:rsidRPr="000A0B87" w:rsidRDefault="00EB43A0" w:rsidP="00EB43A0">
      <w:pPr>
        <w:widowControl w:val="0"/>
        <w:autoSpaceDE w:val="0"/>
        <w:autoSpaceDN w:val="0"/>
        <w:adjustRightInd w:val="0"/>
        <w:spacing w:after="0" w:line="240" w:lineRule="auto"/>
        <w:rPr>
          <w:rFonts w:ascii="Garamond" w:hAnsi="Garamond" w:cstheme="minorHAnsi"/>
          <w:b/>
          <w:bCs/>
          <w:sz w:val="20"/>
          <w:szCs w:val="20"/>
          <w:lang w:val="en-GB"/>
        </w:rPr>
      </w:pPr>
    </w:p>
    <w:p w14:paraId="2816B723" w14:textId="77777777" w:rsidR="00EB43A0" w:rsidRDefault="00EB43A0" w:rsidP="00EB43A0">
      <w:pPr>
        <w:widowControl w:val="0"/>
        <w:autoSpaceDE w:val="0"/>
        <w:autoSpaceDN w:val="0"/>
        <w:adjustRightInd w:val="0"/>
        <w:spacing w:after="0" w:line="240" w:lineRule="auto"/>
        <w:rPr>
          <w:rFonts w:ascii="Garamond" w:hAnsi="Garamond" w:cstheme="minorHAnsi"/>
          <w:b/>
          <w:bCs/>
          <w:sz w:val="20"/>
          <w:szCs w:val="20"/>
          <w:lang w:val="en-GB"/>
        </w:rPr>
      </w:pPr>
    </w:p>
    <w:p w14:paraId="0A7C7CA1" w14:textId="77777777" w:rsidR="00EB43A0" w:rsidRDefault="00EB43A0" w:rsidP="00EB43A0">
      <w:pPr>
        <w:widowControl w:val="0"/>
        <w:autoSpaceDE w:val="0"/>
        <w:autoSpaceDN w:val="0"/>
        <w:adjustRightInd w:val="0"/>
        <w:spacing w:after="0" w:line="240" w:lineRule="auto"/>
        <w:rPr>
          <w:rFonts w:ascii="Garamond" w:hAnsi="Garamond" w:cstheme="minorHAnsi"/>
          <w:b/>
          <w:bCs/>
          <w:sz w:val="20"/>
          <w:szCs w:val="20"/>
          <w:lang w:val="en-GB"/>
        </w:rPr>
      </w:pPr>
    </w:p>
    <w:p w14:paraId="64C5E7D4" w14:textId="77777777" w:rsidR="00EB43A0" w:rsidRPr="000A0B87" w:rsidRDefault="00EB43A0" w:rsidP="00EB43A0">
      <w:pPr>
        <w:widowControl w:val="0"/>
        <w:autoSpaceDE w:val="0"/>
        <w:autoSpaceDN w:val="0"/>
        <w:adjustRightInd w:val="0"/>
        <w:spacing w:after="0" w:line="240" w:lineRule="auto"/>
        <w:rPr>
          <w:rFonts w:ascii="Garamond" w:hAnsi="Garamond" w:cstheme="minorHAnsi"/>
          <w:b/>
          <w:bCs/>
          <w:sz w:val="20"/>
          <w:szCs w:val="20"/>
          <w:lang w:val="en-GB"/>
        </w:rPr>
      </w:pPr>
      <w:r w:rsidRPr="000A0B87">
        <w:rPr>
          <w:rFonts w:ascii="Garamond" w:hAnsi="Garamond" w:cstheme="minorHAnsi"/>
          <w:b/>
          <w:bCs/>
          <w:sz w:val="20"/>
          <w:szCs w:val="20"/>
          <w:lang w:val="en-GB"/>
        </w:rPr>
        <w:t>Table O</w:t>
      </w:r>
      <w:r>
        <w:rPr>
          <w:rFonts w:ascii="Garamond" w:hAnsi="Garamond" w:cstheme="minorHAnsi"/>
          <w:b/>
          <w:bCs/>
          <w:sz w:val="20"/>
          <w:szCs w:val="20"/>
          <w:lang w:val="en-GB"/>
        </w:rPr>
        <w:t>R</w:t>
      </w:r>
      <w:r w:rsidRPr="000A0B87">
        <w:rPr>
          <w:rFonts w:ascii="Garamond" w:hAnsi="Garamond" w:cstheme="minorHAnsi"/>
          <w:b/>
          <w:bCs/>
          <w:sz w:val="20"/>
          <w:szCs w:val="20"/>
          <w:lang w:val="en-GB"/>
        </w:rPr>
        <w:t>.</w:t>
      </w:r>
      <w:r>
        <w:rPr>
          <w:rFonts w:ascii="Garamond" w:hAnsi="Garamond" w:cstheme="minorHAnsi"/>
          <w:b/>
          <w:bCs/>
          <w:sz w:val="20"/>
          <w:szCs w:val="20"/>
          <w:lang w:val="en-GB"/>
        </w:rPr>
        <w:t>7</w:t>
      </w:r>
      <w:r w:rsidRPr="000A0B87">
        <w:rPr>
          <w:rFonts w:ascii="Garamond" w:hAnsi="Garamond" w:cstheme="minorHAnsi"/>
          <w:b/>
          <w:bCs/>
          <w:sz w:val="20"/>
          <w:szCs w:val="20"/>
          <w:lang w:val="en-GB"/>
        </w:rPr>
        <w:t xml:space="preserve"> Robustness check of the interaction effect using random effects models </w:t>
      </w:r>
    </w:p>
    <w:tbl>
      <w:tblPr>
        <w:tblW w:w="0" w:type="auto"/>
        <w:tblLook w:val="0000" w:firstRow="0" w:lastRow="0" w:firstColumn="0" w:lastColumn="0" w:noHBand="0" w:noVBand="0"/>
      </w:tblPr>
      <w:tblGrid>
        <w:gridCol w:w="1211"/>
        <w:gridCol w:w="832"/>
        <w:gridCol w:w="832"/>
      </w:tblGrid>
      <w:tr w:rsidR="00EB43A0" w:rsidRPr="000A0B87" w14:paraId="5D54DE18" w14:textId="77777777" w:rsidTr="00921FEE">
        <w:tc>
          <w:tcPr>
            <w:tcW w:w="0" w:type="auto"/>
            <w:tcBorders>
              <w:top w:val="single" w:sz="4" w:space="0" w:color="auto"/>
              <w:left w:val="nil"/>
              <w:bottom w:val="nil"/>
              <w:right w:val="nil"/>
            </w:tcBorders>
          </w:tcPr>
          <w:p w14:paraId="175BAAD3"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single" w:sz="4" w:space="0" w:color="auto"/>
              <w:left w:val="nil"/>
              <w:bottom w:val="nil"/>
              <w:right w:val="nil"/>
            </w:tcBorders>
          </w:tcPr>
          <w:p w14:paraId="32B52F54"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(1)</w:t>
            </w:r>
          </w:p>
        </w:tc>
        <w:tc>
          <w:tcPr>
            <w:tcW w:w="0" w:type="auto"/>
            <w:tcBorders>
              <w:top w:val="single" w:sz="4" w:space="0" w:color="auto"/>
              <w:left w:val="nil"/>
              <w:bottom w:val="nil"/>
              <w:right w:val="nil"/>
            </w:tcBorders>
          </w:tcPr>
          <w:p w14:paraId="6BE578B6"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(2)</w:t>
            </w:r>
          </w:p>
        </w:tc>
      </w:tr>
      <w:tr w:rsidR="00EB43A0" w:rsidRPr="000A0B87" w14:paraId="0236B299" w14:textId="77777777" w:rsidTr="00921FEE">
        <w:tc>
          <w:tcPr>
            <w:tcW w:w="0" w:type="auto"/>
            <w:tcBorders>
              <w:top w:val="single" w:sz="4" w:space="0" w:color="auto"/>
              <w:left w:val="nil"/>
              <w:bottom w:val="nil"/>
              <w:right w:val="nil"/>
            </w:tcBorders>
          </w:tcPr>
          <w:p w14:paraId="1BD921DA"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p>
        </w:tc>
        <w:tc>
          <w:tcPr>
            <w:tcW w:w="0" w:type="auto"/>
            <w:gridSpan w:val="2"/>
            <w:tcBorders>
              <w:top w:val="single" w:sz="4" w:space="0" w:color="auto"/>
              <w:left w:val="nil"/>
              <w:bottom w:val="nil"/>
              <w:right w:val="nil"/>
            </w:tcBorders>
          </w:tcPr>
          <w:p w14:paraId="73F46795"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TER</w:t>
            </w:r>
          </w:p>
        </w:tc>
      </w:tr>
      <w:tr w:rsidR="00B46E5C" w:rsidRPr="000A0B87" w14:paraId="23111DE4" w14:textId="77777777" w:rsidTr="00921FEE">
        <w:tc>
          <w:tcPr>
            <w:tcW w:w="0" w:type="auto"/>
            <w:tcBorders>
              <w:top w:val="single" w:sz="4" w:space="0" w:color="auto"/>
              <w:left w:val="nil"/>
              <w:bottom w:val="nil"/>
              <w:right w:val="nil"/>
            </w:tcBorders>
          </w:tcPr>
          <w:p w14:paraId="076E479D"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gnr</w:t>
            </w:r>
          </w:p>
        </w:tc>
        <w:tc>
          <w:tcPr>
            <w:tcW w:w="0" w:type="auto"/>
            <w:tcBorders>
              <w:top w:val="single" w:sz="4" w:space="0" w:color="auto"/>
              <w:left w:val="nil"/>
              <w:bottom w:val="nil"/>
              <w:right w:val="nil"/>
            </w:tcBorders>
          </w:tcPr>
          <w:p w14:paraId="2CBE1613" w14:textId="4D9B223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0.087</w:t>
            </w:r>
          </w:p>
        </w:tc>
        <w:tc>
          <w:tcPr>
            <w:tcW w:w="0" w:type="auto"/>
            <w:tcBorders>
              <w:top w:val="single" w:sz="4" w:space="0" w:color="auto"/>
              <w:left w:val="nil"/>
              <w:bottom w:val="nil"/>
              <w:right w:val="nil"/>
            </w:tcBorders>
          </w:tcPr>
          <w:p w14:paraId="13619EAD"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r>
      <w:tr w:rsidR="00B46E5C" w:rsidRPr="000A0B87" w14:paraId="7B3D0312" w14:textId="77777777" w:rsidTr="00921FEE">
        <w:tc>
          <w:tcPr>
            <w:tcW w:w="0" w:type="auto"/>
            <w:tcBorders>
              <w:top w:val="nil"/>
              <w:left w:val="nil"/>
              <w:bottom w:val="nil"/>
              <w:right w:val="nil"/>
            </w:tcBorders>
          </w:tcPr>
          <w:p w14:paraId="62B47726"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404BE1A8" w14:textId="537C7FD5"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(0.178)</w:t>
            </w:r>
          </w:p>
        </w:tc>
        <w:tc>
          <w:tcPr>
            <w:tcW w:w="0" w:type="auto"/>
            <w:tcBorders>
              <w:top w:val="nil"/>
              <w:left w:val="nil"/>
              <w:bottom w:val="nil"/>
              <w:right w:val="nil"/>
            </w:tcBorders>
          </w:tcPr>
          <w:p w14:paraId="3A1CBAF4"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r>
      <w:tr w:rsidR="00B46E5C" w:rsidRPr="000A0B87" w14:paraId="3F6DA83D" w14:textId="77777777" w:rsidTr="00921FEE">
        <w:tc>
          <w:tcPr>
            <w:tcW w:w="0" w:type="auto"/>
            <w:tcBorders>
              <w:top w:val="nil"/>
              <w:left w:val="nil"/>
              <w:bottom w:val="nil"/>
              <w:right w:val="nil"/>
            </w:tcBorders>
          </w:tcPr>
          <w:p w14:paraId="6EABC0F9"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4E16FEFA"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634093A9"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2EAF1735" w14:textId="77777777" w:rsidTr="00921FEE">
        <w:tc>
          <w:tcPr>
            <w:tcW w:w="0" w:type="auto"/>
            <w:tcBorders>
              <w:top w:val="nil"/>
              <w:left w:val="nil"/>
              <w:bottom w:val="nil"/>
              <w:right w:val="nil"/>
            </w:tcBorders>
          </w:tcPr>
          <w:p w14:paraId="6CDC10F0"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decom</w:t>
            </w:r>
          </w:p>
        </w:tc>
        <w:tc>
          <w:tcPr>
            <w:tcW w:w="0" w:type="auto"/>
            <w:tcBorders>
              <w:top w:val="nil"/>
              <w:left w:val="nil"/>
              <w:bottom w:val="nil"/>
              <w:right w:val="nil"/>
            </w:tcBorders>
          </w:tcPr>
          <w:p w14:paraId="5182ACCA"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c>
          <w:tcPr>
            <w:tcW w:w="0" w:type="auto"/>
            <w:tcBorders>
              <w:top w:val="nil"/>
              <w:left w:val="nil"/>
              <w:bottom w:val="nil"/>
              <w:right w:val="nil"/>
            </w:tcBorders>
          </w:tcPr>
          <w:p w14:paraId="1D2BA6EA" w14:textId="55AF4E4F"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-0.255*</w:t>
            </w:r>
          </w:p>
        </w:tc>
      </w:tr>
      <w:tr w:rsidR="00B46E5C" w:rsidRPr="000A0B87" w14:paraId="7CC74A2D" w14:textId="77777777" w:rsidTr="00921FEE">
        <w:tc>
          <w:tcPr>
            <w:tcW w:w="0" w:type="auto"/>
            <w:tcBorders>
              <w:top w:val="nil"/>
              <w:left w:val="nil"/>
              <w:bottom w:val="nil"/>
              <w:right w:val="nil"/>
            </w:tcBorders>
          </w:tcPr>
          <w:p w14:paraId="0E1A0893"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17C7AB59"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c>
          <w:tcPr>
            <w:tcW w:w="0" w:type="auto"/>
            <w:tcBorders>
              <w:top w:val="nil"/>
              <w:left w:val="nil"/>
              <w:bottom w:val="nil"/>
              <w:right w:val="nil"/>
            </w:tcBorders>
          </w:tcPr>
          <w:p w14:paraId="620534CB" w14:textId="415C1A9F"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(0.143)</w:t>
            </w:r>
          </w:p>
        </w:tc>
      </w:tr>
      <w:tr w:rsidR="00B46E5C" w:rsidRPr="000A0B87" w14:paraId="5FFCFB90" w14:textId="77777777" w:rsidTr="00921FEE">
        <w:tc>
          <w:tcPr>
            <w:tcW w:w="0" w:type="auto"/>
            <w:tcBorders>
              <w:top w:val="nil"/>
              <w:left w:val="nil"/>
              <w:bottom w:val="nil"/>
              <w:right w:val="nil"/>
            </w:tcBorders>
          </w:tcPr>
          <w:p w14:paraId="047598E9"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2E77E029"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47DF639B"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7277B5F8" w14:textId="77777777" w:rsidTr="00921FEE">
        <w:tc>
          <w:tcPr>
            <w:tcW w:w="0" w:type="auto"/>
            <w:tcBorders>
              <w:top w:val="nil"/>
              <w:left w:val="nil"/>
              <w:bottom w:val="nil"/>
              <w:right w:val="nil"/>
            </w:tcBorders>
          </w:tcPr>
          <w:p w14:paraId="074B9D61"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att25-64</w:t>
            </w:r>
          </w:p>
        </w:tc>
        <w:tc>
          <w:tcPr>
            <w:tcW w:w="0" w:type="auto"/>
            <w:tcBorders>
              <w:top w:val="nil"/>
              <w:left w:val="nil"/>
              <w:bottom w:val="nil"/>
              <w:right w:val="nil"/>
            </w:tcBorders>
          </w:tcPr>
          <w:p w14:paraId="7AE15273" w14:textId="1C966BED"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0.361*</w:t>
            </w:r>
          </w:p>
        </w:tc>
        <w:tc>
          <w:tcPr>
            <w:tcW w:w="0" w:type="auto"/>
            <w:tcBorders>
              <w:top w:val="nil"/>
              <w:left w:val="nil"/>
              <w:bottom w:val="nil"/>
              <w:right w:val="nil"/>
            </w:tcBorders>
          </w:tcPr>
          <w:p w14:paraId="3124F92B" w14:textId="79B8A240"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0.286*</w:t>
            </w:r>
          </w:p>
        </w:tc>
      </w:tr>
      <w:tr w:rsidR="00B46E5C" w:rsidRPr="000A0B87" w14:paraId="58E1D506" w14:textId="77777777" w:rsidTr="00921FEE">
        <w:tc>
          <w:tcPr>
            <w:tcW w:w="0" w:type="auto"/>
            <w:tcBorders>
              <w:top w:val="nil"/>
              <w:left w:val="nil"/>
              <w:bottom w:val="nil"/>
              <w:right w:val="nil"/>
            </w:tcBorders>
          </w:tcPr>
          <w:p w14:paraId="758CD2A4"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3679DEFB" w14:textId="3B3565B0"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(0.196)</w:t>
            </w:r>
          </w:p>
        </w:tc>
        <w:tc>
          <w:tcPr>
            <w:tcW w:w="0" w:type="auto"/>
            <w:tcBorders>
              <w:top w:val="nil"/>
              <w:left w:val="nil"/>
              <w:bottom w:val="nil"/>
              <w:right w:val="nil"/>
            </w:tcBorders>
          </w:tcPr>
          <w:p w14:paraId="7C6C1155" w14:textId="0A8AF545"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(0.170)</w:t>
            </w:r>
          </w:p>
        </w:tc>
      </w:tr>
      <w:tr w:rsidR="00B46E5C" w:rsidRPr="000A0B87" w14:paraId="1B1F16A3" w14:textId="77777777" w:rsidTr="00921FEE">
        <w:tc>
          <w:tcPr>
            <w:tcW w:w="0" w:type="auto"/>
            <w:tcBorders>
              <w:top w:val="nil"/>
              <w:left w:val="nil"/>
              <w:bottom w:val="nil"/>
              <w:right w:val="nil"/>
            </w:tcBorders>
          </w:tcPr>
          <w:p w14:paraId="6AB63DCA"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6C6D5CD3"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3A8F00D1"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3CB5A7A8" w14:textId="77777777" w:rsidTr="00921FEE">
        <w:tc>
          <w:tcPr>
            <w:tcW w:w="0" w:type="auto"/>
            <w:tcBorders>
              <w:top w:val="nil"/>
              <w:left w:val="nil"/>
              <w:bottom w:val="nil"/>
              <w:right w:val="nil"/>
            </w:tcBorders>
          </w:tcPr>
          <w:p w14:paraId="12B43459"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gnr*att25-64</w:t>
            </w:r>
          </w:p>
        </w:tc>
        <w:tc>
          <w:tcPr>
            <w:tcW w:w="0" w:type="auto"/>
            <w:tcBorders>
              <w:top w:val="nil"/>
              <w:left w:val="nil"/>
              <w:bottom w:val="nil"/>
              <w:right w:val="nil"/>
            </w:tcBorders>
          </w:tcPr>
          <w:p w14:paraId="2648F899" w14:textId="0FF013DD"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-0.005</w:t>
            </w:r>
          </w:p>
        </w:tc>
        <w:tc>
          <w:tcPr>
            <w:tcW w:w="0" w:type="auto"/>
            <w:tcBorders>
              <w:top w:val="nil"/>
              <w:left w:val="nil"/>
              <w:bottom w:val="nil"/>
              <w:right w:val="nil"/>
            </w:tcBorders>
          </w:tcPr>
          <w:p w14:paraId="5875DD3F"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r>
      <w:tr w:rsidR="00B46E5C" w:rsidRPr="000A0B87" w14:paraId="666187DA" w14:textId="77777777" w:rsidTr="00921FEE">
        <w:tc>
          <w:tcPr>
            <w:tcW w:w="0" w:type="auto"/>
            <w:tcBorders>
              <w:top w:val="nil"/>
              <w:left w:val="nil"/>
              <w:bottom w:val="nil"/>
              <w:right w:val="nil"/>
            </w:tcBorders>
          </w:tcPr>
          <w:p w14:paraId="1FEDB5D8"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7D65E2D3" w14:textId="0836B6D1"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(0.005)</w:t>
            </w:r>
          </w:p>
        </w:tc>
        <w:tc>
          <w:tcPr>
            <w:tcW w:w="0" w:type="auto"/>
            <w:tcBorders>
              <w:top w:val="nil"/>
              <w:left w:val="nil"/>
              <w:bottom w:val="nil"/>
              <w:right w:val="nil"/>
            </w:tcBorders>
          </w:tcPr>
          <w:p w14:paraId="48BBC42B"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r>
      <w:tr w:rsidR="00B46E5C" w:rsidRPr="000A0B87" w14:paraId="1054115D" w14:textId="77777777" w:rsidTr="00921FEE">
        <w:tc>
          <w:tcPr>
            <w:tcW w:w="0" w:type="auto"/>
            <w:tcBorders>
              <w:top w:val="nil"/>
              <w:left w:val="nil"/>
              <w:bottom w:val="nil"/>
              <w:right w:val="nil"/>
            </w:tcBorders>
          </w:tcPr>
          <w:p w14:paraId="46A5950E"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59541246"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094DFF9E"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579206FE" w14:textId="77777777" w:rsidTr="00921FEE">
        <w:tc>
          <w:tcPr>
            <w:tcW w:w="0" w:type="auto"/>
            <w:tcBorders>
              <w:top w:val="nil"/>
              <w:left w:val="nil"/>
              <w:bottom w:val="nil"/>
              <w:right w:val="nil"/>
            </w:tcBorders>
          </w:tcPr>
          <w:p w14:paraId="042AE2C6"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decom*att25-64</w:t>
            </w:r>
          </w:p>
        </w:tc>
        <w:tc>
          <w:tcPr>
            <w:tcW w:w="0" w:type="auto"/>
            <w:tcBorders>
              <w:top w:val="nil"/>
              <w:left w:val="nil"/>
              <w:bottom w:val="nil"/>
              <w:right w:val="nil"/>
            </w:tcBorders>
          </w:tcPr>
          <w:p w14:paraId="7C4A6C11"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c>
          <w:tcPr>
            <w:tcW w:w="0" w:type="auto"/>
            <w:tcBorders>
              <w:top w:val="nil"/>
              <w:left w:val="nil"/>
              <w:bottom w:val="nil"/>
              <w:right w:val="nil"/>
            </w:tcBorders>
          </w:tcPr>
          <w:p w14:paraId="4E20B379" w14:textId="2489D3D3"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0.007**</w:t>
            </w:r>
          </w:p>
        </w:tc>
      </w:tr>
      <w:tr w:rsidR="00B46E5C" w:rsidRPr="000A0B87" w14:paraId="3057C7E9" w14:textId="77777777" w:rsidTr="00921FEE">
        <w:tc>
          <w:tcPr>
            <w:tcW w:w="0" w:type="auto"/>
            <w:tcBorders>
              <w:top w:val="nil"/>
              <w:left w:val="nil"/>
              <w:bottom w:val="nil"/>
              <w:right w:val="nil"/>
            </w:tcBorders>
          </w:tcPr>
          <w:p w14:paraId="1823168B"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152484ED" w14:textId="7777777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p>
        </w:tc>
        <w:tc>
          <w:tcPr>
            <w:tcW w:w="0" w:type="auto"/>
            <w:tcBorders>
              <w:top w:val="nil"/>
              <w:left w:val="nil"/>
              <w:bottom w:val="nil"/>
              <w:right w:val="nil"/>
            </w:tcBorders>
          </w:tcPr>
          <w:p w14:paraId="350C34F1" w14:textId="56900A23"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(0.003)</w:t>
            </w:r>
          </w:p>
        </w:tc>
      </w:tr>
      <w:tr w:rsidR="00B46E5C" w:rsidRPr="000A0B87" w14:paraId="3478EB67" w14:textId="77777777" w:rsidTr="00921FEE">
        <w:tc>
          <w:tcPr>
            <w:tcW w:w="0" w:type="auto"/>
            <w:tcBorders>
              <w:top w:val="nil"/>
              <w:left w:val="nil"/>
              <w:bottom w:val="nil"/>
              <w:right w:val="nil"/>
            </w:tcBorders>
          </w:tcPr>
          <w:p w14:paraId="329CFEA0"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4BE116D1"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15352FD6"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19D2BAE2" w14:textId="77777777" w:rsidTr="00921FEE">
        <w:tc>
          <w:tcPr>
            <w:tcW w:w="0" w:type="auto"/>
            <w:tcBorders>
              <w:top w:val="nil"/>
              <w:left w:val="nil"/>
              <w:bottom w:val="nil"/>
              <w:right w:val="nil"/>
            </w:tcBorders>
          </w:tcPr>
          <w:p w14:paraId="1DEB8CE9"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y_unemp</w:t>
            </w:r>
          </w:p>
        </w:tc>
        <w:tc>
          <w:tcPr>
            <w:tcW w:w="0" w:type="auto"/>
            <w:tcBorders>
              <w:top w:val="nil"/>
              <w:left w:val="nil"/>
              <w:bottom w:val="nil"/>
              <w:right w:val="nil"/>
            </w:tcBorders>
          </w:tcPr>
          <w:p w14:paraId="70898CDA" w14:textId="64DB69F6"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0.207**</w:t>
            </w:r>
          </w:p>
        </w:tc>
        <w:tc>
          <w:tcPr>
            <w:tcW w:w="0" w:type="auto"/>
            <w:tcBorders>
              <w:top w:val="nil"/>
              <w:left w:val="nil"/>
              <w:bottom w:val="nil"/>
              <w:right w:val="nil"/>
            </w:tcBorders>
          </w:tcPr>
          <w:p w14:paraId="67ED689A" w14:textId="6659F266"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0.209**</w:t>
            </w:r>
          </w:p>
        </w:tc>
      </w:tr>
      <w:tr w:rsidR="00B46E5C" w:rsidRPr="000A0B87" w14:paraId="34D7CBE3" w14:textId="77777777" w:rsidTr="00921FEE">
        <w:tc>
          <w:tcPr>
            <w:tcW w:w="0" w:type="auto"/>
            <w:tcBorders>
              <w:top w:val="nil"/>
              <w:left w:val="nil"/>
              <w:bottom w:val="nil"/>
              <w:right w:val="nil"/>
            </w:tcBorders>
          </w:tcPr>
          <w:p w14:paraId="445828E6"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0525CD42" w14:textId="23B52852"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(0.085)</w:t>
            </w:r>
          </w:p>
        </w:tc>
        <w:tc>
          <w:tcPr>
            <w:tcW w:w="0" w:type="auto"/>
            <w:tcBorders>
              <w:top w:val="nil"/>
              <w:left w:val="nil"/>
              <w:bottom w:val="nil"/>
              <w:right w:val="nil"/>
            </w:tcBorders>
          </w:tcPr>
          <w:p w14:paraId="16401E51" w14:textId="77D88F87"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(0.090)</w:t>
            </w:r>
          </w:p>
        </w:tc>
      </w:tr>
      <w:tr w:rsidR="00B46E5C" w:rsidRPr="000A0B87" w14:paraId="777EBA15" w14:textId="77777777" w:rsidTr="00921FEE">
        <w:tc>
          <w:tcPr>
            <w:tcW w:w="0" w:type="auto"/>
            <w:tcBorders>
              <w:top w:val="nil"/>
              <w:left w:val="nil"/>
              <w:bottom w:val="nil"/>
              <w:right w:val="nil"/>
            </w:tcBorders>
          </w:tcPr>
          <w:p w14:paraId="55B5A1B9"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340A2361"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03FC0CAB"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3B8AD533" w14:textId="77777777" w:rsidTr="00921FEE">
        <w:tc>
          <w:tcPr>
            <w:tcW w:w="0" w:type="auto"/>
            <w:tcBorders>
              <w:top w:val="nil"/>
              <w:left w:val="nil"/>
              <w:bottom w:val="nil"/>
              <w:right w:val="nil"/>
            </w:tcBorders>
          </w:tcPr>
          <w:p w14:paraId="53B5C026"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GNI</w:t>
            </w:r>
          </w:p>
        </w:tc>
        <w:tc>
          <w:tcPr>
            <w:tcW w:w="0" w:type="auto"/>
            <w:tcBorders>
              <w:top w:val="nil"/>
              <w:left w:val="nil"/>
              <w:bottom w:val="nil"/>
              <w:right w:val="nil"/>
            </w:tcBorders>
          </w:tcPr>
          <w:p w14:paraId="7E9949D8" w14:textId="0EA30E5D"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-0.002</w:t>
            </w:r>
          </w:p>
        </w:tc>
        <w:tc>
          <w:tcPr>
            <w:tcW w:w="0" w:type="auto"/>
            <w:tcBorders>
              <w:top w:val="nil"/>
              <w:left w:val="nil"/>
              <w:bottom w:val="nil"/>
              <w:right w:val="nil"/>
            </w:tcBorders>
          </w:tcPr>
          <w:p w14:paraId="59B2CDB7" w14:textId="3A9122A8"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-0.006</w:t>
            </w:r>
          </w:p>
        </w:tc>
      </w:tr>
      <w:tr w:rsidR="00B46E5C" w:rsidRPr="000A0B87" w14:paraId="624A2663" w14:textId="77777777" w:rsidTr="00921FEE">
        <w:tc>
          <w:tcPr>
            <w:tcW w:w="0" w:type="auto"/>
            <w:tcBorders>
              <w:top w:val="nil"/>
              <w:left w:val="nil"/>
              <w:bottom w:val="nil"/>
              <w:right w:val="nil"/>
            </w:tcBorders>
          </w:tcPr>
          <w:p w14:paraId="5821D8B2"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25831655" w14:textId="799CE56D"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(0.087)</w:t>
            </w:r>
          </w:p>
        </w:tc>
        <w:tc>
          <w:tcPr>
            <w:tcW w:w="0" w:type="auto"/>
            <w:tcBorders>
              <w:top w:val="nil"/>
              <w:left w:val="nil"/>
              <w:bottom w:val="nil"/>
              <w:right w:val="nil"/>
            </w:tcBorders>
          </w:tcPr>
          <w:p w14:paraId="30FC8369" w14:textId="5D7B174F"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(0.095)</w:t>
            </w:r>
          </w:p>
        </w:tc>
      </w:tr>
      <w:tr w:rsidR="00B46E5C" w:rsidRPr="000A0B87" w14:paraId="2D3263F6" w14:textId="77777777" w:rsidTr="00921FEE">
        <w:tc>
          <w:tcPr>
            <w:tcW w:w="0" w:type="auto"/>
            <w:tcBorders>
              <w:top w:val="nil"/>
              <w:left w:val="nil"/>
              <w:bottom w:val="nil"/>
              <w:right w:val="nil"/>
            </w:tcBorders>
          </w:tcPr>
          <w:p w14:paraId="51AF9C99"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5917845B"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nil"/>
              <w:right w:val="nil"/>
            </w:tcBorders>
          </w:tcPr>
          <w:p w14:paraId="763D6AAD" w14:textId="77777777" w:rsidR="00B46E5C" w:rsidRPr="00B46E5C"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r>
      <w:tr w:rsidR="00B46E5C" w:rsidRPr="000A0B87" w14:paraId="1F9F0C5E" w14:textId="77777777" w:rsidTr="00921FEE">
        <w:tc>
          <w:tcPr>
            <w:tcW w:w="0" w:type="auto"/>
            <w:tcBorders>
              <w:top w:val="nil"/>
              <w:left w:val="nil"/>
              <w:bottom w:val="nil"/>
              <w:right w:val="nil"/>
            </w:tcBorders>
          </w:tcPr>
          <w:p w14:paraId="0131AA9D"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Cons.</w:t>
            </w:r>
          </w:p>
        </w:tc>
        <w:tc>
          <w:tcPr>
            <w:tcW w:w="0" w:type="auto"/>
            <w:tcBorders>
              <w:top w:val="nil"/>
              <w:left w:val="nil"/>
              <w:bottom w:val="nil"/>
              <w:right w:val="nil"/>
            </w:tcBorders>
          </w:tcPr>
          <w:p w14:paraId="696AFF22" w14:textId="0EADDE38"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19.224***</w:t>
            </w:r>
          </w:p>
        </w:tc>
        <w:tc>
          <w:tcPr>
            <w:tcW w:w="0" w:type="auto"/>
            <w:tcBorders>
              <w:top w:val="nil"/>
              <w:left w:val="nil"/>
              <w:bottom w:val="nil"/>
              <w:right w:val="nil"/>
            </w:tcBorders>
          </w:tcPr>
          <w:p w14:paraId="48CA9ABC" w14:textId="18303865"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20.790***</w:t>
            </w:r>
          </w:p>
        </w:tc>
      </w:tr>
      <w:tr w:rsidR="00B46E5C" w:rsidRPr="000A0B87" w14:paraId="42761DE7" w14:textId="77777777" w:rsidTr="00921FEE">
        <w:tc>
          <w:tcPr>
            <w:tcW w:w="0" w:type="auto"/>
            <w:tcBorders>
              <w:top w:val="nil"/>
              <w:left w:val="nil"/>
              <w:bottom w:val="single" w:sz="4" w:space="0" w:color="auto"/>
              <w:right w:val="nil"/>
            </w:tcBorders>
          </w:tcPr>
          <w:p w14:paraId="33AA4578" w14:textId="77777777" w:rsidR="00B46E5C" w:rsidRPr="000A0B87" w:rsidRDefault="00B46E5C" w:rsidP="00B46E5C">
            <w:pPr>
              <w:widowControl w:val="0"/>
              <w:autoSpaceDE w:val="0"/>
              <w:autoSpaceDN w:val="0"/>
              <w:adjustRightInd w:val="0"/>
              <w:spacing w:after="0" w:line="240" w:lineRule="auto"/>
              <w:rPr>
                <w:rFonts w:ascii="Garamond" w:hAnsi="Garamond" w:cs="Times New Roman"/>
                <w:sz w:val="16"/>
                <w:szCs w:val="16"/>
                <w:lang w:val="en-GB"/>
              </w:rPr>
            </w:pPr>
          </w:p>
        </w:tc>
        <w:tc>
          <w:tcPr>
            <w:tcW w:w="0" w:type="auto"/>
            <w:tcBorders>
              <w:top w:val="nil"/>
              <w:left w:val="nil"/>
              <w:bottom w:val="single" w:sz="4" w:space="0" w:color="auto"/>
              <w:right w:val="nil"/>
            </w:tcBorders>
          </w:tcPr>
          <w:p w14:paraId="2637E5D6" w14:textId="0CF0415A"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(4.960)</w:t>
            </w:r>
          </w:p>
        </w:tc>
        <w:tc>
          <w:tcPr>
            <w:tcW w:w="0" w:type="auto"/>
            <w:tcBorders>
              <w:top w:val="nil"/>
              <w:left w:val="nil"/>
              <w:bottom w:val="single" w:sz="4" w:space="0" w:color="auto"/>
              <w:right w:val="nil"/>
            </w:tcBorders>
          </w:tcPr>
          <w:p w14:paraId="49790308" w14:textId="7807D82F" w:rsidR="00B46E5C" w:rsidRPr="00B46E5C" w:rsidRDefault="00B46E5C" w:rsidP="00B46E5C">
            <w:pPr>
              <w:widowControl w:val="0"/>
              <w:autoSpaceDE w:val="0"/>
              <w:autoSpaceDN w:val="0"/>
              <w:adjustRightInd w:val="0"/>
              <w:spacing w:after="0" w:line="240" w:lineRule="auto"/>
              <w:jc w:val="center"/>
              <w:rPr>
                <w:rFonts w:ascii="Garamond" w:hAnsi="Garamond" w:cs="Times New Roman"/>
                <w:sz w:val="16"/>
                <w:szCs w:val="16"/>
                <w:lang w:val="en-GB"/>
              </w:rPr>
            </w:pPr>
            <w:r w:rsidRPr="00B46E5C">
              <w:rPr>
                <w:rFonts w:ascii="Garamond" w:hAnsi="Garamond"/>
                <w:sz w:val="16"/>
                <w:szCs w:val="16"/>
              </w:rPr>
              <w:t>(3.969)</w:t>
            </w:r>
          </w:p>
        </w:tc>
      </w:tr>
      <w:tr w:rsidR="00EB43A0" w:rsidRPr="000A0B87" w14:paraId="2587B7DA" w14:textId="77777777" w:rsidTr="00921FEE">
        <w:tc>
          <w:tcPr>
            <w:tcW w:w="0" w:type="auto"/>
            <w:tcBorders>
              <w:top w:val="single" w:sz="4" w:space="0" w:color="auto"/>
              <w:left w:val="nil"/>
              <w:bottom w:val="nil"/>
              <w:right w:val="nil"/>
            </w:tcBorders>
          </w:tcPr>
          <w:p w14:paraId="4865F225"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chi2</w:t>
            </w:r>
          </w:p>
        </w:tc>
        <w:tc>
          <w:tcPr>
            <w:tcW w:w="0" w:type="auto"/>
            <w:tcBorders>
              <w:top w:val="single" w:sz="4" w:space="0" w:color="auto"/>
              <w:left w:val="nil"/>
              <w:bottom w:val="nil"/>
              <w:right w:val="nil"/>
            </w:tcBorders>
          </w:tcPr>
          <w:p w14:paraId="0A075D5F" w14:textId="164A7F6A" w:rsidR="00EB43A0" w:rsidRPr="000A0B87" w:rsidRDefault="00B46E5C" w:rsidP="00921FEE">
            <w:pPr>
              <w:widowControl w:val="0"/>
              <w:autoSpaceDE w:val="0"/>
              <w:autoSpaceDN w:val="0"/>
              <w:adjustRightInd w:val="0"/>
              <w:spacing w:after="0" w:line="240" w:lineRule="auto"/>
              <w:jc w:val="center"/>
              <w:rPr>
                <w:rFonts w:ascii="Garamond" w:hAnsi="Garamond" w:cs="Times New Roman"/>
                <w:sz w:val="16"/>
                <w:szCs w:val="16"/>
                <w:lang w:val="en-GB"/>
              </w:rPr>
            </w:pPr>
            <w:r>
              <w:rPr>
                <w:rFonts w:ascii="Garamond" w:hAnsi="Garamond" w:cs="Times New Roman"/>
                <w:sz w:val="16"/>
                <w:szCs w:val="16"/>
                <w:lang w:val="en-GB"/>
              </w:rPr>
              <w:t>16.59</w:t>
            </w:r>
            <w:r w:rsidR="00EB43A0" w:rsidRPr="000A0B87">
              <w:rPr>
                <w:rFonts w:ascii="Garamond" w:hAnsi="Garamond" w:cs="Times New Roman"/>
                <w:sz w:val="16"/>
                <w:szCs w:val="16"/>
                <w:vertAlign w:val="superscript"/>
                <w:lang w:val="en-GB"/>
              </w:rPr>
              <w:t>**</w:t>
            </w:r>
          </w:p>
        </w:tc>
        <w:tc>
          <w:tcPr>
            <w:tcW w:w="0" w:type="auto"/>
            <w:tcBorders>
              <w:top w:val="single" w:sz="4" w:space="0" w:color="auto"/>
              <w:left w:val="nil"/>
              <w:bottom w:val="nil"/>
              <w:right w:val="nil"/>
            </w:tcBorders>
          </w:tcPr>
          <w:p w14:paraId="5795B684" w14:textId="4306B550" w:rsidR="00EB43A0" w:rsidRPr="000A0B87" w:rsidRDefault="00B46E5C" w:rsidP="00921FEE">
            <w:pPr>
              <w:widowControl w:val="0"/>
              <w:autoSpaceDE w:val="0"/>
              <w:autoSpaceDN w:val="0"/>
              <w:adjustRightInd w:val="0"/>
              <w:spacing w:after="0" w:line="240" w:lineRule="auto"/>
              <w:jc w:val="center"/>
              <w:rPr>
                <w:rFonts w:ascii="Garamond" w:hAnsi="Garamond" w:cs="Times New Roman"/>
                <w:sz w:val="16"/>
                <w:szCs w:val="16"/>
                <w:lang w:val="en-GB"/>
              </w:rPr>
            </w:pPr>
            <w:r>
              <w:rPr>
                <w:rFonts w:ascii="Garamond" w:hAnsi="Garamond" w:cs="Times New Roman"/>
                <w:sz w:val="16"/>
                <w:szCs w:val="16"/>
                <w:lang w:val="en-GB"/>
              </w:rPr>
              <w:t>15.85</w:t>
            </w:r>
            <w:r w:rsidR="00EB43A0" w:rsidRPr="000A0B87">
              <w:rPr>
                <w:rFonts w:ascii="Garamond" w:hAnsi="Garamond" w:cs="Times New Roman"/>
                <w:sz w:val="16"/>
                <w:szCs w:val="16"/>
                <w:vertAlign w:val="superscript"/>
                <w:lang w:val="en-GB"/>
              </w:rPr>
              <w:t>**</w:t>
            </w:r>
          </w:p>
        </w:tc>
      </w:tr>
      <w:tr w:rsidR="00EB43A0" w:rsidRPr="000A0B87" w14:paraId="0A996378" w14:textId="77777777" w:rsidTr="00921FEE">
        <w:tc>
          <w:tcPr>
            <w:tcW w:w="0" w:type="auto"/>
            <w:tcBorders>
              <w:top w:val="nil"/>
              <w:left w:val="nil"/>
              <w:bottom w:val="nil"/>
              <w:right w:val="nil"/>
            </w:tcBorders>
          </w:tcPr>
          <w:p w14:paraId="62A4EE20"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r2_within</w:t>
            </w:r>
          </w:p>
        </w:tc>
        <w:tc>
          <w:tcPr>
            <w:tcW w:w="0" w:type="auto"/>
            <w:tcBorders>
              <w:top w:val="nil"/>
              <w:left w:val="nil"/>
              <w:bottom w:val="nil"/>
              <w:right w:val="nil"/>
            </w:tcBorders>
          </w:tcPr>
          <w:p w14:paraId="6C5029D9"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0.16</w:t>
            </w:r>
          </w:p>
        </w:tc>
        <w:tc>
          <w:tcPr>
            <w:tcW w:w="0" w:type="auto"/>
            <w:tcBorders>
              <w:top w:val="nil"/>
              <w:left w:val="nil"/>
              <w:bottom w:val="nil"/>
              <w:right w:val="nil"/>
            </w:tcBorders>
          </w:tcPr>
          <w:p w14:paraId="5A625D12"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0.14</w:t>
            </w:r>
          </w:p>
        </w:tc>
      </w:tr>
      <w:tr w:rsidR="00EB43A0" w:rsidRPr="000A0B87" w14:paraId="4B9B3343" w14:textId="77777777" w:rsidTr="00921FEE">
        <w:tc>
          <w:tcPr>
            <w:tcW w:w="0" w:type="auto"/>
            <w:tcBorders>
              <w:top w:val="nil"/>
              <w:left w:val="nil"/>
              <w:bottom w:val="nil"/>
              <w:right w:val="nil"/>
            </w:tcBorders>
          </w:tcPr>
          <w:p w14:paraId="3989A399"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r2_between</w:t>
            </w:r>
          </w:p>
        </w:tc>
        <w:tc>
          <w:tcPr>
            <w:tcW w:w="0" w:type="auto"/>
            <w:tcBorders>
              <w:top w:val="nil"/>
              <w:left w:val="nil"/>
              <w:bottom w:val="nil"/>
              <w:right w:val="nil"/>
            </w:tcBorders>
          </w:tcPr>
          <w:p w14:paraId="7055F67A"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0.18</w:t>
            </w:r>
          </w:p>
        </w:tc>
        <w:tc>
          <w:tcPr>
            <w:tcW w:w="0" w:type="auto"/>
            <w:tcBorders>
              <w:top w:val="nil"/>
              <w:left w:val="nil"/>
              <w:bottom w:val="nil"/>
              <w:right w:val="nil"/>
            </w:tcBorders>
          </w:tcPr>
          <w:p w14:paraId="2CDD949E"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0.28</w:t>
            </w:r>
          </w:p>
        </w:tc>
      </w:tr>
      <w:tr w:rsidR="00EB43A0" w:rsidRPr="000A0B87" w14:paraId="4A75106B" w14:textId="77777777" w:rsidTr="00921FEE">
        <w:tc>
          <w:tcPr>
            <w:tcW w:w="0" w:type="auto"/>
            <w:tcBorders>
              <w:top w:val="nil"/>
              <w:left w:val="nil"/>
              <w:bottom w:val="nil"/>
              <w:right w:val="nil"/>
            </w:tcBorders>
          </w:tcPr>
          <w:p w14:paraId="1C0A5E38"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r2_overall</w:t>
            </w:r>
          </w:p>
        </w:tc>
        <w:tc>
          <w:tcPr>
            <w:tcW w:w="0" w:type="auto"/>
            <w:tcBorders>
              <w:top w:val="nil"/>
              <w:left w:val="nil"/>
              <w:bottom w:val="nil"/>
              <w:right w:val="nil"/>
            </w:tcBorders>
          </w:tcPr>
          <w:p w14:paraId="54CD4BC1"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0.17</w:t>
            </w:r>
          </w:p>
        </w:tc>
        <w:tc>
          <w:tcPr>
            <w:tcW w:w="0" w:type="auto"/>
            <w:tcBorders>
              <w:top w:val="nil"/>
              <w:left w:val="nil"/>
              <w:bottom w:val="nil"/>
              <w:right w:val="nil"/>
            </w:tcBorders>
          </w:tcPr>
          <w:p w14:paraId="62E01AE8"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0.24</w:t>
            </w:r>
          </w:p>
        </w:tc>
      </w:tr>
      <w:tr w:rsidR="00EB43A0" w:rsidRPr="000A0B87" w14:paraId="19464E7C" w14:textId="77777777" w:rsidTr="00921FEE">
        <w:tc>
          <w:tcPr>
            <w:tcW w:w="0" w:type="auto"/>
            <w:tcBorders>
              <w:top w:val="nil"/>
              <w:left w:val="nil"/>
              <w:bottom w:val="nil"/>
              <w:right w:val="nil"/>
            </w:tcBorders>
          </w:tcPr>
          <w:p w14:paraId="0803C66C"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sz w:val="16"/>
                <w:szCs w:val="16"/>
                <w:lang w:val="en-GB"/>
              </w:rPr>
              <w:t>rho</w:t>
            </w:r>
          </w:p>
        </w:tc>
        <w:tc>
          <w:tcPr>
            <w:tcW w:w="0" w:type="auto"/>
            <w:tcBorders>
              <w:top w:val="nil"/>
              <w:left w:val="nil"/>
              <w:bottom w:val="nil"/>
              <w:right w:val="nil"/>
            </w:tcBorders>
          </w:tcPr>
          <w:p w14:paraId="13DFBFC8"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0.74</w:t>
            </w:r>
          </w:p>
        </w:tc>
        <w:tc>
          <w:tcPr>
            <w:tcW w:w="0" w:type="auto"/>
            <w:tcBorders>
              <w:top w:val="nil"/>
              <w:left w:val="nil"/>
              <w:bottom w:val="nil"/>
              <w:right w:val="nil"/>
            </w:tcBorders>
          </w:tcPr>
          <w:p w14:paraId="09CD0505"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0.69</w:t>
            </w:r>
          </w:p>
        </w:tc>
      </w:tr>
      <w:tr w:rsidR="00EB43A0" w:rsidRPr="000A0B87" w14:paraId="447EA71D" w14:textId="77777777" w:rsidTr="00921FEE">
        <w:tc>
          <w:tcPr>
            <w:tcW w:w="0" w:type="auto"/>
            <w:tcBorders>
              <w:top w:val="nil"/>
              <w:left w:val="nil"/>
              <w:bottom w:val="single" w:sz="4" w:space="0" w:color="auto"/>
              <w:right w:val="nil"/>
            </w:tcBorders>
          </w:tcPr>
          <w:p w14:paraId="393DB155" w14:textId="77777777" w:rsidR="00EB43A0" w:rsidRPr="000A0B87" w:rsidRDefault="00EB43A0" w:rsidP="00921FEE">
            <w:pPr>
              <w:widowControl w:val="0"/>
              <w:autoSpaceDE w:val="0"/>
              <w:autoSpaceDN w:val="0"/>
              <w:adjustRightInd w:val="0"/>
              <w:spacing w:after="0" w:line="240" w:lineRule="auto"/>
              <w:rPr>
                <w:rFonts w:ascii="Garamond" w:hAnsi="Garamond" w:cs="Times New Roman"/>
                <w:sz w:val="16"/>
                <w:szCs w:val="16"/>
                <w:lang w:val="en-GB"/>
              </w:rPr>
            </w:pPr>
            <w:r w:rsidRPr="000A0B87">
              <w:rPr>
                <w:rFonts w:ascii="Garamond" w:hAnsi="Garamond" w:cs="Times New Roman"/>
                <w:i/>
                <w:iCs/>
                <w:sz w:val="16"/>
                <w:szCs w:val="16"/>
                <w:lang w:val="en-GB"/>
              </w:rPr>
              <w:t>N</w:t>
            </w:r>
          </w:p>
        </w:tc>
        <w:tc>
          <w:tcPr>
            <w:tcW w:w="0" w:type="auto"/>
            <w:tcBorders>
              <w:top w:val="nil"/>
              <w:left w:val="nil"/>
              <w:bottom w:val="single" w:sz="4" w:space="0" w:color="auto"/>
              <w:right w:val="nil"/>
            </w:tcBorders>
          </w:tcPr>
          <w:p w14:paraId="0EC8CBE5"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128</w:t>
            </w:r>
          </w:p>
        </w:tc>
        <w:tc>
          <w:tcPr>
            <w:tcW w:w="0" w:type="auto"/>
            <w:tcBorders>
              <w:top w:val="nil"/>
              <w:left w:val="nil"/>
              <w:bottom w:val="single" w:sz="4" w:space="0" w:color="auto"/>
              <w:right w:val="nil"/>
            </w:tcBorders>
          </w:tcPr>
          <w:p w14:paraId="4842C4A4" w14:textId="77777777" w:rsidR="00EB43A0" w:rsidRPr="000A0B87" w:rsidRDefault="00EB43A0" w:rsidP="00921FEE">
            <w:pPr>
              <w:widowControl w:val="0"/>
              <w:autoSpaceDE w:val="0"/>
              <w:autoSpaceDN w:val="0"/>
              <w:adjustRightInd w:val="0"/>
              <w:spacing w:after="0" w:line="240" w:lineRule="auto"/>
              <w:jc w:val="center"/>
              <w:rPr>
                <w:rFonts w:ascii="Garamond" w:hAnsi="Garamond" w:cs="Times New Roman"/>
                <w:sz w:val="16"/>
                <w:szCs w:val="16"/>
                <w:lang w:val="en-GB"/>
              </w:rPr>
            </w:pPr>
            <w:r w:rsidRPr="000A0B87">
              <w:rPr>
                <w:rFonts w:ascii="Garamond" w:hAnsi="Garamond" w:cs="Times New Roman"/>
                <w:sz w:val="16"/>
                <w:szCs w:val="16"/>
                <w:lang w:val="en-GB"/>
              </w:rPr>
              <w:t>128</w:t>
            </w:r>
          </w:p>
        </w:tc>
      </w:tr>
    </w:tbl>
    <w:p w14:paraId="49DDCDB7" w14:textId="5E7EF588" w:rsidR="00EB43A0" w:rsidRPr="000A0B87" w:rsidRDefault="00B46E5C" w:rsidP="00EB43A0">
      <w:pPr>
        <w:widowControl w:val="0"/>
        <w:autoSpaceDE w:val="0"/>
        <w:autoSpaceDN w:val="0"/>
        <w:adjustRightInd w:val="0"/>
        <w:spacing w:after="0" w:line="240" w:lineRule="auto"/>
        <w:rPr>
          <w:rFonts w:ascii="Garamond" w:hAnsi="Garamond" w:cs="Times New Roman"/>
          <w:sz w:val="18"/>
          <w:szCs w:val="18"/>
          <w:lang w:val="en-GB"/>
        </w:rPr>
      </w:pPr>
      <w:r>
        <w:rPr>
          <w:rFonts w:ascii="Garamond" w:hAnsi="Garamond" w:cs="Times New Roman"/>
          <w:sz w:val="18"/>
          <w:szCs w:val="18"/>
          <w:lang w:val="en-GB"/>
        </w:rPr>
        <w:t>Bootstrapped s</w:t>
      </w:r>
      <w:r w:rsidR="00EB43A0" w:rsidRPr="000A0B87">
        <w:rPr>
          <w:rFonts w:ascii="Garamond" w:hAnsi="Garamond" w:cs="Times New Roman"/>
          <w:sz w:val="18"/>
          <w:szCs w:val="18"/>
          <w:lang w:val="en-GB"/>
        </w:rPr>
        <w:t>tandard errors in parentheses</w:t>
      </w:r>
    </w:p>
    <w:p w14:paraId="5D29B893" w14:textId="77777777" w:rsidR="00EB43A0" w:rsidRDefault="00EB43A0" w:rsidP="00EB43A0">
      <w:pPr>
        <w:rPr>
          <w:rFonts w:ascii="Garamond" w:hAnsi="Garamond" w:cs="Times New Roman"/>
          <w:sz w:val="18"/>
          <w:szCs w:val="18"/>
          <w:lang w:val="en-GB"/>
        </w:rPr>
      </w:pPr>
      <w:r w:rsidRPr="000A0B87">
        <w:rPr>
          <w:rFonts w:ascii="Garamond" w:hAnsi="Garamond" w:cs="Times New Roman"/>
          <w:sz w:val="18"/>
          <w:szCs w:val="18"/>
          <w:vertAlign w:val="superscript"/>
          <w:lang w:val="en-GB"/>
        </w:rPr>
        <w:t>*</w:t>
      </w:r>
      <w:r w:rsidRPr="000A0B87">
        <w:rPr>
          <w:rFonts w:ascii="Garamond" w:hAnsi="Garamond" w:cs="Times New Roman"/>
          <w:sz w:val="18"/>
          <w:szCs w:val="18"/>
          <w:lang w:val="en-GB"/>
        </w:rPr>
        <w:t xml:space="preserve"> </w:t>
      </w:r>
      <w:r w:rsidRPr="000A0B87">
        <w:rPr>
          <w:rFonts w:ascii="Garamond" w:hAnsi="Garamond" w:cs="Times New Roman"/>
          <w:i/>
          <w:iCs/>
          <w:sz w:val="18"/>
          <w:szCs w:val="18"/>
          <w:lang w:val="en-GB"/>
        </w:rPr>
        <w:t>p</w:t>
      </w:r>
      <w:r w:rsidRPr="000A0B87">
        <w:rPr>
          <w:rFonts w:ascii="Garamond" w:hAnsi="Garamond" w:cs="Times New Roman"/>
          <w:sz w:val="18"/>
          <w:szCs w:val="18"/>
          <w:lang w:val="en-GB"/>
        </w:rPr>
        <w:t xml:space="preserve"> &lt; 0.10, </w:t>
      </w:r>
      <w:r w:rsidRPr="000A0B87">
        <w:rPr>
          <w:rFonts w:ascii="Garamond" w:hAnsi="Garamond" w:cs="Times New Roman"/>
          <w:sz w:val="18"/>
          <w:szCs w:val="18"/>
          <w:vertAlign w:val="superscript"/>
          <w:lang w:val="en-GB"/>
        </w:rPr>
        <w:t>**</w:t>
      </w:r>
      <w:r w:rsidRPr="000A0B87">
        <w:rPr>
          <w:rFonts w:ascii="Garamond" w:hAnsi="Garamond" w:cs="Times New Roman"/>
          <w:sz w:val="18"/>
          <w:szCs w:val="18"/>
          <w:lang w:val="en-GB"/>
        </w:rPr>
        <w:t xml:space="preserve"> </w:t>
      </w:r>
      <w:r w:rsidRPr="000A0B87">
        <w:rPr>
          <w:rFonts w:ascii="Garamond" w:hAnsi="Garamond" w:cs="Times New Roman"/>
          <w:i/>
          <w:iCs/>
          <w:sz w:val="18"/>
          <w:szCs w:val="18"/>
          <w:lang w:val="en-GB"/>
        </w:rPr>
        <w:t>p</w:t>
      </w:r>
      <w:r w:rsidRPr="000A0B87">
        <w:rPr>
          <w:rFonts w:ascii="Garamond" w:hAnsi="Garamond" w:cs="Times New Roman"/>
          <w:sz w:val="18"/>
          <w:szCs w:val="18"/>
          <w:lang w:val="en-GB"/>
        </w:rPr>
        <w:t xml:space="preserve"> &lt; 0.05, </w:t>
      </w:r>
      <w:r w:rsidRPr="000A0B87">
        <w:rPr>
          <w:rFonts w:ascii="Garamond" w:hAnsi="Garamond" w:cs="Times New Roman"/>
          <w:sz w:val="18"/>
          <w:szCs w:val="18"/>
          <w:vertAlign w:val="superscript"/>
          <w:lang w:val="en-GB"/>
        </w:rPr>
        <w:t>***</w:t>
      </w:r>
      <w:r w:rsidRPr="000A0B87">
        <w:rPr>
          <w:rFonts w:ascii="Garamond" w:hAnsi="Garamond" w:cs="Times New Roman"/>
          <w:sz w:val="18"/>
          <w:szCs w:val="18"/>
          <w:lang w:val="en-GB"/>
        </w:rPr>
        <w:t xml:space="preserve"> </w:t>
      </w:r>
      <w:r w:rsidRPr="000A0B87">
        <w:rPr>
          <w:rFonts w:ascii="Garamond" w:hAnsi="Garamond" w:cs="Times New Roman"/>
          <w:i/>
          <w:iCs/>
          <w:sz w:val="18"/>
          <w:szCs w:val="18"/>
          <w:lang w:val="en-GB"/>
        </w:rPr>
        <w:t>p</w:t>
      </w:r>
      <w:r w:rsidRPr="000A0B87">
        <w:rPr>
          <w:rFonts w:ascii="Garamond" w:hAnsi="Garamond" w:cs="Times New Roman"/>
          <w:sz w:val="18"/>
          <w:szCs w:val="18"/>
          <w:lang w:val="en-GB"/>
        </w:rPr>
        <w:t xml:space="preserve"> &lt; 0.01</w:t>
      </w:r>
    </w:p>
    <w:p w14:paraId="249ACA1A" w14:textId="77777777" w:rsidR="00EB43A0" w:rsidRDefault="00EB43A0" w:rsidP="00EB43A0">
      <w:pPr>
        <w:spacing w:after="160" w:line="259" w:lineRule="auto"/>
        <w:rPr>
          <w:rFonts w:ascii="Garamond" w:hAnsi="Garamond" w:cs="Times New Roman"/>
          <w:sz w:val="18"/>
          <w:szCs w:val="18"/>
          <w:lang w:val="en-GB"/>
        </w:rPr>
      </w:pPr>
    </w:p>
    <w:p w14:paraId="61481418" w14:textId="77777777" w:rsidR="00EB43A0" w:rsidRDefault="00EB43A0" w:rsidP="00EB43A0">
      <w:pPr>
        <w:spacing w:after="160" w:line="259" w:lineRule="auto"/>
        <w:rPr>
          <w:rFonts w:ascii="Garamond" w:hAnsi="Garamond" w:cs="Times New Roman"/>
          <w:sz w:val="18"/>
          <w:szCs w:val="18"/>
          <w:lang w:val="en-GB"/>
        </w:rPr>
      </w:pPr>
    </w:p>
    <w:p w14:paraId="2537D5F4" w14:textId="77777777" w:rsidR="00EB43A0" w:rsidRPr="007B5950" w:rsidRDefault="00EB43A0" w:rsidP="00EB43A0">
      <w:pPr>
        <w:pStyle w:val="Heading3"/>
        <w:rPr>
          <w:lang w:val="en-GB"/>
        </w:rPr>
      </w:pPr>
      <w:r>
        <w:rPr>
          <w:lang w:val="en-GB"/>
        </w:rPr>
        <w:lastRenderedPageBreak/>
        <w:t>Online Resource C: Triangulation of findings</w:t>
      </w:r>
    </w:p>
    <w:p w14:paraId="6A17C76E" w14:textId="77777777" w:rsidR="00EB43A0" w:rsidRDefault="00EB43A0" w:rsidP="00EB43A0">
      <w:pPr>
        <w:spacing w:after="160" w:line="259" w:lineRule="auto"/>
        <w:rPr>
          <w:lang w:val="en-GB"/>
        </w:rPr>
      </w:pPr>
    </w:p>
    <w:p w14:paraId="2D4AC657" w14:textId="77777777" w:rsidR="00EB43A0" w:rsidRDefault="00EB43A0" w:rsidP="00EB43A0">
      <w:pPr>
        <w:widowControl w:val="0"/>
        <w:autoSpaceDE w:val="0"/>
        <w:autoSpaceDN w:val="0"/>
        <w:adjustRightInd w:val="0"/>
        <w:spacing w:line="276" w:lineRule="auto"/>
        <w:rPr>
          <w:rFonts w:cstheme="minorHAnsi"/>
          <w:lang w:val="en-GB"/>
        </w:rPr>
      </w:pPr>
      <w:r>
        <w:rPr>
          <w:rFonts w:cstheme="minorHAnsi"/>
          <w:lang w:val="en-GB"/>
        </w:rPr>
        <w:t xml:space="preserve">(1) We investigated our hypothesis further by looking at extreme cases of increases or decreases in the non-repayable support net of fees (as a liberal test), and assessing (qualitatively) whether they led to a systematic change in TER. Table OR.8 presents our rule of thumb classifications based on Figures 1–2. Neither for generosity nor decommodification, hence irrespective of whether we account for the prominence of loans in student aid packages, was a significant policy change a sufficient condition for a change in TER in the same direction. Cases marked in italics indicate the countries where SFP rose but TER fell or where SFP fell and TER rose. Generosity of student social rights rose in Lithuania and TER fell simultaneously. However, similar policy changes in Japan, Korea, and Romania did not result in TER falling significantly, while in England TER increased (in both England and Japan, the generosity growth was solely driven by the increasing generosity of student loans). For decommodification, Korea, Romania, and Finland saw significant policy changes but no concurrent change in TER, while in Slovenia a strong fall in decommodification (and generosity) levels was associated with decreasing participation in tertiary education. In sum, we do not find evidence of a systematic relationship between significant changes in SFP and concurrent changes in the levels of participation in tertiary education.  </w:t>
      </w:r>
    </w:p>
    <w:p w14:paraId="28A7C95B" w14:textId="60614EAC" w:rsidR="00EB43A0" w:rsidRDefault="00EB43A0" w:rsidP="00EB43A0">
      <w:pPr>
        <w:pStyle w:val="Heading3"/>
        <w:rPr>
          <w:rFonts w:ascii="Garamond" w:hAnsi="Garamond"/>
          <w:sz w:val="20"/>
          <w:szCs w:val="20"/>
          <w:lang w:val="en-GB"/>
        </w:rPr>
      </w:pPr>
      <w:r w:rsidRPr="001662E0">
        <w:rPr>
          <w:rFonts w:ascii="Garamond" w:hAnsi="Garamond"/>
          <w:sz w:val="20"/>
          <w:szCs w:val="20"/>
          <w:lang w:val="en-GB"/>
        </w:rPr>
        <w:t xml:space="preserve">Table </w:t>
      </w:r>
      <w:r>
        <w:rPr>
          <w:rFonts w:ascii="Garamond" w:hAnsi="Garamond"/>
          <w:sz w:val="20"/>
          <w:szCs w:val="20"/>
          <w:lang w:val="en-GB"/>
        </w:rPr>
        <w:t>OR.8</w:t>
      </w:r>
      <w:r w:rsidRPr="001662E0">
        <w:rPr>
          <w:rFonts w:ascii="Garamond" w:hAnsi="Garamond"/>
          <w:sz w:val="20"/>
          <w:szCs w:val="20"/>
          <w:lang w:val="en-GB"/>
        </w:rPr>
        <w:t xml:space="preserve"> Association between the outlying cases of changes in </w:t>
      </w:r>
      <w:r>
        <w:rPr>
          <w:rFonts w:ascii="Garamond" w:hAnsi="Garamond"/>
          <w:sz w:val="20"/>
          <w:szCs w:val="20"/>
          <w:lang w:val="en-GB"/>
        </w:rPr>
        <w:t>generosity (GEN) and decommodification (DECOM),</w:t>
      </w:r>
      <w:r w:rsidRPr="001662E0">
        <w:rPr>
          <w:rFonts w:ascii="Garamond" w:hAnsi="Garamond"/>
          <w:sz w:val="20"/>
          <w:szCs w:val="20"/>
          <w:lang w:val="en-GB"/>
        </w:rPr>
        <w:t xml:space="preserve"> and changes in </w:t>
      </w:r>
      <w:r>
        <w:rPr>
          <w:rFonts w:ascii="Garamond" w:hAnsi="Garamond"/>
          <w:sz w:val="20"/>
          <w:szCs w:val="20"/>
          <w:lang w:val="en-GB"/>
        </w:rPr>
        <w:t>tertiary enrolment ratios (</w:t>
      </w:r>
      <w:r w:rsidRPr="001662E0">
        <w:rPr>
          <w:rFonts w:ascii="Garamond" w:hAnsi="Garamond"/>
          <w:sz w:val="20"/>
          <w:szCs w:val="20"/>
          <w:lang w:val="en-GB"/>
        </w:rPr>
        <w:t>TER</w:t>
      </w:r>
      <w:r>
        <w:rPr>
          <w:rFonts w:ascii="Garamond" w:hAnsi="Garamond"/>
          <w:sz w:val="20"/>
          <w:szCs w:val="20"/>
          <w:lang w:val="en-GB"/>
        </w:rPr>
        <w:t>)</w:t>
      </w:r>
      <w:r w:rsidR="00752781">
        <w:rPr>
          <w:rFonts w:ascii="Garamond" w:hAnsi="Garamond"/>
          <w:sz w:val="20"/>
          <w:szCs w:val="20"/>
          <w:lang w:val="en-GB"/>
        </w:rPr>
        <w:t>, 200</w:t>
      </w:r>
      <w:r w:rsidR="005D7D5F">
        <w:rPr>
          <w:rFonts w:ascii="Garamond" w:hAnsi="Garamond"/>
          <w:sz w:val="20"/>
          <w:szCs w:val="20"/>
          <w:lang w:val="en-GB"/>
        </w:rPr>
        <w:t>6-2021.</w:t>
      </w:r>
    </w:p>
    <w:p w14:paraId="47E4620E" w14:textId="77777777" w:rsidR="00EB43A0" w:rsidRPr="00453C46" w:rsidRDefault="00EB43A0" w:rsidP="00EB43A0">
      <w:pPr>
        <w:rPr>
          <w:lang w:val="en-GB"/>
        </w:rPr>
      </w:pPr>
    </w:p>
    <w:tbl>
      <w:tblPr>
        <w:tblStyle w:val="PlainTable3"/>
        <w:tblW w:w="0" w:type="auto"/>
        <w:tblLook w:val="04A0" w:firstRow="1" w:lastRow="0" w:firstColumn="1" w:lastColumn="0" w:noHBand="0" w:noVBand="1"/>
      </w:tblPr>
      <w:tblGrid>
        <w:gridCol w:w="1805"/>
        <w:gridCol w:w="1803"/>
        <w:gridCol w:w="1803"/>
        <w:gridCol w:w="1803"/>
      </w:tblGrid>
      <w:tr w:rsidR="00EB43A0" w:rsidRPr="00CE60A6" w14:paraId="39DC0BB3" w14:textId="77777777" w:rsidTr="00921F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05" w:type="dxa"/>
          </w:tcPr>
          <w:p w14:paraId="1F927D31" w14:textId="77777777" w:rsidR="00EB43A0" w:rsidRPr="00CE60A6" w:rsidRDefault="00EB43A0" w:rsidP="00921FEE">
            <w:pPr>
              <w:widowControl w:val="0"/>
              <w:autoSpaceDE w:val="0"/>
              <w:autoSpaceDN w:val="0"/>
              <w:adjustRightInd w:val="0"/>
              <w:spacing w:line="276" w:lineRule="auto"/>
              <w:rPr>
                <w:rFonts w:ascii="Garamond" w:hAnsi="Garamond" w:cstheme="minorHAnsi"/>
                <w:sz w:val="16"/>
                <w:szCs w:val="16"/>
                <w:lang w:val="en-GB"/>
              </w:rPr>
            </w:pPr>
          </w:p>
        </w:tc>
        <w:tc>
          <w:tcPr>
            <w:tcW w:w="1803" w:type="dxa"/>
          </w:tcPr>
          <w:p w14:paraId="51D98CED" w14:textId="77777777" w:rsidR="00EB43A0" w:rsidRPr="00CE60A6" w:rsidRDefault="00EB43A0" w:rsidP="00921FEE">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ascii="Garamond" w:hAnsi="Garamond" w:cstheme="minorHAnsi"/>
                <w:b w:val="0"/>
                <w:bCs w:val="0"/>
                <w:sz w:val="16"/>
                <w:szCs w:val="16"/>
                <w:lang w:val="en-GB"/>
              </w:rPr>
            </w:pPr>
            <w:r w:rsidRPr="0095238F">
              <w:rPr>
                <w:rFonts w:ascii="Garamond" w:hAnsi="Garamond" w:cstheme="minorHAnsi"/>
                <w:b w:val="0"/>
                <w:bCs w:val="0"/>
                <w:sz w:val="16"/>
                <w:szCs w:val="16"/>
                <w:lang w:val="en-GB"/>
              </w:rPr>
              <w:t>TER</w:t>
            </w:r>
            <w:r w:rsidRPr="00CE60A6">
              <w:rPr>
                <w:rFonts w:ascii="Garamond" w:hAnsi="Garamond" w:cstheme="minorHAnsi"/>
                <w:b w:val="0"/>
                <w:bCs w:val="0"/>
                <w:sz w:val="16"/>
                <w:szCs w:val="16"/>
                <w:lang w:val="en-GB"/>
              </w:rPr>
              <w:t xml:space="preserve"> rise</w:t>
            </w:r>
          </w:p>
        </w:tc>
        <w:tc>
          <w:tcPr>
            <w:tcW w:w="1803" w:type="dxa"/>
          </w:tcPr>
          <w:p w14:paraId="22004EEB" w14:textId="77777777" w:rsidR="00EB43A0" w:rsidRPr="00CE60A6" w:rsidRDefault="00EB43A0" w:rsidP="00921FEE">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ascii="Garamond" w:hAnsi="Garamond" w:cstheme="minorHAnsi"/>
                <w:b w:val="0"/>
                <w:bCs w:val="0"/>
                <w:sz w:val="16"/>
                <w:szCs w:val="16"/>
                <w:lang w:val="en-GB"/>
              </w:rPr>
            </w:pPr>
            <w:r w:rsidRPr="00CE60A6">
              <w:rPr>
                <w:rFonts w:ascii="Garamond" w:hAnsi="Garamond" w:cstheme="minorHAnsi"/>
                <w:b w:val="0"/>
                <w:bCs w:val="0"/>
                <w:sz w:val="16"/>
                <w:szCs w:val="16"/>
                <w:lang w:val="en-GB"/>
              </w:rPr>
              <w:t>No change</w:t>
            </w:r>
          </w:p>
        </w:tc>
        <w:tc>
          <w:tcPr>
            <w:tcW w:w="1803" w:type="dxa"/>
          </w:tcPr>
          <w:p w14:paraId="00E059A7" w14:textId="77777777" w:rsidR="00EB43A0" w:rsidRPr="00CE60A6" w:rsidRDefault="00EB43A0" w:rsidP="00921FEE">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ascii="Garamond" w:hAnsi="Garamond" w:cstheme="minorHAnsi"/>
                <w:b w:val="0"/>
                <w:bCs w:val="0"/>
                <w:sz w:val="16"/>
                <w:szCs w:val="16"/>
                <w:lang w:val="en-GB"/>
              </w:rPr>
            </w:pPr>
            <w:r w:rsidRPr="00CE60A6">
              <w:rPr>
                <w:rFonts w:ascii="Garamond" w:hAnsi="Garamond" w:cstheme="minorHAnsi"/>
                <w:b w:val="0"/>
                <w:bCs w:val="0"/>
                <w:sz w:val="16"/>
                <w:szCs w:val="16"/>
                <w:lang w:val="en-GB"/>
              </w:rPr>
              <w:t>TER fall</w:t>
            </w:r>
          </w:p>
        </w:tc>
      </w:tr>
      <w:tr w:rsidR="00EB43A0" w:rsidRPr="00CE60A6" w14:paraId="2F99EF75" w14:textId="77777777" w:rsidTr="00921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shd w:val="clear" w:color="auto" w:fill="FFFFFF" w:themeFill="background1"/>
          </w:tcPr>
          <w:p w14:paraId="49B99610" w14:textId="77777777" w:rsidR="00EB43A0" w:rsidRPr="00CE60A6" w:rsidRDefault="00EB43A0" w:rsidP="00921FEE">
            <w:pPr>
              <w:widowControl w:val="0"/>
              <w:autoSpaceDE w:val="0"/>
              <w:autoSpaceDN w:val="0"/>
              <w:adjustRightInd w:val="0"/>
              <w:spacing w:line="276" w:lineRule="auto"/>
              <w:rPr>
                <w:rFonts w:ascii="Garamond" w:hAnsi="Garamond" w:cstheme="minorHAnsi"/>
                <w:b w:val="0"/>
                <w:bCs w:val="0"/>
                <w:sz w:val="16"/>
                <w:szCs w:val="16"/>
                <w:lang w:val="en-GB"/>
              </w:rPr>
            </w:pPr>
            <w:r w:rsidRPr="00CE60A6">
              <w:rPr>
                <w:rFonts w:ascii="Garamond" w:hAnsi="Garamond" w:cstheme="minorHAnsi"/>
                <w:b w:val="0"/>
                <w:bCs w:val="0"/>
                <w:sz w:val="16"/>
                <w:szCs w:val="16"/>
                <w:lang w:val="en-GB"/>
              </w:rPr>
              <w:t>Gen rise</w:t>
            </w:r>
          </w:p>
        </w:tc>
        <w:tc>
          <w:tcPr>
            <w:tcW w:w="1803" w:type="dxa"/>
            <w:shd w:val="clear" w:color="auto" w:fill="FFFFFF" w:themeFill="background1"/>
          </w:tcPr>
          <w:p w14:paraId="6FBEC66A" w14:textId="77777777" w:rsidR="00EB43A0" w:rsidRPr="00CE60A6" w:rsidRDefault="00EB43A0" w:rsidP="00921FEE">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EN</w:t>
            </w:r>
          </w:p>
        </w:tc>
        <w:tc>
          <w:tcPr>
            <w:tcW w:w="1803" w:type="dxa"/>
            <w:shd w:val="clear" w:color="auto" w:fill="FFFFFF" w:themeFill="background1"/>
          </w:tcPr>
          <w:p w14:paraId="04CED236" w14:textId="77777777" w:rsidR="00EB43A0" w:rsidRPr="00CE60A6" w:rsidRDefault="00EB43A0" w:rsidP="00921FEE">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JP, KR, RO</w:t>
            </w:r>
          </w:p>
        </w:tc>
        <w:tc>
          <w:tcPr>
            <w:tcW w:w="1803" w:type="dxa"/>
            <w:shd w:val="clear" w:color="auto" w:fill="FFFFFF" w:themeFill="background1"/>
          </w:tcPr>
          <w:p w14:paraId="0D632548" w14:textId="77777777" w:rsidR="00EB43A0" w:rsidRPr="00CE60A6" w:rsidRDefault="00EB43A0" w:rsidP="00921FEE">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i/>
                <w:iCs/>
                <w:sz w:val="16"/>
                <w:szCs w:val="16"/>
                <w:lang w:val="en-GB"/>
              </w:rPr>
            </w:pPr>
            <w:r w:rsidRPr="00CE60A6">
              <w:rPr>
                <w:rFonts w:ascii="Garamond" w:hAnsi="Garamond" w:cstheme="minorHAnsi"/>
                <w:i/>
                <w:iCs/>
                <w:sz w:val="16"/>
                <w:szCs w:val="16"/>
                <w:lang w:val="en-GB"/>
              </w:rPr>
              <w:t>LT</w:t>
            </w:r>
          </w:p>
        </w:tc>
      </w:tr>
      <w:tr w:rsidR="00EB43A0" w:rsidRPr="00CE60A6" w14:paraId="6A9DB91A" w14:textId="77777777" w:rsidTr="00921FEE">
        <w:tc>
          <w:tcPr>
            <w:cnfStyle w:val="001000000000" w:firstRow="0" w:lastRow="0" w:firstColumn="1" w:lastColumn="0" w:oddVBand="0" w:evenVBand="0" w:oddHBand="0" w:evenHBand="0" w:firstRowFirstColumn="0" w:firstRowLastColumn="0" w:lastRowFirstColumn="0" w:lastRowLastColumn="0"/>
            <w:tcW w:w="1805" w:type="dxa"/>
            <w:tcBorders>
              <w:bottom w:val="single" w:sz="4" w:space="0" w:color="auto"/>
            </w:tcBorders>
            <w:shd w:val="clear" w:color="auto" w:fill="FFFFFF" w:themeFill="background1"/>
          </w:tcPr>
          <w:p w14:paraId="3F842D1A" w14:textId="77777777" w:rsidR="00EB43A0" w:rsidRPr="00CE60A6" w:rsidRDefault="00EB43A0" w:rsidP="00921FEE">
            <w:pPr>
              <w:widowControl w:val="0"/>
              <w:autoSpaceDE w:val="0"/>
              <w:autoSpaceDN w:val="0"/>
              <w:adjustRightInd w:val="0"/>
              <w:spacing w:line="276" w:lineRule="auto"/>
              <w:rPr>
                <w:rFonts w:ascii="Garamond" w:hAnsi="Garamond" w:cstheme="minorHAnsi"/>
                <w:b w:val="0"/>
                <w:bCs w:val="0"/>
                <w:sz w:val="16"/>
                <w:szCs w:val="16"/>
                <w:lang w:val="en-GB"/>
              </w:rPr>
            </w:pPr>
            <w:r w:rsidRPr="00CE60A6">
              <w:rPr>
                <w:rFonts w:ascii="Garamond" w:hAnsi="Garamond" w:cstheme="minorHAnsi"/>
                <w:b w:val="0"/>
                <w:bCs w:val="0"/>
                <w:sz w:val="16"/>
                <w:szCs w:val="16"/>
                <w:lang w:val="en-GB"/>
              </w:rPr>
              <w:t>Gen fall</w:t>
            </w:r>
          </w:p>
        </w:tc>
        <w:tc>
          <w:tcPr>
            <w:tcW w:w="1803" w:type="dxa"/>
            <w:tcBorders>
              <w:bottom w:val="single" w:sz="4" w:space="0" w:color="auto"/>
            </w:tcBorders>
            <w:shd w:val="clear" w:color="auto" w:fill="FFFFFF" w:themeFill="background1"/>
          </w:tcPr>
          <w:p w14:paraId="4CC310DE" w14:textId="77777777" w:rsidR="00EB43A0" w:rsidRPr="00CE60A6" w:rsidRDefault="00EB43A0" w:rsidP="00921FE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i/>
                <w:iCs/>
                <w:sz w:val="16"/>
                <w:szCs w:val="16"/>
                <w:lang w:val="en-GB"/>
              </w:rPr>
            </w:pPr>
            <w:r w:rsidRPr="00CE60A6">
              <w:rPr>
                <w:rFonts w:ascii="Garamond" w:hAnsi="Garamond" w:cstheme="minorHAnsi"/>
                <w:i/>
                <w:iCs/>
                <w:sz w:val="16"/>
                <w:szCs w:val="16"/>
                <w:lang w:val="en-GB"/>
              </w:rPr>
              <w:t>ES, CY</w:t>
            </w:r>
          </w:p>
        </w:tc>
        <w:tc>
          <w:tcPr>
            <w:tcW w:w="1803" w:type="dxa"/>
            <w:tcBorders>
              <w:bottom w:val="single" w:sz="4" w:space="0" w:color="auto"/>
            </w:tcBorders>
            <w:shd w:val="clear" w:color="auto" w:fill="FFFFFF" w:themeFill="background1"/>
          </w:tcPr>
          <w:p w14:paraId="726AE6FE" w14:textId="77777777" w:rsidR="00EB43A0" w:rsidRPr="00CE60A6" w:rsidRDefault="00EB43A0" w:rsidP="00921FE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CA</w:t>
            </w:r>
          </w:p>
        </w:tc>
        <w:tc>
          <w:tcPr>
            <w:tcW w:w="1803" w:type="dxa"/>
            <w:tcBorders>
              <w:bottom w:val="single" w:sz="4" w:space="0" w:color="auto"/>
            </w:tcBorders>
            <w:shd w:val="clear" w:color="auto" w:fill="FFFFFF" w:themeFill="background1"/>
          </w:tcPr>
          <w:p w14:paraId="0A2C9005" w14:textId="77777777" w:rsidR="00EB43A0" w:rsidRPr="00CE60A6" w:rsidRDefault="00EB43A0" w:rsidP="00921FE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SI</w:t>
            </w:r>
          </w:p>
        </w:tc>
      </w:tr>
      <w:tr w:rsidR="00EB43A0" w:rsidRPr="00CE60A6" w14:paraId="3E7B4A2A" w14:textId="77777777" w:rsidTr="00921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Borders>
              <w:top w:val="single" w:sz="4" w:space="0" w:color="auto"/>
            </w:tcBorders>
            <w:shd w:val="clear" w:color="auto" w:fill="FFFFFF" w:themeFill="background1"/>
          </w:tcPr>
          <w:p w14:paraId="3FD2F782" w14:textId="77777777" w:rsidR="00EB43A0" w:rsidRPr="00CE60A6" w:rsidRDefault="00EB43A0" w:rsidP="00921FEE">
            <w:pPr>
              <w:widowControl w:val="0"/>
              <w:autoSpaceDE w:val="0"/>
              <w:autoSpaceDN w:val="0"/>
              <w:adjustRightInd w:val="0"/>
              <w:spacing w:line="276" w:lineRule="auto"/>
              <w:rPr>
                <w:rFonts w:ascii="Garamond" w:hAnsi="Garamond" w:cstheme="minorHAnsi"/>
                <w:b w:val="0"/>
                <w:bCs w:val="0"/>
                <w:sz w:val="16"/>
                <w:szCs w:val="16"/>
                <w:lang w:val="en-GB"/>
              </w:rPr>
            </w:pPr>
            <w:r w:rsidRPr="00CE60A6">
              <w:rPr>
                <w:rFonts w:ascii="Garamond" w:hAnsi="Garamond" w:cstheme="minorHAnsi"/>
                <w:b w:val="0"/>
                <w:bCs w:val="0"/>
                <w:sz w:val="16"/>
                <w:szCs w:val="16"/>
                <w:lang w:val="en-GB"/>
              </w:rPr>
              <w:t>Decom rise</w:t>
            </w:r>
          </w:p>
        </w:tc>
        <w:tc>
          <w:tcPr>
            <w:tcW w:w="1803" w:type="dxa"/>
            <w:tcBorders>
              <w:top w:val="single" w:sz="4" w:space="0" w:color="auto"/>
            </w:tcBorders>
            <w:shd w:val="clear" w:color="auto" w:fill="FFFFFF" w:themeFill="background1"/>
          </w:tcPr>
          <w:p w14:paraId="1B6E00A2" w14:textId="77777777" w:rsidR="00EB43A0" w:rsidRPr="00CE60A6" w:rsidRDefault="00EB43A0" w:rsidP="00921FEE">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w:t>
            </w:r>
          </w:p>
        </w:tc>
        <w:tc>
          <w:tcPr>
            <w:tcW w:w="1803" w:type="dxa"/>
            <w:tcBorders>
              <w:top w:val="single" w:sz="4" w:space="0" w:color="auto"/>
            </w:tcBorders>
            <w:shd w:val="clear" w:color="auto" w:fill="FFFFFF" w:themeFill="background1"/>
          </w:tcPr>
          <w:p w14:paraId="661B087D" w14:textId="77777777" w:rsidR="00EB43A0" w:rsidRPr="00CE60A6" w:rsidRDefault="00EB43A0" w:rsidP="00921FEE">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KR, RO</w:t>
            </w:r>
          </w:p>
        </w:tc>
        <w:tc>
          <w:tcPr>
            <w:tcW w:w="1803" w:type="dxa"/>
            <w:tcBorders>
              <w:top w:val="single" w:sz="4" w:space="0" w:color="auto"/>
            </w:tcBorders>
            <w:shd w:val="clear" w:color="auto" w:fill="FFFFFF" w:themeFill="background1"/>
          </w:tcPr>
          <w:p w14:paraId="362181BF" w14:textId="77777777" w:rsidR="00EB43A0" w:rsidRPr="00CE60A6" w:rsidRDefault="00EB43A0" w:rsidP="00921FEE">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i/>
                <w:iCs/>
                <w:sz w:val="16"/>
                <w:szCs w:val="16"/>
                <w:lang w:val="en-GB"/>
              </w:rPr>
            </w:pPr>
            <w:r w:rsidRPr="00CE60A6">
              <w:rPr>
                <w:rFonts w:ascii="Garamond" w:hAnsi="Garamond" w:cstheme="minorHAnsi"/>
                <w:i/>
                <w:iCs/>
                <w:sz w:val="16"/>
                <w:szCs w:val="16"/>
                <w:lang w:val="en-GB"/>
              </w:rPr>
              <w:t>EE</w:t>
            </w:r>
          </w:p>
        </w:tc>
      </w:tr>
      <w:tr w:rsidR="00EB43A0" w:rsidRPr="00CE60A6" w14:paraId="15F94CC4" w14:textId="77777777" w:rsidTr="00921FEE">
        <w:tc>
          <w:tcPr>
            <w:cnfStyle w:val="001000000000" w:firstRow="0" w:lastRow="0" w:firstColumn="1" w:lastColumn="0" w:oddVBand="0" w:evenVBand="0" w:oddHBand="0" w:evenHBand="0" w:firstRowFirstColumn="0" w:firstRowLastColumn="0" w:lastRowFirstColumn="0" w:lastRowLastColumn="0"/>
            <w:tcW w:w="1805" w:type="dxa"/>
          </w:tcPr>
          <w:p w14:paraId="1AD8F591" w14:textId="77777777" w:rsidR="00EB43A0" w:rsidRPr="00CE60A6" w:rsidRDefault="00EB43A0" w:rsidP="00921FEE">
            <w:pPr>
              <w:widowControl w:val="0"/>
              <w:autoSpaceDE w:val="0"/>
              <w:autoSpaceDN w:val="0"/>
              <w:adjustRightInd w:val="0"/>
              <w:spacing w:line="276" w:lineRule="auto"/>
              <w:rPr>
                <w:rFonts w:ascii="Garamond" w:hAnsi="Garamond" w:cstheme="minorHAnsi"/>
                <w:b w:val="0"/>
                <w:bCs w:val="0"/>
                <w:sz w:val="16"/>
                <w:szCs w:val="16"/>
                <w:lang w:val="en-GB"/>
              </w:rPr>
            </w:pPr>
            <w:r w:rsidRPr="00CE60A6">
              <w:rPr>
                <w:rFonts w:ascii="Garamond" w:hAnsi="Garamond" w:cstheme="minorHAnsi"/>
                <w:b w:val="0"/>
                <w:bCs w:val="0"/>
                <w:sz w:val="16"/>
                <w:szCs w:val="16"/>
                <w:lang w:val="en-GB"/>
              </w:rPr>
              <w:t>Decom fall</w:t>
            </w:r>
          </w:p>
        </w:tc>
        <w:tc>
          <w:tcPr>
            <w:tcW w:w="1803" w:type="dxa"/>
          </w:tcPr>
          <w:p w14:paraId="10517A05" w14:textId="77777777" w:rsidR="00EB43A0" w:rsidRPr="00CE60A6" w:rsidRDefault="00EB43A0" w:rsidP="00921FE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i/>
                <w:iCs/>
                <w:sz w:val="16"/>
                <w:szCs w:val="16"/>
                <w:lang w:val="en-GB"/>
              </w:rPr>
            </w:pPr>
            <w:r w:rsidRPr="00CE60A6">
              <w:rPr>
                <w:rFonts w:ascii="Garamond" w:hAnsi="Garamond" w:cstheme="minorHAnsi"/>
                <w:i/>
                <w:iCs/>
                <w:sz w:val="16"/>
                <w:szCs w:val="16"/>
                <w:lang w:val="en-GB"/>
              </w:rPr>
              <w:t>ES, CY, NL, EN</w:t>
            </w:r>
          </w:p>
        </w:tc>
        <w:tc>
          <w:tcPr>
            <w:tcW w:w="1803" w:type="dxa"/>
          </w:tcPr>
          <w:p w14:paraId="20C2CA17" w14:textId="77777777" w:rsidR="00EB43A0" w:rsidRPr="00CE60A6" w:rsidRDefault="00EB43A0" w:rsidP="00921FE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FI</w:t>
            </w:r>
          </w:p>
        </w:tc>
        <w:tc>
          <w:tcPr>
            <w:tcW w:w="1803" w:type="dxa"/>
          </w:tcPr>
          <w:p w14:paraId="6BCF97A4" w14:textId="77777777" w:rsidR="00EB43A0" w:rsidRPr="00CE60A6" w:rsidRDefault="00EB43A0" w:rsidP="00921FEE">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sz w:val="16"/>
                <w:szCs w:val="16"/>
                <w:lang w:val="en-GB"/>
              </w:rPr>
            </w:pPr>
            <w:r w:rsidRPr="00CE60A6">
              <w:rPr>
                <w:rFonts w:ascii="Garamond" w:hAnsi="Garamond" w:cstheme="minorHAnsi"/>
                <w:sz w:val="16"/>
                <w:szCs w:val="16"/>
                <w:lang w:val="en-GB"/>
              </w:rPr>
              <w:t>SI</w:t>
            </w:r>
          </w:p>
        </w:tc>
      </w:tr>
    </w:tbl>
    <w:p w14:paraId="1802BB1F" w14:textId="77777777" w:rsidR="00EB43A0" w:rsidRDefault="00EB43A0" w:rsidP="00EB43A0">
      <w:pPr>
        <w:widowControl w:val="0"/>
        <w:autoSpaceDE w:val="0"/>
        <w:autoSpaceDN w:val="0"/>
        <w:adjustRightInd w:val="0"/>
        <w:spacing w:line="276" w:lineRule="auto"/>
        <w:rPr>
          <w:rFonts w:cstheme="minorHAnsi"/>
          <w:lang w:val="en-GB"/>
        </w:rPr>
      </w:pPr>
      <w:r>
        <w:rPr>
          <w:rFonts w:cstheme="minorHAnsi"/>
          <w:lang w:val="en-GB"/>
        </w:rPr>
        <w:t xml:space="preserve">  </w:t>
      </w:r>
    </w:p>
    <w:p w14:paraId="3BD1456A" w14:textId="77777777" w:rsidR="00EB43A0" w:rsidRDefault="00EB43A0" w:rsidP="00EB43A0">
      <w:pPr>
        <w:widowControl w:val="0"/>
        <w:autoSpaceDE w:val="0"/>
        <w:autoSpaceDN w:val="0"/>
        <w:adjustRightInd w:val="0"/>
        <w:spacing w:line="276" w:lineRule="auto"/>
        <w:rPr>
          <w:rFonts w:cstheme="minorHAnsi"/>
          <w:lang w:val="en-GB"/>
        </w:rPr>
      </w:pPr>
      <w:r>
        <w:rPr>
          <w:rFonts w:cstheme="minorHAnsi"/>
          <w:lang w:val="en-GB"/>
        </w:rPr>
        <w:t xml:space="preserve">(2) To further investigate the moderation effects (Figures 3 and 4), we again selected cases extreme on explanatory variable – here </w:t>
      </w:r>
      <w:r>
        <w:rPr>
          <w:rFonts w:cstheme="minorHAnsi"/>
          <w:i/>
          <w:iCs/>
          <w:lang w:val="en-GB"/>
        </w:rPr>
        <w:t>att25-64</w:t>
      </w:r>
      <w:r>
        <w:rPr>
          <w:rFonts w:cstheme="minorHAnsi"/>
          <w:lang w:val="en-GB"/>
        </w:rPr>
        <w:t xml:space="preserve"> of at least one SD above the sample mean (41,1%) – as we expect that the association between non-repayable support (net of fees) and participation level should be particularly evident in that group. Figure OR.3 shows the strong correlation (</w:t>
      </w:r>
      <w:r>
        <w:rPr>
          <w:rFonts w:cstheme="minorHAnsi"/>
          <w:i/>
          <w:iCs/>
          <w:lang w:val="en-GB"/>
        </w:rPr>
        <w:t>r</w:t>
      </w:r>
      <w:r>
        <w:rPr>
          <w:rFonts w:cstheme="minorHAnsi"/>
          <w:lang w:val="en-GB"/>
        </w:rPr>
        <w:t xml:space="preserve">=.68). Two countries seem to somewhat break out from the pattern due to their relatively low TER given the decommodification levels: Lithuania and Estonia. In both countries, TER has fallen significantly between 2006 and 2021 (see Figure 1). However, this was likely related to the saturation of demand among individuals above the traditional student age, who were often required during the economic transformation in Central-Eastern European countries to improve their qualifications as a condition of career progression (particularly in the public sector). This expansion was financed to a large extent privately, through the provision of self-funded study places (often in part-time mode). The falling demand among the older population has thus contributed to the reduction of supply in tertiary education (cf. argument 3 in Section 2), in the Estonian case much related also to the underfunding of HEIs after the abolition of tuition fees in 2012. Therefore, lower current TER can be observed in those countries parallel to a relatively high tertiary attainment ratio in the labour force and moderate </w:t>
      </w:r>
      <w:r>
        <w:rPr>
          <w:rFonts w:cstheme="minorHAnsi"/>
          <w:lang w:val="en-GB"/>
        </w:rPr>
        <w:lastRenderedPageBreak/>
        <w:t xml:space="preserve">decommodification.  </w:t>
      </w:r>
    </w:p>
    <w:p w14:paraId="6660D357" w14:textId="27FE90B4" w:rsidR="00EB43A0" w:rsidRDefault="00EB43A0" w:rsidP="00EB43A0">
      <w:pPr>
        <w:widowControl w:val="0"/>
        <w:autoSpaceDE w:val="0"/>
        <w:autoSpaceDN w:val="0"/>
        <w:adjustRightInd w:val="0"/>
        <w:spacing w:line="276" w:lineRule="auto"/>
        <w:rPr>
          <w:rFonts w:cstheme="minorHAnsi"/>
          <w:lang w:val="en-GB"/>
        </w:rPr>
      </w:pPr>
      <w:r>
        <w:rPr>
          <w:rFonts w:cstheme="minorHAnsi"/>
          <w:lang w:val="en-GB"/>
        </w:rPr>
        <w:t>With this qualification in mind, we can conclude that non-repayable student support net of fees higher than –8,5% (hence</w:t>
      </w:r>
      <w:r w:rsidR="005D7D5F">
        <w:rPr>
          <w:rFonts w:cstheme="minorHAnsi"/>
          <w:lang w:val="en-GB"/>
        </w:rPr>
        <w:t xml:space="preserve"> at least</w:t>
      </w:r>
      <w:r>
        <w:rPr>
          <w:rFonts w:cstheme="minorHAnsi"/>
          <w:lang w:val="en-GB"/>
        </w:rPr>
        <w:t xml:space="preserve"> a small effect of student funding on household income), in conjunction with the proliferation of tertiary credentials exceeding 40% of working age population, appear as sufficient conditions for achieving participation levels in tertiary education at minimum 35% of TER (thus, around 70% of Gross Enrolment Ratios published by UIS). However, these conditions are not necessary, as there were 32 country-year cases not fulfilling them that had TER above 35%, whereby Greece, Latvia, and Slovenia managed to exceed that level already in 2005 with tertiary attainment levels even below 25% (the threshold of positive interaction estimated in REWB) and completely different approaches to SFP.</w:t>
      </w:r>
    </w:p>
    <w:p w14:paraId="2B9896A9" w14:textId="77777777" w:rsidR="00EB43A0" w:rsidRPr="009D6B9D" w:rsidRDefault="00EB43A0" w:rsidP="00EB43A0">
      <w:pPr>
        <w:pStyle w:val="Heading3"/>
        <w:spacing w:line="240" w:lineRule="auto"/>
        <w:rPr>
          <w:rFonts w:ascii="Garamond" w:hAnsi="Garamond"/>
          <w:sz w:val="20"/>
          <w:szCs w:val="20"/>
          <w:lang w:val="en-GB"/>
        </w:rPr>
      </w:pPr>
      <w:r>
        <w:rPr>
          <w:rFonts w:ascii="Garamond" w:hAnsi="Garamond"/>
          <w:sz w:val="20"/>
          <w:szCs w:val="20"/>
          <w:lang w:val="en-GB"/>
        </w:rPr>
        <w:t>Figure</w:t>
      </w:r>
      <w:r w:rsidRPr="001662E0">
        <w:rPr>
          <w:rFonts w:ascii="Garamond" w:hAnsi="Garamond"/>
          <w:sz w:val="20"/>
          <w:szCs w:val="20"/>
          <w:lang w:val="en-GB"/>
        </w:rPr>
        <w:t xml:space="preserve"> </w:t>
      </w:r>
      <w:r>
        <w:rPr>
          <w:rFonts w:ascii="Garamond" w:hAnsi="Garamond"/>
          <w:sz w:val="20"/>
          <w:szCs w:val="20"/>
          <w:lang w:val="en-GB"/>
        </w:rPr>
        <w:t>OR.3</w:t>
      </w:r>
      <w:r w:rsidRPr="001662E0">
        <w:rPr>
          <w:rFonts w:ascii="Garamond" w:hAnsi="Garamond"/>
          <w:sz w:val="20"/>
          <w:szCs w:val="20"/>
          <w:lang w:val="en-GB"/>
        </w:rPr>
        <w:t xml:space="preserve"> Association between decommodification and </w:t>
      </w:r>
      <w:r>
        <w:rPr>
          <w:rFonts w:ascii="Garamond" w:hAnsi="Garamond"/>
          <w:sz w:val="20"/>
          <w:szCs w:val="20"/>
          <w:lang w:val="en-GB"/>
        </w:rPr>
        <w:t>tertiary education enrolment (TER)</w:t>
      </w:r>
      <w:r w:rsidRPr="001662E0">
        <w:rPr>
          <w:rFonts w:ascii="Garamond" w:hAnsi="Garamond"/>
          <w:sz w:val="20"/>
          <w:szCs w:val="20"/>
          <w:lang w:val="en-GB"/>
        </w:rPr>
        <w:t xml:space="preserve"> among country-year cases of high tertiary attainment in </w:t>
      </w:r>
      <w:r>
        <w:rPr>
          <w:rFonts w:ascii="Garamond" w:hAnsi="Garamond"/>
          <w:sz w:val="20"/>
          <w:szCs w:val="20"/>
          <w:lang w:val="en-GB"/>
        </w:rPr>
        <w:t xml:space="preserve">the </w:t>
      </w:r>
      <w:r w:rsidRPr="001662E0">
        <w:rPr>
          <w:rFonts w:ascii="Garamond" w:hAnsi="Garamond"/>
          <w:sz w:val="20"/>
          <w:szCs w:val="20"/>
          <w:lang w:val="en-GB"/>
        </w:rPr>
        <w:t>population aged 25-64</w:t>
      </w:r>
      <w:r>
        <w:rPr>
          <w:rFonts w:ascii="Garamond" w:hAnsi="Garamond"/>
          <w:sz w:val="20"/>
          <w:szCs w:val="20"/>
          <w:lang w:val="en-GB"/>
        </w:rPr>
        <w:t xml:space="preserve"> </w:t>
      </w:r>
    </w:p>
    <w:p w14:paraId="17D89402" w14:textId="77777777" w:rsidR="00EB43A0" w:rsidRDefault="00EB43A0" w:rsidP="00EB43A0">
      <w:pPr>
        <w:spacing w:after="160" w:line="259" w:lineRule="auto"/>
        <w:rPr>
          <w:lang w:val="en-US"/>
        </w:rPr>
      </w:pPr>
      <w:r w:rsidRPr="00141027">
        <w:rPr>
          <w:noProof/>
          <w:lang w:val="en-US"/>
        </w:rPr>
        <w:drawing>
          <wp:anchor distT="0" distB="0" distL="114300" distR="114300" simplePos="0" relativeHeight="251660288" behindDoc="0" locked="0" layoutInCell="1" allowOverlap="1" wp14:anchorId="0926DB4D" wp14:editId="32B7C1D0">
            <wp:simplePos x="0" y="0"/>
            <wp:positionH relativeFrom="column">
              <wp:posOffset>0</wp:posOffset>
            </wp:positionH>
            <wp:positionV relativeFrom="paragraph">
              <wp:posOffset>-2540</wp:posOffset>
            </wp:positionV>
            <wp:extent cx="5084064" cy="3049199"/>
            <wp:effectExtent l="0" t="0" r="254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4064" cy="3049199"/>
                    </a:xfrm>
                    <a:prstGeom prst="rect">
                      <a:avLst/>
                    </a:prstGeom>
                    <a:noFill/>
                    <a:ln>
                      <a:noFill/>
                    </a:ln>
                  </pic:spPr>
                </pic:pic>
              </a:graphicData>
            </a:graphic>
          </wp:anchor>
        </w:drawing>
      </w:r>
    </w:p>
    <w:p w14:paraId="6AB2D68F" w14:textId="77777777" w:rsidR="00EB43A0" w:rsidRPr="009C6C4C" w:rsidRDefault="00EB43A0" w:rsidP="00EB43A0">
      <w:pPr>
        <w:spacing w:after="160" w:line="259" w:lineRule="auto"/>
        <w:rPr>
          <w:lang w:val="en-US"/>
        </w:rPr>
      </w:pPr>
    </w:p>
    <w:p w14:paraId="0092194D" w14:textId="77777777" w:rsidR="0088102E" w:rsidRPr="00EB43A0" w:rsidRDefault="0088102E">
      <w:pPr>
        <w:rPr>
          <w:lang w:val="en-US"/>
        </w:rPr>
      </w:pPr>
    </w:p>
    <w:sectPr w:rsidR="0088102E" w:rsidRPr="00EB43A0" w:rsidSect="00EB43A0">
      <w:footerReference w:type="default" r:id="rId12"/>
      <w:pgSz w:w="11907" w:h="16840"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01CFA" w14:textId="77777777" w:rsidR="00C918A3" w:rsidRDefault="00160497">
      <w:pPr>
        <w:spacing w:after="0" w:line="240" w:lineRule="auto"/>
      </w:pPr>
      <w:r>
        <w:separator/>
      </w:r>
    </w:p>
  </w:endnote>
  <w:endnote w:type="continuationSeparator" w:id="0">
    <w:p w14:paraId="73EE7204" w14:textId="77777777" w:rsidR="00C918A3" w:rsidRDefault="00160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623274"/>
      <w:docPartObj>
        <w:docPartGallery w:val="Page Numbers (Bottom of Page)"/>
        <w:docPartUnique/>
      </w:docPartObj>
    </w:sdtPr>
    <w:sdtEndPr>
      <w:rPr>
        <w:noProof/>
      </w:rPr>
    </w:sdtEndPr>
    <w:sdtContent>
      <w:p w14:paraId="4E930750" w14:textId="77777777" w:rsidR="00FC2B10" w:rsidRDefault="00EB43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8C79D7" w14:textId="77777777" w:rsidR="00FC2B10" w:rsidRDefault="00581FDD" w:rsidP="007270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058B1" w14:textId="77777777" w:rsidR="00C918A3" w:rsidRDefault="00160497">
      <w:pPr>
        <w:spacing w:after="0" w:line="240" w:lineRule="auto"/>
      </w:pPr>
      <w:r>
        <w:separator/>
      </w:r>
    </w:p>
  </w:footnote>
  <w:footnote w:type="continuationSeparator" w:id="0">
    <w:p w14:paraId="69B792AE" w14:textId="77777777" w:rsidR="00C918A3" w:rsidRDefault="001604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13"/>
    <w:rsid w:val="0005501C"/>
    <w:rsid w:val="00160497"/>
    <w:rsid w:val="001F498B"/>
    <w:rsid w:val="0020531A"/>
    <w:rsid w:val="0026119D"/>
    <w:rsid w:val="0045405C"/>
    <w:rsid w:val="00543C2D"/>
    <w:rsid w:val="00581FDD"/>
    <w:rsid w:val="005D7D5F"/>
    <w:rsid w:val="006A428A"/>
    <w:rsid w:val="0071069E"/>
    <w:rsid w:val="00752781"/>
    <w:rsid w:val="00834F48"/>
    <w:rsid w:val="0088102E"/>
    <w:rsid w:val="008E1F26"/>
    <w:rsid w:val="009D5D01"/>
    <w:rsid w:val="00B21E80"/>
    <w:rsid w:val="00B46E5C"/>
    <w:rsid w:val="00B97AF0"/>
    <w:rsid w:val="00C918A3"/>
    <w:rsid w:val="00E00213"/>
    <w:rsid w:val="00E605E3"/>
    <w:rsid w:val="00EB4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A312F"/>
  <w15:chartTrackingRefBased/>
  <w15:docId w15:val="{9F4AB059-E60C-4935-9172-DBE6E5A5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A0"/>
    <w:pPr>
      <w:spacing w:after="260" w:line="300" w:lineRule="exact"/>
    </w:pPr>
    <w:rPr>
      <w:rFonts w:ascii="Times New Roman" w:hAnsi="Times New Roman"/>
      <w:lang w:val="sv-SE"/>
    </w:rPr>
  </w:style>
  <w:style w:type="paragraph" w:styleId="Heading3">
    <w:name w:val="heading 3"/>
    <w:basedOn w:val="Normal"/>
    <w:next w:val="Normal"/>
    <w:link w:val="Heading3Char"/>
    <w:uiPriority w:val="9"/>
    <w:qFormat/>
    <w:rsid w:val="00EB43A0"/>
    <w:pPr>
      <w:keepNext/>
      <w:keepLines/>
      <w:spacing w:after="60"/>
      <w:outlineLvl w:val="2"/>
    </w:pPr>
    <w:rPr>
      <w:rFonts w:eastAsiaTheme="majorEastAsia" w:cstheme="majorBidi"/>
      <w:b/>
      <w:color w:val="262626" w:themeColor="text1" w:themeTint="D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B43A0"/>
    <w:rPr>
      <w:rFonts w:ascii="Times New Roman" w:eastAsiaTheme="majorEastAsia" w:hAnsi="Times New Roman" w:cstheme="majorBidi"/>
      <w:b/>
      <w:color w:val="262626" w:themeColor="text1" w:themeTint="D9"/>
      <w:szCs w:val="24"/>
      <w:lang w:val="sv-SE"/>
    </w:rPr>
  </w:style>
  <w:style w:type="paragraph" w:styleId="Footer">
    <w:name w:val="footer"/>
    <w:basedOn w:val="Normal"/>
    <w:link w:val="FooterChar"/>
    <w:uiPriority w:val="99"/>
    <w:unhideWhenUsed/>
    <w:rsid w:val="00EB4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3A0"/>
    <w:rPr>
      <w:rFonts w:ascii="Times New Roman" w:hAnsi="Times New Roman"/>
      <w:lang w:val="sv-SE"/>
    </w:rPr>
  </w:style>
  <w:style w:type="table" w:styleId="PlainTable3">
    <w:name w:val="Plain Table 3"/>
    <w:basedOn w:val="TableNormal"/>
    <w:uiPriority w:val="43"/>
    <w:rsid w:val="00EB43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05501C"/>
    <w:rPr>
      <w:color w:val="0563C1" w:themeColor="hyperlink"/>
      <w:u w:val="single"/>
    </w:rPr>
  </w:style>
  <w:style w:type="character" w:styleId="UnresolvedMention">
    <w:name w:val="Unresolved Mention"/>
    <w:basedOn w:val="DefaultParagraphFont"/>
    <w:uiPriority w:val="99"/>
    <w:semiHidden/>
    <w:unhideWhenUsed/>
    <w:rsid w:val="00055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u.se/social-policy-indicators-databas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ecd.org/en/data/indicators/population.html" TargetMode="External"/><Relationship Id="rId11" Type="http://schemas.openxmlformats.org/officeDocument/2006/relationships/image" Target="media/image4.emf"/><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9</Pages>
  <Words>3095</Words>
  <Characters>18246</Characters>
  <Application>Microsoft Office Word</Application>
  <DocSecurity>0</DocSecurity>
  <Lines>793</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Czarnecki</dc:creator>
  <cp:keywords/>
  <dc:description/>
  <cp:lastModifiedBy>Krzysztof Czarnecki</cp:lastModifiedBy>
  <cp:revision>12</cp:revision>
  <cp:lastPrinted>2025-03-14T16:18:00Z</cp:lastPrinted>
  <dcterms:created xsi:type="dcterms:W3CDTF">2024-11-01T17:26:00Z</dcterms:created>
  <dcterms:modified xsi:type="dcterms:W3CDTF">2025-03-14T16:19:00Z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a03b6e3d6a3680cef42566fa6546ce8245b0383f81b50c4e082214e03f2bbd85</vt:lpwstr>
  </property>
</Properties>
</file>