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E83F0" w14:textId="77777777" w:rsidR="008F2F94" w:rsidRDefault="008F2F94" w:rsidP="006C34B7">
      <w:pPr>
        <w:pStyle w:val="Title"/>
        <w:rPr>
          <w:b w:val="0"/>
        </w:rPr>
      </w:pPr>
      <w:r w:rsidRPr="008F2F94">
        <w:t>Supplementary Information</w:t>
      </w:r>
      <w:r>
        <w:tab/>
      </w:r>
    </w:p>
    <w:p w14:paraId="7714885D" w14:textId="5ABF81F9" w:rsidR="007A3485" w:rsidRDefault="007A3485" w:rsidP="007A3485">
      <w:pPr>
        <w:rPr>
          <w:rFonts w:cs="Arial"/>
          <w:b/>
          <w:sz w:val="24"/>
          <w:szCs w:val="24"/>
        </w:rPr>
      </w:pPr>
      <w:r>
        <w:rPr>
          <w:rFonts w:cs="Arial"/>
          <w:b/>
          <w:sz w:val="24"/>
          <w:szCs w:val="24"/>
        </w:rPr>
        <w:t>The geographical diversity of the scientific elite</w:t>
      </w:r>
      <w:r w:rsidR="004E57F5">
        <w:rPr>
          <w:rFonts w:cs="Arial"/>
          <w:b/>
          <w:sz w:val="24"/>
          <w:szCs w:val="24"/>
        </w:rPr>
        <w:t xml:space="preserve"> in STEMM fields</w:t>
      </w:r>
      <w:r>
        <w:rPr>
          <w:rFonts w:cs="Arial"/>
          <w:b/>
          <w:sz w:val="24"/>
          <w:szCs w:val="24"/>
        </w:rPr>
        <w:t xml:space="preserve"> is decreasing, even as the overall scientific workforce </w:t>
      </w:r>
      <w:r w:rsidR="007710D0">
        <w:rPr>
          <w:rFonts w:cs="Arial"/>
          <w:b/>
          <w:sz w:val="24"/>
          <w:szCs w:val="24"/>
        </w:rPr>
        <w:t>has diversified</w:t>
      </w:r>
    </w:p>
    <w:p w14:paraId="39EA3FF4" w14:textId="77777777" w:rsidR="00B107D8" w:rsidRPr="00CE776E" w:rsidRDefault="00B107D8" w:rsidP="008F2F94">
      <w:pPr>
        <w:spacing w:after="0"/>
        <w:jc w:val="both"/>
        <w:rPr>
          <w:rFonts w:cs="Arial"/>
          <w:szCs w:val="20"/>
        </w:rPr>
      </w:pPr>
    </w:p>
    <w:p w14:paraId="3A576F36" w14:textId="560F88DE" w:rsidR="00B107D8" w:rsidRPr="00B107D8" w:rsidRDefault="00B107D8" w:rsidP="008F2F94">
      <w:pPr>
        <w:spacing w:after="0"/>
        <w:jc w:val="both"/>
        <w:rPr>
          <w:rFonts w:cs="Arial"/>
          <w:b/>
          <w:bCs/>
          <w:szCs w:val="20"/>
        </w:rPr>
      </w:pPr>
      <w:r w:rsidRPr="00B107D8">
        <w:rPr>
          <w:rFonts w:cs="Arial"/>
          <w:b/>
          <w:bCs/>
          <w:szCs w:val="20"/>
        </w:rPr>
        <w:t>This PDF includes:</w:t>
      </w:r>
    </w:p>
    <w:p w14:paraId="3AD92861" w14:textId="24DDB9A8" w:rsidR="00B107D8" w:rsidRDefault="00B107D8" w:rsidP="00B107D8">
      <w:pPr>
        <w:spacing w:after="0"/>
        <w:ind w:left="720"/>
        <w:rPr>
          <w:rFonts w:cs="Arial"/>
          <w:szCs w:val="20"/>
        </w:rPr>
      </w:pPr>
      <w:r w:rsidRPr="00B107D8">
        <w:rPr>
          <w:rFonts w:cs="Arial"/>
          <w:szCs w:val="20"/>
        </w:rPr>
        <w:br/>
        <w:t>Supporting text</w:t>
      </w:r>
    </w:p>
    <w:p w14:paraId="44716F82" w14:textId="3DE5855A" w:rsidR="00B107D8" w:rsidRPr="00B107D8" w:rsidRDefault="00B107D8" w:rsidP="00B107D8">
      <w:pPr>
        <w:spacing w:after="0"/>
        <w:ind w:left="720"/>
        <w:rPr>
          <w:rFonts w:cs="Arial"/>
          <w:szCs w:val="20"/>
        </w:rPr>
      </w:pPr>
      <w:r>
        <w:rPr>
          <w:rFonts w:cs="Arial"/>
          <w:szCs w:val="20"/>
        </w:rPr>
        <w:t>Figures S1 to S13</w:t>
      </w:r>
    </w:p>
    <w:p w14:paraId="1B83099A" w14:textId="77777777" w:rsidR="008F2F94" w:rsidRPr="00B107D8" w:rsidRDefault="008F2F94" w:rsidP="008F2F94">
      <w:pPr>
        <w:spacing w:after="0"/>
        <w:jc w:val="both"/>
        <w:rPr>
          <w:rFonts w:cs="Arial"/>
          <w:sz w:val="18"/>
          <w:szCs w:val="18"/>
        </w:rPr>
      </w:pPr>
    </w:p>
    <w:p w14:paraId="0D140F6C" w14:textId="77777777" w:rsidR="008F2F94" w:rsidRPr="00B107D8" w:rsidRDefault="008F2F94" w:rsidP="008F2F94">
      <w:pPr>
        <w:rPr>
          <w:rFonts w:cs="Arial"/>
          <w:szCs w:val="20"/>
        </w:rPr>
      </w:pPr>
    </w:p>
    <w:p w14:paraId="55A057BB" w14:textId="77777777" w:rsidR="008F2F94" w:rsidRPr="00B107D8" w:rsidRDefault="008F2F94" w:rsidP="008F2F94">
      <w:pPr>
        <w:spacing w:before="100" w:beforeAutospacing="1" w:after="100" w:afterAutospacing="1"/>
        <w:rPr>
          <w:rFonts w:eastAsia="Times New Roman" w:cs="Arial"/>
          <w:szCs w:val="20"/>
        </w:rPr>
      </w:pPr>
    </w:p>
    <w:p w14:paraId="0352954D" w14:textId="77777777" w:rsidR="008F2F94" w:rsidRPr="00B107D8" w:rsidRDefault="008F2F94" w:rsidP="008F2F94">
      <w:pPr>
        <w:spacing w:before="100" w:beforeAutospacing="1" w:after="100" w:afterAutospacing="1"/>
        <w:rPr>
          <w:rFonts w:eastAsia="Times New Roman" w:cs="Arial"/>
          <w:szCs w:val="20"/>
        </w:rPr>
      </w:pPr>
    </w:p>
    <w:p w14:paraId="123661D3" w14:textId="77777777" w:rsidR="008F2F94" w:rsidRPr="00B107D8" w:rsidRDefault="008F2F94">
      <w:pPr>
        <w:spacing w:after="160" w:line="259" w:lineRule="auto"/>
        <w:rPr>
          <w:rFonts w:eastAsia="Times New Roman" w:cs="Arial"/>
          <w:szCs w:val="20"/>
        </w:rPr>
      </w:pPr>
      <w:r w:rsidRPr="00B107D8">
        <w:rPr>
          <w:rFonts w:eastAsia="Times New Roman" w:cs="Arial"/>
          <w:szCs w:val="20"/>
        </w:rPr>
        <w:br w:type="page"/>
      </w:r>
    </w:p>
    <w:p w14:paraId="54BE5150" w14:textId="7B310842" w:rsidR="006C34B7" w:rsidRDefault="00B251A4" w:rsidP="006C34B7">
      <w:pPr>
        <w:pStyle w:val="Heading1"/>
      </w:pPr>
      <w:r>
        <w:lastRenderedPageBreak/>
        <w:t>Supporting Information Text</w:t>
      </w:r>
    </w:p>
    <w:p w14:paraId="4F2F08D8" w14:textId="24ECB366" w:rsidR="006C34B7" w:rsidRDefault="006C34B7" w:rsidP="006C34B7">
      <w:pPr>
        <w:pStyle w:val="Heading2"/>
      </w:pPr>
      <w:r>
        <w:t>Decomposition</w:t>
      </w:r>
    </w:p>
    <w:p w14:paraId="0C0155A6" w14:textId="525C6DD5" w:rsidR="006C34B7" w:rsidRPr="000E2CB4" w:rsidRDefault="006C34B7" w:rsidP="006C34B7">
      <w:pPr>
        <w:rPr>
          <w:rFonts w:cs="Arial"/>
          <w:color w:val="000000" w:themeColor="text1"/>
          <w:szCs w:val="20"/>
        </w:rPr>
      </w:pPr>
      <w:r>
        <w:rPr>
          <w:rFonts w:cs="Arial"/>
          <w:color w:val="000000" w:themeColor="text1"/>
          <w:szCs w:val="20"/>
        </w:rPr>
        <w:t>The th</w:t>
      </w:r>
      <w:r w:rsidRPr="000E2CB4">
        <w:rPr>
          <w:rFonts w:cs="Arial"/>
          <w:color w:val="000000" w:themeColor="text1"/>
          <w:szCs w:val="20"/>
        </w:rPr>
        <w:t xml:space="preserve">reefold </w:t>
      </w:r>
      <w:r>
        <w:rPr>
          <w:rFonts w:cs="Arial"/>
          <w:color w:val="000000" w:themeColor="text1"/>
          <w:szCs w:val="20"/>
        </w:rPr>
        <w:t>Kitagawa-</w:t>
      </w:r>
      <w:r w:rsidRPr="000E2CB4">
        <w:rPr>
          <w:rFonts w:cs="Arial"/>
          <w:color w:val="000000" w:themeColor="text1"/>
          <w:szCs w:val="20"/>
        </w:rPr>
        <w:t>Oaxaca-Blinder decomposition</w:t>
      </w:r>
      <w:r>
        <w:rPr>
          <w:rFonts w:cs="Arial"/>
          <w:color w:val="000000" w:themeColor="text1"/>
          <w:szCs w:val="20"/>
        </w:rPr>
        <w:t xml:space="preserve"> that we use</w:t>
      </w:r>
      <w:r w:rsidRPr="000E2CB4">
        <w:rPr>
          <w:rFonts w:cs="Arial"/>
          <w:color w:val="000000" w:themeColor="text1"/>
          <w:szCs w:val="20"/>
        </w:rPr>
        <w:t xml:space="preserve"> can be represented in the form below, </w:t>
      </w:r>
      <w:r>
        <w:rPr>
          <w:rFonts w:cs="Arial"/>
          <w:color w:val="000000" w:themeColor="text1"/>
          <w:szCs w:val="20"/>
        </w:rPr>
        <w:t xml:space="preserve">as </w:t>
      </w:r>
      <w:r w:rsidRPr="000E2CB4">
        <w:rPr>
          <w:rFonts w:cs="Arial"/>
          <w:color w:val="000000" w:themeColor="text1"/>
          <w:szCs w:val="20"/>
        </w:rPr>
        <w:t>adapted from Jann</w:t>
      </w:r>
      <w:r w:rsidRPr="000E2CB4">
        <w:rPr>
          <w:rFonts w:cs="Arial"/>
          <w:color w:val="000000" w:themeColor="text1"/>
          <w:szCs w:val="20"/>
          <w:vertAlign w:val="superscript"/>
        </w:rPr>
        <w:t>68</w:t>
      </w:r>
      <w:r w:rsidRPr="000E2CB4">
        <w:rPr>
          <w:rFonts w:cs="Arial"/>
          <w:color w:val="000000" w:themeColor="text1"/>
          <w:szCs w:val="20"/>
        </w:rPr>
        <w:t xml:space="preserve"> and Fairlie</w:t>
      </w:r>
      <w:r w:rsidRPr="000E2CB4">
        <w:rPr>
          <w:rFonts w:cs="Arial"/>
          <w:color w:val="000000" w:themeColor="text1"/>
          <w:szCs w:val="20"/>
          <w:vertAlign w:val="superscript"/>
        </w:rPr>
        <w:t>69</w:t>
      </w:r>
      <w:r w:rsidRPr="000E2CB4">
        <w:rPr>
          <w:rFonts w:cs="Arial"/>
          <w:color w:val="000000" w:themeColor="text1"/>
          <w:szCs w:val="20"/>
        </w:rPr>
        <w:t xml:space="preserve">. Given two non-linear models that predict membership in the elite, one among scholars in the Global North, and another among Scholars in the Global South, where </w:t>
      </w:r>
      <w:r w:rsidRPr="000E2CB4">
        <w:rPr>
          <w:rFonts w:cs="Arial"/>
          <w:i/>
          <w:iCs/>
          <w:color w:val="000000" w:themeColor="text1"/>
          <w:szCs w:val="20"/>
        </w:rPr>
        <w:t>F</w:t>
      </w:r>
      <w:r w:rsidRPr="000E2CB4">
        <w:rPr>
          <w:rFonts w:cs="Arial"/>
          <w:color w:val="000000" w:themeColor="text1"/>
          <w:szCs w:val="20"/>
        </w:rPr>
        <w:t xml:space="preserve"> is a non-linear function:</w:t>
      </w:r>
    </w:p>
    <w:p w14:paraId="2A3F8052" w14:textId="77777777" w:rsidR="006C34B7" w:rsidRPr="00274288" w:rsidRDefault="00000000" w:rsidP="006C34B7">
      <w:pPr>
        <w:pStyle w:val="ListParagraph"/>
        <w:numPr>
          <w:ilvl w:val="0"/>
          <w:numId w:val="1"/>
        </w:numP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Y</m:t>
            </m:r>
          </m:e>
          <m:sub>
            <m:r>
              <w:rPr>
                <w:rFonts w:ascii="Cambria Math" w:hAnsi="Cambria Math" w:cs="Arial"/>
                <w:sz w:val="20"/>
                <w:szCs w:val="20"/>
              </w:rPr>
              <m:t>i</m:t>
            </m:r>
          </m:sub>
          <m:sup>
            <m:r>
              <w:rPr>
                <w:rFonts w:ascii="Cambria Math" w:hAnsi="Cambria Math" w:cs="Arial"/>
                <w:sz w:val="20"/>
                <w:szCs w:val="20"/>
              </w:rPr>
              <m:t>No</m:t>
            </m:r>
          </m:sup>
        </m:sSubSup>
        <m:r>
          <w:rPr>
            <w:rFonts w:ascii="Cambria Math" w:hAnsi="Cambria Math" w:cs="Arial"/>
            <w:sz w:val="20"/>
            <w:szCs w:val="20"/>
          </w:rPr>
          <m:t>=F</m:t>
        </m:r>
        <m:d>
          <m:dPr>
            <m:ctrlPr>
              <w:rPr>
                <w:rFonts w:ascii="Cambria Math" w:hAnsi="Cambria Math" w:cs="Arial"/>
                <w:i/>
                <w:sz w:val="20"/>
                <w:szCs w:val="20"/>
              </w:rPr>
            </m:ctrlPr>
          </m:dPr>
          <m:e>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No</m:t>
                </m:r>
              </m:sup>
            </m:sSubSup>
            <m:sSup>
              <m:sSupPr>
                <m:ctrlPr>
                  <w:rPr>
                    <w:rFonts w:ascii="Cambria Math" w:hAnsi="Cambria Math" w:cs="Arial"/>
                    <w:i/>
                    <w:sz w:val="20"/>
                    <w:szCs w:val="20"/>
                  </w:rPr>
                </m:ctrlPr>
              </m:sSupPr>
              <m:e>
                <m:acc>
                  <m:accPr>
                    <m:ctrlPr>
                      <w:rPr>
                        <w:rFonts w:ascii="Cambria Math" w:hAnsi="Cambria Math" w:cs="Arial"/>
                        <w:i/>
                        <w:sz w:val="20"/>
                        <w:szCs w:val="20"/>
                      </w:rPr>
                    </m:ctrlPr>
                  </m:accPr>
                  <m:e>
                    <m:r>
                      <w:rPr>
                        <w:rFonts w:ascii="Cambria Math" w:hAnsi="Cambria Math" w:cs="Arial"/>
                        <w:sz w:val="20"/>
                        <w:szCs w:val="20"/>
                      </w:rPr>
                      <m:t>β</m:t>
                    </m:r>
                  </m:e>
                </m:acc>
              </m:e>
              <m:sup>
                <m:r>
                  <w:rPr>
                    <w:rFonts w:ascii="Cambria Math" w:hAnsi="Cambria Math" w:cs="Arial"/>
                    <w:sz w:val="20"/>
                    <w:szCs w:val="20"/>
                  </w:rPr>
                  <m:t>No</m:t>
                </m:r>
              </m:sup>
            </m:sSup>
          </m:e>
        </m:d>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e</m:t>
            </m:r>
          </m:e>
          <m:sub>
            <m:r>
              <w:rPr>
                <w:rFonts w:ascii="Cambria Math" w:eastAsiaTheme="minorEastAsia" w:hAnsi="Cambria Math" w:cs="Arial"/>
                <w:sz w:val="20"/>
                <w:szCs w:val="20"/>
              </w:rPr>
              <m:t>i</m:t>
            </m:r>
          </m:sub>
        </m:sSub>
      </m:oMath>
    </w:p>
    <w:p w14:paraId="612A9A69" w14:textId="77777777" w:rsidR="006C34B7" w:rsidRPr="00274288" w:rsidRDefault="006C34B7" w:rsidP="006C34B7">
      <w:pPr>
        <w:pStyle w:val="ListParagraph"/>
        <w:numPr>
          <w:ilvl w:val="0"/>
          <w:numId w:val="1"/>
        </w:numPr>
        <w:rPr>
          <w:rFonts w:ascii="Arial" w:hAnsi="Arial" w:cs="Arial"/>
          <w:sz w:val="20"/>
          <w:szCs w:val="20"/>
        </w:rPr>
      </w:pPr>
      <w:r w:rsidRPr="00274288">
        <w:rPr>
          <w:rFonts w:ascii="Arial" w:eastAsiaTheme="minorEastAsia" w:hAnsi="Arial" w:cs="Arial"/>
          <w:i/>
          <w:sz w:val="20"/>
          <w:szCs w:val="20"/>
        </w:rPr>
        <w:t xml:space="preserve"> </w:t>
      </w:r>
      <m:oMath>
        <m:sSubSup>
          <m:sSubSupPr>
            <m:ctrlPr>
              <w:rPr>
                <w:rFonts w:ascii="Cambria Math" w:hAnsi="Cambria Math" w:cs="Arial"/>
                <w:i/>
                <w:sz w:val="20"/>
                <w:szCs w:val="20"/>
              </w:rPr>
            </m:ctrlPr>
          </m:sSubSupPr>
          <m:e>
            <m:r>
              <w:rPr>
                <w:rFonts w:ascii="Cambria Math" w:hAnsi="Cambria Math" w:cs="Arial"/>
                <w:sz w:val="20"/>
                <w:szCs w:val="20"/>
              </w:rPr>
              <m:t>Y</m:t>
            </m:r>
          </m:e>
          <m:sub>
            <m:r>
              <w:rPr>
                <w:rFonts w:ascii="Cambria Math" w:hAnsi="Cambria Math" w:cs="Arial"/>
                <w:sz w:val="20"/>
                <w:szCs w:val="20"/>
              </w:rPr>
              <m:t>i</m:t>
            </m:r>
          </m:sub>
          <m:sup>
            <m:r>
              <w:rPr>
                <w:rFonts w:ascii="Cambria Math" w:hAnsi="Cambria Math" w:cs="Arial"/>
                <w:sz w:val="20"/>
                <w:szCs w:val="20"/>
              </w:rPr>
              <m:t>So</m:t>
            </m:r>
          </m:sup>
        </m:sSubSup>
        <m:r>
          <w:rPr>
            <w:rFonts w:ascii="Cambria Math" w:hAnsi="Cambria Math" w:cs="Arial"/>
            <w:sz w:val="20"/>
            <w:szCs w:val="20"/>
          </w:rPr>
          <m:t>=F</m:t>
        </m:r>
        <m:d>
          <m:dPr>
            <m:ctrlPr>
              <w:rPr>
                <w:rFonts w:ascii="Cambria Math" w:hAnsi="Cambria Math" w:cs="Arial"/>
                <w:i/>
                <w:sz w:val="20"/>
                <w:szCs w:val="20"/>
              </w:rPr>
            </m:ctrlPr>
          </m:dPr>
          <m:e>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So</m:t>
                </m:r>
              </m:sup>
            </m:sSubSup>
            <m:sSup>
              <m:sSupPr>
                <m:ctrlPr>
                  <w:rPr>
                    <w:rFonts w:ascii="Cambria Math" w:hAnsi="Cambria Math" w:cs="Arial"/>
                    <w:i/>
                    <w:sz w:val="20"/>
                    <w:szCs w:val="20"/>
                  </w:rPr>
                </m:ctrlPr>
              </m:sSupPr>
              <m:e>
                <m:acc>
                  <m:accPr>
                    <m:ctrlPr>
                      <w:rPr>
                        <w:rFonts w:ascii="Cambria Math" w:hAnsi="Cambria Math" w:cs="Arial"/>
                        <w:i/>
                        <w:sz w:val="20"/>
                        <w:szCs w:val="20"/>
                      </w:rPr>
                    </m:ctrlPr>
                  </m:accPr>
                  <m:e>
                    <m:r>
                      <w:rPr>
                        <w:rFonts w:ascii="Cambria Math" w:hAnsi="Cambria Math" w:cs="Arial"/>
                        <w:sz w:val="20"/>
                        <w:szCs w:val="20"/>
                      </w:rPr>
                      <m:t>β</m:t>
                    </m:r>
                  </m:e>
                </m:acc>
              </m:e>
              <m:sup>
                <m:r>
                  <w:rPr>
                    <w:rFonts w:ascii="Cambria Math" w:hAnsi="Cambria Math" w:cs="Arial"/>
                    <w:sz w:val="20"/>
                    <w:szCs w:val="20"/>
                  </w:rPr>
                  <m:t>So</m:t>
                </m:r>
              </m:sup>
            </m:sSup>
          </m:e>
        </m:d>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e</m:t>
            </m:r>
          </m:e>
          <m:sub>
            <m:r>
              <w:rPr>
                <w:rFonts w:ascii="Cambria Math" w:eastAsiaTheme="minorEastAsia" w:hAnsi="Cambria Math" w:cs="Arial"/>
                <w:sz w:val="20"/>
                <w:szCs w:val="20"/>
              </w:rPr>
              <m:t>i</m:t>
            </m:r>
          </m:sub>
        </m:sSub>
      </m:oMath>
    </w:p>
    <w:p w14:paraId="3A729911" w14:textId="77777777" w:rsidR="006C34B7" w:rsidRPr="00274288" w:rsidRDefault="006C34B7" w:rsidP="006C34B7">
      <w:pPr>
        <w:rPr>
          <w:rFonts w:cs="Arial"/>
          <w:szCs w:val="20"/>
        </w:rPr>
      </w:pPr>
      <w:r w:rsidRPr="00274288">
        <w:rPr>
          <w:rFonts w:cs="Arial"/>
          <w:szCs w:val="20"/>
        </w:rPr>
        <w:t>We can decompose the gap between the Global North and the Global South into three components:</w:t>
      </w:r>
    </w:p>
    <w:p w14:paraId="596702BB" w14:textId="77777777" w:rsidR="006C34B7" w:rsidRPr="00274288" w:rsidRDefault="00000000" w:rsidP="006C34B7">
      <w:pPr>
        <w:pStyle w:val="ListParagraph"/>
        <w:numPr>
          <w:ilvl w:val="0"/>
          <w:numId w:val="1"/>
        </w:numPr>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Gap</m:t>
            </m:r>
          </m:e>
          <m:sup>
            <m:r>
              <w:rPr>
                <w:rFonts w:ascii="Cambria Math" w:hAnsi="Cambria Math" w:cs="Arial"/>
                <w:sz w:val="20"/>
                <w:szCs w:val="20"/>
              </w:rPr>
              <m:t>North-South</m:t>
            </m:r>
          </m:sup>
        </m:sSup>
        <m:r>
          <w:rPr>
            <w:rFonts w:ascii="Cambria Math" w:hAnsi="Cambria Math" w:cs="Arial"/>
            <w:sz w:val="20"/>
            <w:szCs w:val="20"/>
          </w:rPr>
          <m:t>=</m:t>
        </m:r>
        <m:sSup>
          <m:sSupPr>
            <m:ctrlPr>
              <w:rPr>
                <w:rFonts w:ascii="Cambria Math" w:hAnsi="Cambria Math" w:cs="Arial"/>
                <w:i/>
                <w:sz w:val="20"/>
                <w:szCs w:val="20"/>
              </w:rPr>
            </m:ctrlPr>
          </m:sSupPr>
          <m:e>
            <m:acc>
              <m:accPr>
                <m:chr m:val="̅"/>
                <m:ctrlPr>
                  <w:rPr>
                    <w:rFonts w:ascii="Cambria Math" w:hAnsi="Cambria Math" w:cs="Arial"/>
                    <w:i/>
                    <w:sz w:val="20"/>
                    <w:szCs w:val="20"/>
                  </w:rPr>
                </m:ctrlPr>
              </m:accPr>
              <m:e>
                <m:r>
                  <w:rPr>
                    <w:rFonts w:ascii="Cambria Math" w:hAnsi="Cambria Math" w:cs="Arial"/>
                    <w:sz w:val="20"/>
                    <w:szCs w:val="20"/>
                  </w:rPr>
                  <m:t>Y</m:t>
                </m:r>
              </m:e>
            </m:acc>
          </m:e>
          <m:sup>
            <m:r>
              <w:rPr>
                <w:rFonts w:ascii="Cambria Math" w:hAnsi="Cambria Math" w:cs="Arial"/>
                <w:sz w:val="20"/>
                <w:szCs w:val="20"/>
              </w:rPr>
              <m:t>No</m:t>
            </m:r>
          </m:sup>
        </m:sSup>
        <m:r>
          <w:rPr>
            <w:rFonts w:ascii="Cambria Math" w:eastAsiaTheme="minorEastAsia" w:hAnsi="Cambria Math" w:cs="Arial"/>
            <w:sz w:val="20"/>
            <w:szCs w:val="20"/>
          </w:rPr>
          <m:t xml:space="preserve">- </m:t>
        </m:r>
        <m:sSup>
          <m:sSupPr>
            <m:ctrlPr>
              <w:rPr>
                <w:rFonts w:ascii="Cambria Math" w:hAnsi="Cambria Math" w:cs="Arial"/>
                <w:i/>
                <w:sz w:val="20"/>
                <w:szCs w:val="20"/>
              </w:rPr>
            </m:ctrlPr>
          </m:sSupPr>
          <m:e>
            <m:acc>
              <m:accPr>
                <m:chr m:val="̅"/>
                <m:ctrlPr>
                  <w:rPr>
                    <w:rFonts w:ascii="Cambria Math" w:hAnsi="Cambria Math" w:cs="Arial"/>
                    <w:i/>
                    <w:sz w:val="20"/>
                    <w:szCs w:val="20"/>
                  </w:rPr>
                </m:ctrlPr>
              </m:accPr>
              <m:e>
                <m:r>
                  <w:rPr>
                    <w:rFonts w:ascii="Cambria Math" w:hAnsi="Cambria Math" w:cs="Arial"/>
                    <w:sz w:val="20"/>
                    <w:szCs w:val="20"/>
                  </w:rPr>
                  <m:t>Y</m:t>
                </m:r>
              </m:e>
            </m:acc>
          </m:e>
          <m:sup>
            <m:r>
              <w:rPr>
                <w:rFonts w:ascii="Cambria Math" w:hAnsi="Cambria Math" w:cs="Arial"/>
                <w:sz w:val="20"/>
                <w:szCs w:val="20"/>
              </w:rPr>
              <m:t>So</m:t>
            </m:r>
          </m:sup>
        </m:sSup>
        <m:r>
          <w:rPr>
            <w:rFonts w:ascii="Cambria Math" w:hAnsi="Cambria Math" w:cs="Arial"/>
            <w:sz w:val="20"/>
            <w:szCs w:val="20"/>
          </w:rPr>
          <m:t>= E+C+I</m:t>
        </m:r>
      </m:oMath>
    </w:p>
    <w:p w14:paraId="5FE0ACCE" w14:textId="77777777" w:rsidR="006C34B7" w:rsidRPr="00274288" w:rsidRDefault="006C34B7" w:rsidP="006C34B7">
      <w:pPr>
        <w:pStyle w:val="ListParagraph"/>
        <w:numPr>
          <w:ilvl w:val="0"/>
          <w:numId w:val="1"/>
        </w:numPr>
        <w:rPr>
          <w:rFonts w:ascii="Arial" w:hAnsi="Arial" w:cs="Arial"/>
          <w:sz w:val="20"/>
          <w:szCs w:val="20"/>
        </w:rPr>
      </w:pPr>
      <m:oMath>
        <m:r>
          <w:rPr>
            <w:rFonts w:ascii="Cambria Math" w:hAnsi="Cambria Math" w:cs="Arial"/>
            <w:sz w:val="20"/>
            <w:szCs w:val="20"/>
          </w:rPr>
          <m:t>E=</m:t>
        </m:r>
        <m:d>
          <m:dPr>
            <m:begChr m:val="["/>
            <m:endChr m:val="]"/>
            <m:ctrlPr>
              <w:rPr>
                <w:rFonts w:ascii="Cambria Math" w:hAnsi="Cambria Math" w:cs="Arial"/>
                <w:i/>
                <w:sz w:val="20"/>
                <w:szCs w:val="20"/>
              </w:rPr>
            </m:ctrlPr>
          </m:dPr>
          <m:e>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No</m:t>
                    </m:r>
                  </m:sup>
                </m:sSup>
              </m:sup>
              <m:e>
                <m:f>
                  <m:fPr>
                    <m:ctrlPr>
                      <w:rPr>
                        <w:rFonts w:ascii="Cambria Math" w:hAnsi="Cambria Math" w:cs="Arial"/>
                        <w:i/>
                        <w:sz w:val="20"/>
                        <w:szCs w:val="20"/>
                      </w:rPr>
                    </m:ctrlPr>
                  </m:fPr>
                  <m:num>
                    <m:r>
                      <w:rPr>
                        <w:rFonts w:ascii="Cambria Math" w:hAnsi="Cambria Math" w:cs="Arial"/>
                        <w:sz w:val="20"/>
                        <w:szCs w:val="20"/>
                      </w:rPr>
                      <m:t>F</m:t>
                    </m:r>
                    <m:d>
                      <m:dPr>
                        <m:ctrlPr>
                          <w:rPr>
                            <w:rFonts w:ascii="Cambria Math" w:hAnsi="Cambria Math" w:cs="Arial"/>
                            <w:i/>
                            <w:sz w:val="20"/>
                            <w:szCs w:val="20"/>
                          </w:rPr>
                        </m:ctrlPr>
                      </m:dPr>
                      <m:e>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No</m:t>
                            </m:r>
                          </m:sup>
                        </m:sSubSup>
                        <m:sSup>
                          <m:sSupPr>
                            <m:ctrlPr>
                              <w:rPr>
                                <w:rFonts w:ascii="Cambria Math" w:hAnsi="Cambria Math" w:cs="Arial"/>
                                <w:i/>
                                <w:sz w:val="20"/>
                                <w:szCs w:val="20"/>
                              </w:rPr>
                            </m:ctrlPr>
                          </m:sSupPr>
                          <m:e>
                            <m:acc>
                              <m:accPr>
                                <m:ctrlPr>
                                  <w:rPr>
                                    <w:rFonts w:ascii="Cambria Math" w:hAnsi="Cambria Math" w:cs="Arial"/>
                                    <w:i/>
                                    <w:sz w:val="20"/>
                                    <w:szCs w:val="20"/>
                                  </w:rPr>
                                </m:ctrlPr>
                              </m:accPr>
                              <m:e>
                                <m:r>
                                  <w:rPr>
                                    <w:rFonts w:ascii="Cambria Math" w:hAnsi="Cambria Math" w:cs="Arial"/>
                                    <w:sz w:val="20"/>
                                    <w:szCs w:val="20"/>
                                  </w:rPr>
                                  <m:t>β</m:t>
                                </m:r>
                              </m:e>
                            </m:acc>
                          </m:e>
                          <m:sup>
                            <m:r>
                              <w:rPr>
                                <w:rFonts w:ascii="Cambria Math" w:hAnsi="Cambria Math" w:cs="Arial"/>
                                <w:sz w:val="20"/>
                                <w:szCs w:val="20"/>
                              </w:rPr>
                              <m:t>No</m:t>
                            </m:r>
                          </m:sup>
                        </m:sSup>
                      </m:e>
                    </m:d>
                  </m:num>
                  <m:den>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No</m:t>
                        </m:r>
                      </m:sup>
                    </m:sSup>
                  </m:den>
                </m:f>
              </m:e>
            </m:nary>
            <m:r>
              <w:rPr>
                <w:rFonts w:ascii="Cambria Math" w:hAnsi="Cambria Math" w:cs="Arial"/>
                <w:sz w:val="20"/>
                <w:szCs w:val="20"/>
              </w:rPr>
              <m:t xml:space="preserve">- </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So</m:t>
                    </m:r>
                  </m:sup>
                </m:sSup>
              </m:sup>
              <m:e>
                <m:f>
                  <m:fPr>
                    <m:ctrlPr>
                      <w:rPr>
                        <w:rFonts w:ascii="Cambria Math" w:hAnsi="Cambria Math" w:cs="Arial"/>
                        <w:i/>
                        <w:sz w:val="20"/>
                        <w:szCs w:val="20"/>
                      </w:rPr>
                    </m:ctrlPr>
                  </m:fPr>
                  <m:num>
                    <m:r>
                      <w:rPr>
                        <w:rFonts w:ascii="Cambria Math" w:hAnsi="Cambria Math" w:cs="Arial"/>
                        <w:sz w:val="20"/>
                        <w:szCs w:val="20"/>
                      </w:rPr>
                      <m:t>F</m:t>
                    </m:r>
                    <m:d>
                      <m:dPr>
                        <m:ctrlPr>
                          <w:rPr>
                            <w:rFonts w:ascii="Cambria Math" w:hAnsi="Cambria Math" w:cs="Arial"/>
                            <w:i/>
                            <w:sz w:val="20"/>
                            <w:szCs w:val="20"/>
                          </w:rPr>
                        </m:ctrlPr>
                      </m:dPr>
                      <m:e>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So</m:t>
                            </m:r>
                          </m:sup>
                        </m:sSubSup>
                        <m:sSup>
                          <m:sSupPr>
                            <m:ctrlPr>
                              <w:rPr>
                                <w:rFonts w:ascii="Cambria Math" w:hAnsi="Cambria Math" w:cs="Arial"/>
                                <w:i/>
                                <w:sz w:val="20"/>
                                <w:szCs w:val="20"/>
                              </w:rPr>
                            </m:ctrlPr>
                          </m:sSupPr>
                          <m:e>
                            <m:acc>
                              <m:accPr>
                                <m:ctrlPr>
                                  <w:rPr>
                                    <w:rFonts w:ascii="Cambria Math" w:hAnsi="Cambria Math" w:cs="Arial"/>
                                    <w:i/>
                                    <w:sz w:val="20"/>
                                    <w:szCs w:val="20"/>
                                  </w:rPr>
                                </m:ctrlPr>
                              </m:accPr>
                              <m:e>
                                <m:r>
                                  <w:rPr>
                                    <w:rFonts w:ascii="Cambria Math" w:hAnsi="Cambria Math" w:cs="Arial"/>
                                    <w:sz w:val="20"/>
                                    <w:szCs w:val="20"/>
                                  </w:rPr>
                                  <m:t>β</m:t>
                                </m:r>
                              </m:e>
                            </m:acc>
                          </m:e>
                          <m:sup>
                            <m:r>
                              <w:rPr>
                                <w:rFonts w:ascii="Cambria Math" w:hAnsi="Cambria Math" w:cs="Arial"/>
                                <w:sz w:val="20"/>
                                <w:szCs w:val="20"/>
                              </w:rPr>
                              <m:t>No</m:t>
                            </m:r>
                          </m:sup>
                        </m:sSup>
                      </m:e>
                    </m:d>
                  </m:num>
                  <m:den>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So</m:t>
                        </m:r>
                      </m:sup>
                    </m:sSup>
                  </m:den>
                </m:f>
              </m:e>
            </m:nary>
          </m:e>
        </m:d>
      </m:oMath>
    </w:p>
    <w:p w14:paraId="495231C1" w14:textId="77777777" w:rsidR="006C34B7" w:rsidRPr="00274288" w:rsidRDefault="006C34B7" w:rsidP="006C34B7">
      <w:pPr>
        <w:pStyle w:val="ListParagraph"/>
        <w:numPr>
          <w:ilvl w:val="0"/>
          <w:numId w:val="1"/>
        </w:numPr>
        <w:rPr>
          <w:rFonts w:ascii="Arial" w:hAnsi="Arial" w:cs="Arial"/>
          <w:sz w:val="20"/>
          <w:szCs w:val="20"/>
        </w:rPr>
      </w:pPr>
      <m:oMath>
        <m:r>
          <w:rPr>
            <w:rFonts w:ascii="Cambria Math" w:hAnsi="Cambria Math" w:cs="Arial"/>
            <w:sz w:val="20"/>
            <w:szCs w:val="20"/>
          </w:rPr>
          <m:t>C=</m:t>
        </m:r>
        <m:d>
          <m:dPr>
            <m:begChr m:val="["/>
            <m:endChr m:val="]"/>
            <m:ctrlPr>
              <w:rPr>
                <w:rFonts w:ascii="Cambria Math" w:hAnsi="Cambria Math" w:cs="Arial"/>
                <w:i/>
                <w:sz w:val="20"/>
                <w:szCs w:val="20"/>
              </w:rPr>
            </m:ctrlPr>
          </m:dPr>
          <m:e>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So</m:t>
                    </m:r>
                  </m:sup>
                </m:sSup>
              </m:sup>
              <m:e>
                <m:f>
                  <m:fPr>
                    <m:ctrlPr>
                      <w:rPr>
                        <w:rFonts w:ascii="Cambria Math" w:hAnsi="Cambria Math" w:cs="Arial"/>
                        <w:i/>
                        <w:sz w:val="20"/>
                        <w:szCs w:val="20"/>
                      </w:rPr>
                    </m:ctrlPr>
                  </m:fPr>
                  <m:num>
                    <m:r>
                      <w:rPr>
                        <w:rFonts w:ascii="Cambria Math" w:hAnsi="Cambria Math" w:cs="Arial"/>
                        <w:sz w:val="20"/>
                        <w:szCs w:val="20"/>
                      </w:rPr>
                      <m:t>F</m:t>
                    </m:r>
                    <m:d>
                      <m:dPr>
                        <m:ctrlPr>
                          <w:rPr>
                            <w:rFonts w:ascii="Cambria Math" w:hAnsi="Cambria Math" w:cs="Arial"/>
                            <w:i/>
                            <w:sz w:val="20"/>
                            <w:szCs w:val="20"/>
                          </w:rPr>
                        </m:ctrlPr>
                      </m:dPr>
                      <m:e>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So</m:t>
                            </m:r>
                          </m:sup>
                        </m:sSubSup>
                        <m:sSup>
                          <m:sSupPr>
                            <m:ctrlPr>
                              <w:rPr>
                                <w:rFonts w:ascii="Cambria Math" w:hAnsi="Cambria Math" w:cs="Arial"/>
                                <w:i/>
                                <w:sz w:val="20"/>
                                <w:szCs w:val="20"/>
                              </w:rPr>
                            </m:ctrlPr>
                          </m:sSupPr>
                          <m:e>
                            <m:acc>
                              <m:accPr>
                                <m:ctrlPr>
                                  <w:rPr>
                                    <w:rFonts w:ascii="Cambria Math" w:hAnsi="Cambria Math" w:cs="Arial"/>
                                    <w:i/>
                                    <w:sz w:val="20"/>
                                    <w:szCs w:val="20"/>
                                  </w:rPr>
                                </m:ctrlPr>
                              </m:accPr>
                              <m:e>
                                <m:r>
                                  <w:rPr>
                                    <w:rFonts w:ascii="Cambria Math" w:hAnsi="Cambria Math" w:cs="Arial"/>
                                    <w:sz w:val="20"/>
                                    <w:szCs w:val="20"/>
                                  </w:rPr>
                                  <m:t>β</m:t>
                                </m:r>
                              </m:e>
                            </m:acc>
                          </m:e>
                          <m:sup>
                            <m:r>
                              <w:rPr>
                                <w:rFonts w:ascii="Cambria Math" w:hAnsi="Cambria Math" w:cs="Arial"/>
                                <w:sz w:val="20"/>
                                <w:szCs w:val="20"/>
                              </w:rPr>
                              <m:t>No</m:t>
                            </m:r>
                          </m:sup>
                        </m:sSup>
                      </m:e>
                    </m:d>
                  </m:num>
                  <m:den>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So</m:t>
                        </m:r>
                      </m:sup>
                    </m:sSup>
                  </m:den>
                </m:f>
              </m:e>
            </m:nary>
            <m:r>
              <w:rPr>
                <w:rFonts w:ascii="Cambria Math" w:hAnsi="Cambria Math" w:cs="Arial"/>
                <w:sz w:val="20"/>
                <w:szCs w:val="20"/>
              </w:rPr>
              <m:t xml:space="preserve">- </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So</m:t>
                    </m:r>
                  </m:sup>
                </m:sSup>
              </m:sup>
              <m:e>
                <m:f>
                  <m:fPr>
                    <m:ctrlPr>
                      <w:rPr>
                        <w:rFonts w:ascii="Cambria Math" w:hAnsi="Cambria Math" w:cs="Arial"/>
                        <w:i/>
                        <w:sz w:val="20"/>
                        <w:szCs w:val="20"/>
                      </w:rPr>
                    </m:ctrlPr>
                  </m:fPr>
                  <m:num>
                    <m:r>
                      <w:rPr>
                        <w:rFonts w:ascii="Cambria Math" w:hAnsi="Cambria Math" w:cs="Arial"/>
                        <w:sz w:val="20"/>
                        <w:szCs w:val="20"/>
                      </w:rPr>
                      <m:t>F</m:t>
                    </m:r>
                    <m:d>
                      <m:dPr>
                        <m:ctrlPr>
                          <w:rPr>
                            <w:rFonts w:ascii="Cambria Math" w:hAnsi="Cambria Math" w:cs="Arial"/>
                            <w:i/>
                            <w:sz w:val="20"/>
                            <w:szCs w:val="20"/>
                          </w:rPr>
                        </m:ctrlPr>
                      </m:dPr>
                      <m:e>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So</m:t>
                            </m:r>
                          </m:sup>
                        </m:sSubSup>
                        <m:sSup>
                          <m:sSupPr>
                            <m:ctrlPr>
                              <w:rPr>
                                <w:rFonts w:ascii="Cambria Math" w:hAnsi="Cambria Math" w:cs="Arial"/>
                                <w:i/>
                                <w:sz w:val="20"/>
                                <w:szCs w:val="20"/>
                              </w:rPr>
                            </m:ctrlPr>
                          </m:sSupPr>
                          <m:e>
                            <m:acc>
                              <m:accPr>
                                <m:ctrlPr>
                                  <w:rPr>
                                    <w:rFonts w:ascii="Cambria Math" w:hAnsi="Cambria Math" w:cs="Arial"/>
                                    <w:i/>
                                    <w:sz w:val="20"/>
                                    <w:szCs w:val="20"/>
                                  </w:rPr>
                                </m:ctrlPr>
                              </m:accPr>
                              <m:e>
                                <m:r>
                                  <w:rPr>
                                    <w:rFonts w:ascii="Cambria Math" w:hAnsi="Cambria Math" w:cs="Arial"/>
                                    <w:sz w:val="20"/>
                                    <w:szCs w:val="20"/>
                                  </w:rPr>
                                  <m:t>β</m:t>
                                </m:r>
                              </m:e>
                            </m:acc>
                          </m:e>
                          <m:sup>
                            <m:r>
                              <w:rPr>
                                <w:rFonts w:ascii="Cambria Math" w:hAnsi="Cambria Math" w:cs="Arial"/>
                                <w:sz w:val="20"/>
                                <w:szCs w:val="20"/>
                              </w:rPr>
                              <m:t>So</m:t>
                            </m:r>
                          </m:sup>
                        </m:sSup>
                      </m:e>
                    </m:d>
                  </m:num>
                  <m:den>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So</m:t>
                        </m:r>
                      </m:sup>
                    </m:sSup>
                  </m:den>
                </m:f>
              </m:e>
            </m:nary>
          </m:e>
        </m:d>
      </m:oMath>
    </w:p>
    <w:p w14:paraId="714B878F" w14:textId="77777777" w:rsidR="006C34B7" w:rsidRPr="00274288" w:rsidRDefault="006C34B7" w:rsidP="006C34B7">
      <w:pPr>
        <w:pStyle w:val="ListParagraph"/>
        <w:numPr>
          <w:ilvl w:val="0"/>
          <w:numId w:val="1"/>
        </w:numPr>
        <w:rPr>
          <w:rFonts w:ascii="Arial" w:hAnsi="Arial" w:cs="Arial"/>
          <w:sz w:val="20"/>
          <w:szCs w:val="20"/>
        </w:rPr>
      </w:pPr>
      <m:oMath>
        <m:r>
          <w:rPr>
            <w:rFonts w:ascii="Cambria Math" w:hAnsi="Cambria Math" w:cs="Arial"/>
            <w:sz w:val="20"/>
            <w:szCs w:val="20"/>
          </w:rPr>
          <m:t xml:space="preserve">I= </m:t>
        </m:r>
        <m:d>
          <m:dPr>
            <m:begChr m:val="["/>
            <m:endChr m:val="]"/>
            <m:ctrlPr>
              <w:rPr>
                <w:rFonts w:ascii="Cambria Math" w:hAnsi="Cambria Math" w:cs="Arial"/>
                <w:i/>
                <w:sz w:val="20"/>
                <w:szCs w:val="20"/>
              </w:rPr>
            </m:ctrlPr>
          </m:dPr>
          <m:e>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No</m:t>
                    </m:r>
                  </m:sup>
                </m:sSup>
              </m:sup>
              <m:e>
                <m:f>
                  <m:fPr>
                    <m:ctrlPr>
                      <w:rPr>
                        <w:rFonts w:ascii="Cambria Math" w:hAnsi="Cambria Math" w:cs="Arial"/>
                        <w:i/>
                        <w:sz w:val="20"/>
                        <w:szCs w:val="20"/>
                      </w:rPr>
                    </m:ctrlPr>
                  </m:fPr>
                  <m:num>
                    <m:r>
                      <w:rPr>
                        <w:rFonts w:ascii="Cambria Math" w:hAnsi="Cambria Math" w:cs="Arial"/>
                        <w:sz w:val="20"/>
                        <w:szCs w:val="20"/>
                      </w:rPr>
                      <m:t>F</m:t>
                    </m:r>
                    <m:d>
                      <m:dPr>
                        <m:ctrlPr>
                          <w:rPr>
                            <w:rFonts w:ascii="Cambria Math" w:hAnsi="Cambria Math" w:cs="Arial"/>
                            <w:i/>
                            <w:sz w:val="20"/>
                            <w:szCs w:val="20"/>
                          </w:rPr>
                        </m:ctrlPr>
                      </m:dPr>
                      <m:e>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No</m:t>
                            </m:r>
                          </m:sup>
                        </m:sSubSup>
                        <m:sSup>
                          <m:sSupPr>
                            <m:ctrlPr>
                              <w:rPr>
                                <w:rFonts w:ascii="Cambria Math" w:hAnsi="Cambria Math" w:cs="Arial"/>
                                <w:i/>
                                <w:sz w:val="20"/>
                                <w:szCs w:val="20"/>
                              </w:rPr>
                            </m:ctrlPr>
                          </m:sSupPr>
                          <m:e>
                            <m:acc>
                              <m:accPr>
                                <m:ctrlPr>
                                  <w:rPr>
                                    <w:rFonts w:ascii="Cambria Math" w:hAnsi="Cambria Math" w:cs="Arial"/>
                                    <w:i/>
                                    <w:sz w:val="20"/>
                                    <w:szCs w:val="20"/>
                                  </w:rPr>
                                </m:ctrlPr>
                              </m:accPr>
                              <m:e>
                                <m:r>
                                  <w:rPr>
                                    <w:rFonts w:ascii="Cambria Math" w:hAnsi="Cambria Math" w:cs="Arial"/>
                                    <w:sz w:val="20"/>
                                    <w:szCs w:val="20"/>
                                  </w:rPr>
                                  <m:t>β</m:t>
                                </m:r>
                              </m:e>
                            </m:acc>
                          </m:e>
                          <m:sup>
                            <m:r>
                              <w:rPr>
                                <w:rFonts w:ascii="Cambria Math" w:hAnsi="Cambria Math" w:cs="Arial"/>
                                <w:sz w:val="20"/>
                                <w:szCs w:val="20"/>
                              </w:rPr>
                              <m:t>No</m:t>
                            </m:r>
                          </m:sup>
                        </m:sSup>
                      </m:e>
                    </m:d>
                  </m:num>
                  <m:den>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No</m:t>
                        </m:r>
                      </m:sup>
                    </m:sSup>
                  </m:den>
                </m:f>
              </m:e>
            </m:nary>
            <m:r>
              <w:rPr>
                <w:rFonts w:ascii="Cambria Math" w:hAnsi="Cambria Math" w:cs="Arial"/>
                <w:sz w:val="20"/>
                <w:szCs w:val="20"/>
              </w:rPr>
              <m:t xml:space="preserve">- </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No</m:t>
                    </m:r>
                  </m:sup>
                </m:sSup>
              </m:sup>
              <m:e>
                <m:f>
                  <m:fPr>
                    <m:ctrlPr>
                      <w:rPr>
                        <w:rFonts w:ascii="Cambria Math" w:hAnsi="Cambria Math" w:cs="Arial"/>
                        <w:i/>
                        <w:sz w:val="20"/>
                        <w:szCs w:val="20"/>
                      </w:rPr>
                    </m:ctrlPr>
                  </m:fPr>
                  <m:num>
                    <m:r>
                      <w:rPr>
                        <w:rFonts w:ascii="Cambria Math" w:hAnsi="Cambria Math" w:cs="Arial"/>
                        <w:sz w:val="20"/>
                        <w:szCs w:val="20"/>
                      </w:rPr>
                      <m:t>F</m:t>
                    </m:r>
                    <m:d>
                      <m:dPr>
                        <m:ctrlPr>
                          <w:rPr>
                            <w:rFonts w:ascii="Cambria Math" w:hAnsi="Cambria Math" w:cs="Arial"/>
                            <w:i/>
                            <w:sz w:val="20"/>
                            <w:szCs w:val="20"/>
                          </w:rPr>
                        </m:ctrlPr>
                      </m:dPr>
                      <m:e>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No</m:t>
                            </m:r>
                          </m:sup>
                        </m:sSubSup>
                        <m:sSup>
                          <m:sSupPr>
                            <m:ctrlPr>
                              <w:rPr>
                                <w:rFonts w:ascii="Cambria Math" w:hAnsi="Cambria Math" w:cs="Arial"/>
                                <w:i/>
                                <w:sz w:val="20"/>
                                <w:szCs w:val="20"/>
                              </w:rPr>
                            </m:ctrlPr>
                          </m:sSupPr>
                          <m:e>
                            <m:acc>
                              <m:accPr>
                                <m:ctrlPr>
                                  <w:rPr>
                                    <w:rFonts w:ascii="Cambria Math" w:hAnsi="Cambria Math" w:cs="Arial"/>
                                    <w:i/>
                                    <w:sz w:val="20"/>
                                    <w:szCs w:val="20"/>
                                  </w:rPr>
                                </m:ctrlPr>
                              </m:accPr>
                              <m:e>
                                <m:r>
                                  <w:rPr>
                                    <w:rFonts w:ascii="Cambria Math" w:hAnsi="Cambria Math" w:cs="Arial"/>
                                    <w:sz w:val="20"/>
                                    <w:szCs w:val="20"/>
                                  </w:rPr>
                                  <m:t>β</m:t>
                                </m:r>
                              </m:e>
                            </m:acc>
                          </m:e>
                          <m:sup>
                            <m:r>
                              <w:rPr>
                                <w:rFonts w:ascii="Cambria Math" w:hAnsi="Cambria Math" w:cs="Arial"/>
                                <w:sz w:val="20"/>
                                <w:szCs w:val="20"/>
                              </w:rPr>
                              <m:t>So</m:t>
                            </m:r>
                          </m:sup>
                        </m:sSup>
                      </m:e>
                    </m:d>
                  </m:num>
                  <m:den>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No</m:t>
                        </m:r>
                      </m:sup>
                    </m:sSup>
                  </m:den>
                </m:f>
              </m:e>
            </m:nary>
            <m:r>
              <w:rPr>
                <w:rFonts w:ascii="Cambria Math" w:hAnsi="Cambria Math" w:cs="Arial"/>
                <w:sz w:val="20"/>
                <w:szCs w:val="20"/>
              </w:rPr>
              <m:t xml:space="preserve">- </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So</m:t>
                    </m:r>
                  </m:sup>
                </m:sSup>
              </m:sup>
              <m:e>
                <m:f>
                  <m:fPr>
                    <m:ctrlPr>
                      <w:rPr>
                        <w:rFonts w:ascii="Cambria Math" w:hAnsi="Cambria Math" w:cs="Arial"/>
                        <w:i/>
                        <w:sz w:val="20"/>
                        <w:szCs w:val="20"/>
                      </w:rPr>
                    </m:ctrlPr>
                  </m:fPr>
                  <m:num>
                    <m:r>
                      <w:rPr>
                        <w:rFonts w:ascii="Cambria Math" w:hAnsi="Cambria Math" w:cs="Arial"/>
                        <w:sz w:val="20"/>
                        <w:szCs w:val="20"/>
                      </w:rPr>
                      <m:t>F</m:t>
                    </m:r>
                    <m:d>
                      <m:dPr>
                        <m:ctrlPr>
                          <w:rPr>
                            <w:rFonts w:ascii="Cambria Math" w:hAnsi="Cambria Math" w:cs="Arial"/>
                            <w:i/>
                            <w:sz w:val="20"/>
                            <w:szCs w:val="20"/>
                          </w:rPr>
                        </m:ctrlPr>
                      </m:dPr>
                      <m:e>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So</m:t>
                            </m:r>
                          </m:sup>
                        </m:sSubSup>
                        <m:sSup>
                          <m:sSupPr>
                            <m:ctrlPr>
                              <w:rPr>
                                <w:rFonts w:ascii="Cambria Math" w:hAnsi="Cambria Math" w:cs="Arial"/>
                                <w:i/>
                                <w:sz w:val="20"/>
                                <w:szCs w:val="20"/>
                              </w:rPr>
                            </m:ctrlPr>
                          </m:sSupPr>
                          <m:e>
                            <m:acc>
                              <m:accPr>
                                <m:ctrlPr>
                                  <w:rPr>
                                    <w:rFonts w:ascii="Cambria Math" w:hAnsi="Cambria Math" w:cs="Arial"/>
                                    <w:i/>
                                    <w:sz w:val="20"/>
                                    <w:szCs w:val="20"/>
                                  </w:rPr>
                                </m:ctrlPr>
                              </m:accPr>
                              <m:e>
                                <m:r>
                                  <w:rPr>
                                    <w:rFonts w:ascii="Cambria Math" w:hAnsi="Cambria Math" w:cs="Arial"/>
                                    <w:sz w:val="20"/>
                                    <w:szCs w:val="20"/>
                                  </w:rPr>
                                  <m:t>β</m:t>
                                </m:r>
                              </m:e>
                            </m:acc>
                          </m:e>
                          <m:sup>
                            <m:r>
                              <w:rPr>
                                <w:rFonts w:ascii="Cambria Math" w:hAnsi="Cambria Math" w:cs="Arial"/>
                                <w:sz w:val="20"/>
                                <w:szCs w:val="20"/>
                              </w:rPr>
                              <m:t>No</m:t>
                            </m:r>
                          </m:sup>
                        </m:sSup>
                      </m:e>
                    </m:d>
                  </m:num>
                  <m:den>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So</m:t>
                        </m:r>
                      </m:sup>
                    </m:sSup>
                  </m:den>
                </m:f>
              </m:e>
            </m:nary>
            <m:r>
              <w:rPr>
                <w:rFonts w:ascii="Cambria Math" w:hAnsi="Cambria Math" w:cs="Arial"/>
                <w:sz w:val="20"/>
                <w:szCs w:val="20"/>
              </w:rPr>
              <m:t xml:space="preserve">+ </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So</m:t>
                    </m:r>
                  </m:sup>
                </m:sSup>
              </m:sup>
              <m:e>
                <m:f>
                  <m:fPr>
                    <m:ctrlPr>
                      <w:rPr>
                        <w:rFonts w:ascii="Cambria Math" w:hAnsi="Cambria Math" w:cs="Arial"/>
                        <w:i/>
                        <w:sz w:val="20"/>
                        <w:szCs w:val="20"/>
                      </w:rPr>
                    </m:ctrlPr>
                  </m:fPr>
                  <m:num>
                    <m:r>
                      <w:rPr>
                        <w:rFonts w:ascii="Cambria Math" w:hAnsi="Cambria Math" w:cs="Arial"/>
                        <w:sz w:val="20"/>
                        <w:szCs w:val="20"/>
                      </w:rPr>
                      <m:t>F</m:t>
                    </m:r>
                    <m:d>
                      <m:dPr>
                        <m:ctrlPr>
                          <w:rPr>
                            <w:rFonts w:ascii="Cambria Math" w:hAnsi="Cambria Math" w:cs="Arial"/>
                            <w:i/>
                            <w:sz w:val="20"/>
                            <w:szCs w:val="20"/>
                          </w:rPr>
                        </m:ctrlPr>
                      </m:dPr>
                      <m:e>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So</m:t>
                            </m:r>
                          </m:sup>
                        </m:sSubSup>
                        <m:sSup>
                          <m:sSupPr>
                            <m:ctrlPr>
                              <w:rPr>
                                <w:rFonts w:ascii="Cambria Math" w:hAnsi="Cambria Math" w:cs="Arial"/>
                                <w:i/>
                                <w:sz w:val="20"/>
                                <w:szCs w:val="20"/>
                              </w:rPr>
                            </m:ctrlPr>
                          </m:sSupPr>
                          <m:e>
                            <m:acc>
                              <m:accPr>
                                <m:ctrlPr>
                                  <w:rPr>
                                    <w:rFonts w:ascii="Cambria Math" w:hAnsi="Cambria Math" w:cs="Arial"/>
                                    <w:i/>
                                    <w:sz w:val="20"/>
                                    <w:szCs w:val="20"/>
                                  </w:rPr>
                                </m:ctrlPr>
                              </m:accPr>
                              <m:e>
                                <m:r>
                                  <w:rPr>
                                    <w:rFonts w:ascii="Cambria Math" w:hAnsi="Cambria Math" w:cs="Arial"/>
                                    <w:sz w:val="20"/>
                                    <w:szCs w:val="20"/>
                                  </w:rPr>
                                  <m:t>β</m:t>
                                </m:r>
                              </m:e>
                            </m:acc>
                          </m:e>
                          <m:sup>
                            <m:r>
                              <w:rPr>
                                <w:rFonts w:ascii="Cambria Math" w:hAnsi="Cambria Math" w:cs="Arial"/>
                                <w:sz w:val="20"/>
                                <w:szCs w:val="20"/>
                              </w:rPr>
                              <m:t>So</m:t>
                            </m:r>
                          </m:sup>
                        </m:sSup>
                      </m:e>
                    </m:d>
                  </m:num>
                  <m:den>
                    <m:sSup>
                      <m:sSupPr>
                        <m:ctrlPr>
                          <w:rPr>
                            <w:rFonts w:ascii="Cambria Math" w:hAnsi="Cambria Math" w:cs="Arial"/>
                            <w:i/>
                            <w:sz w:val="20"/>
                            <w:szCs w:val="20"/>
                          </w:rPr>
                        </m:ctrlPr>
                      </m:sSupPr>
                      <m:e>
                        <m:r>
                          <w:rPr>
                            <w:rFonts w:ascii="Cambria Math" w:hAnsi="Cambria Math" w:cs="Arial"/>
                            <w:sz w:val="20"/>
                            <w:szCs w:val="20"/>
                          </w:rPr>
                          <m:t>N</m:t>
                        </m:r>
                      </m:e>
                      <m:sup>
                        <m:r>
                          <w:rPr>
                            <w:rFonts w:ascii="Cambria Math" w:hAnsi="Cambria Math" w:cs="Arial"/>
                            <w:sz w:val="20"/>
                            <w:szCs w:val="20"/>
                          </w:rPr>
                          <m:t>So</m:t>
                        </m:r>
                      </m:sup>
                    </m:sSup>
                  </m:den>
                </m:f>
              </m:e>
            </m:nary>
          </m:e>
        </m:d>
        <m:r>
          <w:rPr>
            <w:rFonts w:ascii="Cambria Math" w:hAnsi="Cambria Math" w:cs="Arial"/>
            <w:sz w:val="20"/>
            <w:szCs w:val="20"/>
          </w:rPr>
          <m:t xml:space="preserve"> </m:t>
        </m:r>
      </m:oMath>
    </w:p>
    <w:p w14:paraId="799C7FF8" w14:textId="77777777" w:rsidR="006C34B7" w:rsidRPr="00274288" w:rsidRDefault="006C34B7" w:rsidP="006C34B7">
      <w:pPr>
        <w:rPr>
          <w:rFonts w:cs="Arial"/>
          <w:szCs w:val="20"/>
        </w:rPr>
      </w:pPr>
      <w:r w:rsidRPr="00274288">
        <w:rPr>
          <w:rFonts w:cs="Arial"/>
          <w:szCs w:val="20"/>
        </w:rPr>
        <w:t xml:space="preserve">Here the first component </w:t>
      </w:r>
      <w:r w:rsidRPr="00274288">
        <w:rPr>
          <w:rFonts w:cs="Arial"/>
          <w:i/>
          <w:iCs/>
          <w:szCs w:val="20"/>
        </w:rPr>
        <w:t>E</w:t>
      </w:r>
      <w:r w:rsidRPr="00274288">
        <w:rPr>
          <w:rFonts w:cs="Arial"/>
          <w:szCs w:val="20"/>
        </w:rPr>
        <w:t xml:space="preserve"> represents the part of the gap attributed to differences in the average group values on the explanatory variables. The second component </w:t>
      </w:r>
      <w:r w:rsidRPr="00274288">
        <w:rPr>
          <w:rFonts w:cs="Arial"/>
          <w:i/>
          <w:iCs/>
          <w:szCs w:val="20"/>
        </w:rPr>
        <w:t>C</w:t>
      </w:r>
      <w:r w:rsidRPr="00274288">
        <w:rPr>
          <w:rFonts w:cs="Arial"/>
          <w:szCs w:val="20"/>
        </w:rPr>
        <w:t xml:space="preserve"> represents the part that owes to differences in the estimated coefficients between the two groups. Meanwhile, the third component </w:t>
      </w:r>
      <w:r w:rsidRPr="00274288">
        <w:rPr>
          <w:rFonts w:cs="Arial"/>
          <w:i/>
          <w:iCs/>
          <w:szCs w:val="20"/>
        </w:rPr>
        <w:t>I</w:t>
      </w:r>
      <w:r w:rsidRPr="00274288">
        <w:rPr>
          <w:rFonts w:cs="Arial"/>
          <w:szCs w:val="20"/>
        </w:rPr>
        <w:t xml:space="preserve"> accounts for interactions between the group-level differences in endowments and coefficients. This interaction component is typically treated as the unexplained part of the gap in a threefold decomposition.</w:t>
      </w:r>
    </w:p>
    <w:p w14:paraId="03E6333A" w14:textId="77777777" w:rsidR="006C34B7" w:rsidRPr="000E2CB4" w:rsidRDefault="006C34B7" w:rsidP="006C34B7">
      <w:pPr>
        <w:rPr>
          <w:rFonts w:cs="Arial"/>
          <w:color w:val="000000" w:themeColor="text1"/>
          <w:szCs w:val="20"/>
        </w:rPr>
      </w:pPr>
      <w:r w:rsidRPr="000E2CB4">
        <w:rPr>
          <w:rFonts w:cs="Arial"/>
          <w:color w:val="000000" w:themeColor="text1"/>
          <w:szCs w:val="20"/>
        </w:rPr>
        <w:t>We additionally use the simple subtraction method</w:t>
      </w:r>
      <w:r w:rsidRPr="000E2CB4">
        <w:rPr>
          <w:rFonts w:cs="Arial"/>
          <w:color w:val="000000" w:themeColor="text1"/>
          <w:szCs w:val="20"/>
          <w:vertAlign w:val="superscript"/>
        </w:rPr>
        <w:t>43,70</w:t>
      </w:r>
      <w:r w:rsidRPr="000E2CB4">
        <w:rPr>
          <w:rFonts w:cs="Arial"/>
          <w:color w:val="000000" w:themeColor="text1"/>
          <w:szCs w:val="20"/>
        </w:rPr>
        <w:t xml:space="preserve"> to estimate the amount of change in the gap over time that is attributable to each decomposition component.</w:t>
      </w:r>
    </w:p>
    <w:p w14:paraId="3147DB5D" w14:textId="77777777" w:rsidR="006C34B7" w:rsidRPr="00274288" w:rsidRDefault="006C34B7" w:rsidP="006C34B7">
      <w:pPr>
        <w:pStyle w:val="ListParagraph"/>
        <w:numPr>
          <w:ilvl w:val="0"/>
          <w:numId w:val="1"/>
        </w:numPr>
        <w:rPr>
          <w:rFonts w:ascii="Arial" w:hAnsi="Arial" w:cs="Arial"/>
          <w:sz w:val="20"/>
          <w:szCs w:val="20"/>
        </w:rPr>
      </w:pPr>
      <m:oMath>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Gap</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2</m:t>
                </m:r>
              </m:sub>
            </m:sSub>
          </m:sub>
          <m:sup>
            <m:r>
              <w:rPr>
                <w:rFonts w:ascii="Cambria Math" w:hAnsi="Cambria Math" w:cs="Arial"/>
                <w:sz w:val="20"/>
                <w:szCs w:val="20"/>
              </w:rPr>
              <m:t>North-South</m:t>
            </m:r>
          </m:sup>
        </m:sSubSup>
        <m:r>
          <w:rPr>
            <w:rFonts w:ascii="Cambria Math" w:eastAsiaTheme="minorEastAsia" w:hAnsi="Cambria Math" w:cs="Arial"/>
            <w:sz w:val="20"/>
            <w:szCs w:val="20"/>
          </w:rPr>
          <m:t xml:space="preserve">= </m:t>
        </m:r>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2</m:t>
                </m:r>
              </m:sub>
            </m:sSub>
          </m:sub>
        </m:sSub>
        <m:r>
          <w:rPr>
            <w:rFonts w:ascii="Cambria Math" w:hAnsi="Cambria Math" w:cs="Arial"/>
            <w:sz w:val="20"/>
            <w:szCs w:val="20"/>
          </w:rPr>
          <m:t>+ ∆</m:t>
        </m:r>
        <m:sSub>
          <m:sSubPr>
            <m:ctrlPr>
              <w:rPr>
                <w:rFonts w:ascii="Cambria Math" w:hAnsi="Cambria Math" w:cs="Arial"/>
                <w:i/>
                <w:sz w:val="20"/>
                <w:szCs w:val="20"/>
              </w:rPr>
            </m:ctrlPr>
          </m:sSubPr>
          <m:e>
            <m:r>
              <w:rPr>
                <w:rFonts w:ascii="Cambria Math" w:hAnsi="Cambria Math" w:cs="Arial"/>
                <w:sz w:val="20"/>
                <w:szCs w:val="20"/>
              </w:rPr>
              <m:t>C</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2</m:t>
                </m:r>
              </m:sub>
            </m:sSub>
          </m:sub>
        </m:sSub>
        <m:r>
          <w:rPr>
            <w:rFonts w:ascii="Cambria Math" w:hAnsi="Cambria Math" w:cs="Arial"/>
            <w:sz w:val="20"/>
            <w:szCs w:val="20"/>
          </w:rPr>
          <m:t>+ ∆</m:t>
        </m:r>
        <m:sSub>
          <m:sSubPr>
            <m:ctrlPr>
              <w:rPr>
                <w:rFonts w:ascii="Cambria Math" w:hAnsi="Cambria Math" w:cs="Arial"/>
                <w:i/>
                <w:sz w:val="20"/>
                <w:szCs w:val="20"/>
              </w:rPr>
            </m:ctrlPr>
          </m:sSubPr>
          <m:e>
            <m:r>
              <w:rPr>
                <w:rFonts w:ascii="Cambria Math" w:hAnsi="Cambria Math" w:cs="Arial"/>
                <w:sz w:val="20"/>
                <w:szCs w:val="20"/>
              </w:rPr>
              <m:t>I</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2</m:t>
                </m:r>
              </m:sub>
            </m:sSub>
          </m:sub>
        </m:sSub>
      </m:oMath>
      <w:r w:rsidRPr="00274288">
        <w:rPr>
          <w:rFonts w:ascii="Arial" w:eastAsiaTheme="minorEastAsia" w:hAnsi="Arial" w:cs="Arial"/>
          <w:sz w:val="20"/>
          <w:szCs w:val="20"/>
        </w:rPr>
        <w:t xml:space="preserve"> </w:t>
      </w:r>
    </w:p>
    <w:p w14:paraId="2CB74778" w14:textId="77777777" w:rsidR="006C34B7" w:rsidRPr="00274288" w:rsidRDefault="00000000" w:rsidP="006C34B7">
      <w:pPr>
        <w:pStyle w:val="ListParagraph"/>
        <w:numPr>
          <w:ilvl w:val="0"/>
          <w:numId w:val="1"/>
        </w:numP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Gap</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2</m:t>
                </m:r>
              </m:sub>
            </m:sSub>
          </m:sub>
          <m:sup>
            <m:r>
              <w:rPr>
                <w:rFonts w:ascii="Cambria Math" w:hAnsi="Cambria Math" w:cs="Arial"/>
                <w:sz w:val="20"/>
                <w:szCs w:val="20"/>
              </w:rPr>
              <m:t>North-South</m:t>
            </m:r>
          </m:sup>
        </m:sSubSup>
        <m:r>
          <w:rPr>
            <w:rFonts w:ascii="Cambria Math" w:eastAsiaTheme="minorEastAsia" w:hAnsi="Cambria Math" w:cs="Arial"/>
            <w:sz w:val="20"/>
            <w:szCs w:val="20"/>
          </w:rPr>
          <m:t xml:space="preserve">- </m:t>
        </m:r>
        <m:sSubSup>
          <m:sSubSupPr>
            <m:ctrlPr>
              <w:rPr>
                <w:rFonts w:ascii="Cambria Math" w:hAnsi="Cambria Math" w:cs="Arial"/>
                <w:i/>
                <w:sz w:val="20"/>
                <w:szCs w:val="20"/>
              </w:rPr>
            </m:ctrlPr>
          </m:sSubSupPr>
          <m:e>
            <m:r>
              <w:rPr>
                <w:rFonts w:ascii="Cambria Math" w:hAnsi="Cambria Math" w:cs="Arial"/>
                <w:sz w:val="20"/>
                <w:szCs w:val="20"/>
              </w:rPr>
              <m:t>Gap</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1</m:t>
                </m:r>
              </m:sub>
            </m:sSub>
          </m:sub>
          <m:sup>
            <m:r>
              <w:rPr>
                <w:rFonts w:ascii="Cambria Math" w:hAnsi="Cambria Math" w:cs="Arial"/>
                <w:sz w:val="20"/>
                <w:szCs w:val="20"/>
              </w:rPr>
              <m:t>North-South</m:t>
            </m:r>
          </m:sup>
        </m:sSubSup>
        <m:r>
          <w:rPr>
            <w:rFonts w:ascii="Cambria Math" w:eastAsiaTheme="minorEastAsia" w:hAnsi="Cambria Math" w:cs="Arial"/>
            <w:sz w:val="20"/>
            <w:szCs w:val="20"/>
          </w:rPr>
          <m:t xml:space="preserve">= </m:t>
        </m:r>
        <m:d>
          <m:dPr>
            <m:ctrlPr>
              <w:rPr>
                <w:rFonts w:ascii="Cambria Math" w:eastAsiaTheme="minorEastAsia"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E</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2</m:t>
                    </m:r>
                  </m:sub>
                </m:sSub>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E</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1</m:t>
                    </m:r>
                  </m:sub>
                </m:sSub>
              </m:sub>
            </m:sSub>
          </m:e>
        </m:d>
        <m:r>
          <w:rPr>
            <w:rFonts w:ascii="Cambria Math" w:hAnsi="Cambria Math" w:cs="Arial"/>
            <w:sz w:val="20"/>
            <w:szCs w:val="20"/>
          </w:rPr>
          <m:t xml:space="preserve">+ </m:t>
        </m:r>
        <m:d>
          <m:dPr>
            <m:ctrlPr>
              <w:rPr>
                <w:rFonts w:ascii="Cambria Math" w:eastAsiaTheme="minorEastAsia"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C</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2</m:t>
                    </m:r>
                  </m:sub>
                </m:sSub>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C</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1</m:t>
                    </m:r>
                  </m:sub>
                </m:sSub>
              </m:sub>
            </m:sSub>
          </m:e>
        </m:d>
        <m:r>
          <w:rPr>
            <w:rFonts w:ascii="Cambria Math" w:hAnsi="Cambria Math" w:cs="Arial"/>
            <w:sz w:val="20"/>
            <w:szCs w:val="20"/>
          </w:rPr>
          <m:t xml:space="preserve">+ </m:t>
        </m:r>
        <m:d>
          <m:dPr>
            <m:ctrlPr>
              <w:rPr>
                <w:rFonts w:ascii="Cambria Math" w:eastAsiaTheme="minorEastAsia"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I</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2</m:t>
                    </m:r>
                  </m:sub>
                </m:sSub>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I</m:t>
                </m:r>
              </m:e>
              <m: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1</m:t>
                    </m:r>
                  </m:sub>
                </m:sSub>
              </m:sub>
            </m:sSub>
          </m:e>
        </m:d>
      </m:oMath>
      <w:r w:rsidR="006C34B7" w:rsidRPr="00274288">
        <w:rPr>
          <w:rFonts w:ascii="Arial" w:eastAsiaTheme="minorEastAsia" w:hAnsi="Arial" w:cs="Arial"/>
          <w:sz w:val="20"/>
          <w:szCs w:val="20"/>
        </w:rPr>
        <w:t xml:space="preserve"> </w:t>
      </w:r>
    </w:p>
    <w:p w14:paraId="48714F44" w14:textId="0EE81C14" w:rsidR="00B251A4" w:rsidRDefault="006C34B7" w:rsidP="0089337A">
      <w:pPr>
        <w:rPr>
          <w:rFonts w:cs="Arial"/>
          <w:szCs w:val="20"/>
        </w:rPr>
      </w:pPr>
      <w:r w:rsidRPr="00274288">
        <w:rPr>
          <w:rFonts w:cs="Arial"/>
          <w:szCs w:val="20"/>
        </w:rPr>
        <w:t xml:space="preserve">Our analysis takes the change from 2005 to 2014 as its comparison. The temporal frame of reference is of course arbitrary, but it has two motivating features. The first is that it represents a tidy 10-year period of change. More important is the second feature, which is that using 2005 as the start point provides a conservative estimate for how much of the growing gap is attributable to endowments, relative to other years, as the proportion of the gap that could be explainable by endowments is at or near a local peak in 2005 for both models. </w:t>
      </w:r>
      <w:r w:rsidR="00B251A4">
        <w:rPr>
          <w:rFonts w:cs="Arial"/>
          <w:szCs w:val="20"/>
        </w:rPr>
        <w:br w:type="page"/>
      </w:r>
    </w:p>
    <w:p w14:paraId="5652112A" w14:textId="77777777" w:rsidR="00B251A4" w:rsidRPr="006C34B7" w:rsidRDefault="00B251A4" w:rsidP="006C34B7">
      <w:pPr>
        <w:rPr>
          <w:rFonts w:cs="Arial"/>
          <w:szCs w:val="20"/>
        </w:rPr>
      </w:pPr>
    </w:p>
    <w:p w14:paraId="23EF93E8" w14:textId="77777777" w:rsidR="00666ED3" w:rsidRDefault="00666ED3">
      <w:pPr>
        <w:spacing w:after="160" w:line="259" w:lineRule="auto"/>
        <w:rPr>
          <w:rFonts w:eastAsia="Times New Roman" w:cs="Arial"/>
          <w:b/>
          <w:sz w:val="32"/>
          <w:szCs w:val="32"/>
        </w:rPr>
      </w:pPr>
      <w:r>
        <w:rPr>
          <w:rFonts w:eastAsia="Times New Roman" w:cs="Arial"/>
          <w:b/>
          <w:noProof/>
          <w:sz w:val="32"/>
          <w:szCs w:val="32"/>
        </w:rPr>
        <w:drawing>
          <wp:inline distT="0" distB="0" distL="0" distR="0" wp14:anchorId="61AC3A80" wp14:editId="3579FABD">
            <wp:extent cx="5486400" cy="3429000"/>
            <wp:effectExtent l="0" t="0" r="0" b="0"/>
            <wp:docPr id="609403471" name="Picture 1"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03471" name="Picture 1" descr="A graph of a number of peop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3E47294C" w14:textId="36414876" w:rsidR="003533B5" w:rsidRDefault="1E27573F" w:rsidP="00666ED3">
      <w:r w:rsidRPr="1E27573F">
        <w:rPr>
          <w:rFonts w:cs="Arial"/>
          <w:b/>
          <w:bCs/>
          <w:sz w:val="18"/>
          <w:szCs w:val="18"/>
        </w:rPr>
        <w:t>Supplementary Figure 1</w:t>
      </w:r>
      <w:r w:rsidRPr="1E27573F">
        <w:rPr>
          <w:rFonts w:cs="Arial"/>
          <w:sz w:val="18"/>
          <w:szCs w:val="18"/>
        </w:rPr>
        <w:t xml:space="preserve">. Growth of scientists over time (over successive cohorts) in the Global North and the Global South. The figure shows both the trends in the raw data as well as the trends that result from the </w:t>
      </w:r>
      <w:r w:rsidRPr="1E27573F">
        <w:rPr>
          <w:rFonts w:cs="Arial"/>
          <w:sz w:val="18"/>
          <w:szCs w:val="18"/>
        </w:rPr>
        <w:lastRenderedPageBreak/>
        <w:t>bootstrapped estimates that are used in the main text.</w:t>
      </w:r>
      <w:r w:rsidR="00666ED3">
        <w:rPr>
          <w:noProof/>
        </w:rPr>
        <w:drawing>
          <wp:inline distT="0" distB="0" distL="0" distR="0" wp14:anchorId="64C3C5BB" wp14:editId="18394E9D">
            <wp:extent cx="5497164" cy="5002420"/>
            <wp:effectExtent l="0" t="0" r="0" b="0"/>
            <wp:docPr id="1964747053" name="Picture 1" descr="C:\Users\gwl266\AppData\Local\Packages\Microsoft.Windows.Photos_8wekyb3d8bbwe\TempState\ShareServiceTempFolder\ukGriUe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l266\AppData\Local\Packages\Microsoft.Windows.Photos_8wekyb3d8bbwe\TempState\ShareServiceTempFolder\ukGriUeA.jpe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5497164" cy="5002420"/>
                    </a:xfrm>
                    <a:prstGeom prst="rect">
                      <a:avLst/>
                    </a:prstGeom>
                    <a:noFill/>
                    <a:ln>
                      <a:noFill/>
                    </a:ln>
                  </pic:spPr>
                </pic:pic>
              </a:graphicData>
            </a:graphic>
          </wp:inline>
        </w:drawing>
      </w:r>
    </w:p>
    <w:p w14:paraId="2D102B24" w14:textId="50A4748D" w:rsidR="003533B5" w:rsidRDefault="1E27573F" w:rsidP="1E27573F">
      <w:pPr>
        <w:rPr>
          <w:rFonts w:cs="Arial"/>
          <w:b/>
          <w:bCs/>
          <w:sz w:val="18"/>
          <w:szCs w:val="18"/>
        </w:rPr>
      </w:pPr>
      <w:r w:rsidRPr="1E27573F">
        <w:rPr>
          <w:rFonts w:cs="Arial"/>
          <w:b/>
          <w:bCs/>
          <w:sz w:val="18"/>
          <w:szCs w:val="18"/>
        </w:rPr>
        <w:t xml:space="preserve">Supplementary Figure 2. </w:t>
      </w:r>
      <w:r w:rsidRPr="1E27573F">
        <w:rPr>
          <w:rFonts w:cs="Arial"/>
          <w:sz w:val="18"/>
          <w:szCs w:val="18"/>
        </w:rPr>
        <w:t>Flowchart of data inclusion and exclusion.</w:t>
      </w:r>
    </w:p>
    <w:p w14:paraId="281DEA78" w14:textId="26F422EF" w:rsidR="003533B5" w:rsidRDefault="003533B5" w:rsidP="00666ED3">
      <w:pPr>
        <w:rPr>
          <w:rFonts w:cs="Arial"/>
          <w:sz w:val="18"/>
          <w:szCs w:val="18"/>
        </w:rPr>
      </w:pPr>
    </w:p>
    <w:p w14:paraId="2F56A6BD" w14:textId="77777777" w:rsidR="003533B5" w:rsidRDefault="003533B5">
      <w:pPr>
        <w:spacing w:after="160" w:line="259" w:lineRule="auto"/>
        <w:rPr>
          <w:rFonts w:cs="Arial"/>
          <w:sz w:val="18"/>
          <w:szCs w:val="18"/>
        </w:rPr>
      </w:pPr>
      <w:r>
        <w:rPr>
          <w:rFonts w:cs="Arial"/>
          <w:sz w:val="18"/>
          <w:szCs w:val="18"/>
        </w:rPr>
        <w:br w:type="page"/>
      </w:r>
    </w:p>
    <w:p w14:paraId="5F6D503F" w14:textId="77777777" w:rsidR="008F2F94" w:rsidRPr="00232082" w:rsidRDefault="008F2F94" w:rsidP="008F2F94">
      <w:pPr>
        <w:spacing w:before="100" w:beforeAutospacing="1" w:after="100" w:afterAutospacing="1"/>
        <w:rPr>
          <w:rFonts w:eastAsia="Times New Roman" w:cs="Arial"/>
          <w:szCs w:val="20"/>
        </w:rPr>
      </w:pPr>
      <w:r w:rsidRPr="00232082">
        <w:rPr>
          <w:rFonts w:eastAsia="Times New Roman" w:cs="Arial"/>
          <w:noProof/>
          <w:szCs w:val="20"/>
        </w:rPr>
        <w:lastRenderedPageBreak/>
        <w:drawing>
          <wp:inline distT="0" distB="0" distL="0" distR="0" wp14:anchorId="0F6A80E8" wp14:editId="733D6C7B">
            <wp:extent cx="5400860" cy="4832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49654" cy="4876008"/>
                    </a:xfrm>
                    <a:prstGeom prst="rect">
                      <a:avLst/>
                    </a:prstGeom>
                    <a:noFill/>
                    <a:ln>
                      <a:noFill/>
                    </a:ln>
                  </pic:spPr>
                </pic:pic>
              </a:graphicData>
            </a:graphic>
          </wp:inline>
        </w:drawing>
      </w:r>
    </w:p>
    <w:p w14:paraId="7FAC7D44" w14:textId="05F9F1D5" w:rsidR="007B26C5" w:rsidRDefault="00A13FF1" w:rsidP="008F2F94">
      <w:pPr>
        <w:rPr>
          <w:rFonts w:cs="Arial"/>
          <w:sz w:val="18"/>
          <w:szCs w:val="18"/>
        </w:rPr>
      </w:pPr>
      <w:r w:rsidRPr="001B5950">
        <w:rPr>
          <w:rFonts w:cs="Arial"/>
          <w:b/>
          <w:bCs/>
          <w:sz w:val="18"/>
          <w:szCs w:val="18"/>
        </w:rPr>
        <w:t xml:space="preserve">Supplementary Figure </w:t>
      </w:r>
      <w:r w:rsidR="005D4EDC">
        <w:rPr>
          <w:rFonts w:cs="Arial"/>
          <w:b/>
          <w:bCs/>
          <w:sz w:val="18"/>
          <w:szCs w:val="18"/>
        </w:rPr>
        <w:t>3</w:t>
      </w:r>
      <w:r w:rsidR="008F2F94" w:rsidRPr="001B5950">
        <w:rPr>
          <w:rFonts w:cs="Arial"/>
          <w:sz w:val="18"/>
          <w:szCs w:val="18"/>
        </w:rPr>
        <w:t>. Proportion of scientists in the Top 5% by global region, and scientific field within Engineering.</w:t>
      </w:r>
    </w:p>
    <w:p w14:paraId="1B22CCF4" w14:textId="4EE6E914" w:rsidR="008F2F94" w:rsidRPr="00974A4A" w:rsidRDefault="008F2F94" w:rsidP="00974A4A">
      <w:pPr>
        <w:spacing w:after="160" w:line="259" w:lineRule="auto"/>
        <w:rPr>
          <w:rFonts w:cs="Arial"/>
          <w:sz w:val="18"/>
          <w:szCs w:val="18"/>
        </w:rPr>
      </w:pPr>
      <w:r w:rsidRPr="00232082">
        <w:rPr>
          <w:rFonts w:cs="Arial"/>
          <w:szCs w:val="20"/>
        </w:rPr>
        <w:br w:type="page"/>
      </w:r>
    </w:p>
    <w:p w14:paraId="211D7FAA" w14:textId="77777777" w:rsidR="008F2F94" w:rsidRPr="00232082" w:rsidRDefault="008F2F94" w:rsidP="008F2F94">
      <w:pPr>
        <w:rPr>
          <w:rFonts w:cs="Arial"/>
          <w:szCs w:val="20"/>
        </w:rPr>
      </w:pPr>
    </w:p>
    <w:p w14:paraId="03B75A21" w14:textId="77777777" w:rsidR="008F2F94" w:rsidRPr="00232082" w:rsidRDefault="008F2F94" w:rsidP="008F2F94">
      <w:pPr>
        <w:rPr>
          <w:rFonts w:cs="Arial"/>
          <w:b/>
          <w:bCs/>
          <w:szCs w:val="20"/>
        </w:rPr>
      </w:pPr>
    </w:p>
    <w:p w14:paraId="2C094E66" w14:textId="77777777" w:rsidR="008F2F94" w:rsidRPr="00232082" w:rsidRDefault="008F2F94" w:rsidP="008F2F94">
      <w:pPr>
        <w:spacing w:before="100" w:beforeAutospacing="1" w:after="100" w:afterAutospacing="1"/>
        <w:rPr>
          <w:rFonts w:eastAsia="Times New Roman" w:cs="Arial"/>
          <w:szCs w:val="20"/>
        </w:rPr>
      </w:pPr>
      <w:r w:rsidRPr="00232082">
        <w:rPr>
          <w:rFonts w:eastAsia="Times New Roman" w:cs="Arial"/>
          <w:noProof/>
          <w:szCs w:val="20"/>
        </w:rPr>
        <w:drawing>
          <wp:inline distT="0" distB="0" distL="0" distR="0" wp14:anchorId="43011309" wp14:editId="43D8E7B2">
            <wp:extent cx="5476665" cy="19329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95927" cy="1939739"/>
                    </a:xfrm>
                    <a:prstGeom prst="rect">
                      <a:avLst/>
                    </a:prstGeom>
                    <a:noFill/>
                    <a:ln>
                      <a:noFill/>
                    </a:ln>
                  </pic:spPr>
                </pic:pic>
              </a:graphicData>
            </a:graphic>
          </wp:inline>
        </w:drawing>
      </w:r>
    </w:p>
    <w:p w14:paraId="7C11718C" w14:textId="29ABF1D1" w:rsidR="00974A4A" w:rsidRDefault="00A13FF1" w:rsidP="008F2F94">
      <w:pPr>
        <w:rPr>
          <w:rFonts w:cs="Arial"/>
          <w:sz w:val="18"/>
          <w:szCs w:val="18"/>
        </w:rPr>
      </w:pPr>
      <w:r w:rsidRPr="001B5950">
        <w:rPr>
          <w:rFonts w:cs="Arial"/>
          <w:b/>
          <w:bCs/>
          <w:sz w:val="18"/>
          <w:szCs w:val="18"/>
        </w:rPr>
        <w:t xml:space="preserve">Supplementary Figure </w:t>
      </w:r>
      <w:r w:rsidR="00974A4A">
        <w:rPr>
          <w:rFonts w:cs="Arial"/>
          <w:b/>
          <w:bCs/>
          <w:sz w:val="18"/>
          <w:szCs w:val="18"/>
        </w:rPr>
        <w:t>4.</w:t>
      </w:r>
      <w:r w:rsidR="008F2F94" w:rsidRPr="001B5950">
        <w:rPr>
          <w:rFonts w:cs="Arial"/>
          <w:sz w:val="18"/>
          <w:szCs w:val="18"/>
        </w:rPr>
        <w:t xml:space="preserve"> Proportion of scientists in the Top 5% by global region, and scientific field within Agricultural and Veterinary Sciences.</w:t>
      </w:r>
    </w:p>
    <w:p w14:paraId="533C881C" w14:textId="77777777" w:rsidR="00974A4A" w:rsidRDefault="00974A4A">
      <w:pPr>
        <w:spacing w:after="160" w:line="259" w:lineRule="auto"/>
        <w:rPr>
          <w:rFonts w:cs="Arial"/>
          <w:sz w:val="18"/>
          <w:szCs w:val="18"/>
        </w:rPr>
      </w:pPr>
      <w:r>
        <w:rPr>
          <w:rFonts w:cs="Arial"/>
          <w:sz w:val="18"/>
          <w:szCs w:val="18"/>
        </w:rPr>
        <w:br w:type="page"/>
      </w:r>
    </w:p>
    <w:p w14:paraId="28C95779" w14:textId="77777777" w:rsidR="008F2F94" w:rsidRPr="00232082" w:rsidRDefault="008F2F94" w:rsidP="008F2F94">
      <w:pPr>
        <w:spacing w:before="100" w:beforeAutospacing="1" w:after="100" w:afterAutospacing="1"/>
        <w:rPr>
          <w:rFonts w:eastAsia="Times New Roman" w:cs="Arial"/>
          <w:szCs w:val="20"/>
        </w:rPr>
      </w:pPr>
      <w:r w:rsidRPr="00232082">
        <w:rPr>
          <w:rFonts w:eastAsia="Times New Roman" w:cs="Arial"/>
          <w:noProof/>
          <w:szCs w:val="20"/>
        </w:rPr>
        <w:lastRenderedPageBreak/>
        <w:drawing>
          <wp:inline distT="0" distB="0" distL="0" distR="0" wp14:anchorId="1DD2DF8C" wp14:editId="269BD8CD">
            <wp:extent cx="5548629" cy="32639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583324" cy="3284309"/>
                    </a:xfrm>
                    <a:prstGeom prst="rect">
                      <a:avLst/>
                    </a:prstGeom>
                    <a:noFill/>
                    <a:ln>
                      <a:noFill/>
                    </a:ln>
                  </pic:spPr>
                </pic:pic>
              </a:graphicData>
            </a:graphic>
          </wp:inline>
        </w:drawing>
      </w:r>
    </w:p>
    <w:p w14:paraId="4F2D90BA" w14:textId="100A4A2A" w:rsidR="008F2F94" w:rsidRPr="001B5950" w:rsidRDefault="00A13FF1" w:rsidP="008F2F94">
      <w:pPr>
        <w:rPr>
          <w:rFonts w:cs="Arial"/>
          <w:sz w:val="18"/>
          <w:szCs w:val="18"/>
        </w:rPr>
      </w:pPr>
      <w:r w:rsidRPr="001B5950">
        <w:rPr>
          <w:rFonts w:cs="Arial"/>
          <w:b/>
          <w:bCs/>
          <w:sz w:val="18"/>
          <w:szCs w:val="18"/>
        </w:rPr>
        <w:t xml:space="preserve">Supplementary Figure </w:t>
      </w:r>
      <w:r w:rsidR="00974A4A">
        <w:rPr>
          <w:rFonts w:cs="Arial"/>
          <w:b/>
          <w:bCs/>
          <w:sz w:val="18"/>
          <w:szCs w:val="18"/>
        </w:rPr>
        <w:t>5</w:t>
      </w:r>
      <w:r w:rsidRPr="001B5950">
        <w:rPr>
          <w:rFonts w:cs="Arial"/>
          <w:sz w:val="18"/>
          <w:szCs w:val="18"/>
        </w:rPr>
        <w:t>.</w:t>
      </w:r>
      <w:r w:rsidR="008F2F94" w:rsidRPr="001B5950">
        <w:rPr>
          <w:rFonts w:cs="Arial"/>
          <w:sz w:val="18"/>
          <w:szCs w:val="18"/>
        </w:rPr>
        <w:t xml:space="preserve"> Proportion of scientists in the Top 5% by global region, and scientific field within the Natural Sciences.</w:t>
      </w:r>
    </w:p>
    <w:p w14:paraId="22160C42" w14:textId="77777777" w:rsidR="008F2F94" w:rsidRPr="00232082" w:rsidRDefault="008F2F94" w:rsidP="008F2F94">
      <w:pPr>
        <w:rPr>
          <w:rFonts w:cs="Arial"/>
          <w:szCs w:val="20"/>
        </w:rPr>
      </w:pPr>
    </w:p>
    <w:p w14:paraId="42E10DE7" w14:textId="77777777" w:rsidR="008F2F94" w:rsidRPr="00232082" w:rsidRDefault="008F2F94" w:rsidP="008F2F94">
      <w:pPr>
        <w:rPr>
          <w:rFonts w:cs="Arial"/>
          <w:szCs w:val="20"/>
        </w:rPr>
      </w:pPr>
      <w:r w:rsidRPr="00232082">
        <w:rPr>
          <w:rFonts w:cs="Arial"/>
          <w:szCs w:val="20"/>
        </w:rPr>
        <w:br w:type="page"/>
      </w:r>
    </w:p>
    <w:p w14:paraId="4EDF2D29" w14:textId="77777777" w:rsidR="008F2F94" w:rsidRPr="00232082" w:rsidRDefault="008F2F94" w:rsidP="008F2F94">
      <w:pPr>
        <w:spacing w:before="100" w:beforeAutospacing="1" w:after="100" w:afterAutospacing="1"/>
        <w:rPr>
          <w:rFonts w:eastAsia="Times New Roman" w:cs="Arial"/>
          <w:szCs w:val="20"/>
        </w:rPr>
      </w:pPr>
      <w:r w:rsidRPr="00232082">
        <w:rPr>
          <w:rFonts w:eastAsia="Times New Roman" w:cs="Arial"/>
          <w:noProof/>
          <w:szCs w:val="20"/>
        </w:rPr>
        <w:lastRenderedPageBreak/>
        <w:drawing>
          <wp:inline distT="0" distB="0" distL="0" distR="0" wp14:anchorId="70A01EF0" wp14:editId="5D5525E6">
            <wp:extent cx="5473066" cy="2575560"/>
            <wp:effectExtent l="0" t="0" r="63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95701" cy="2586212"/>
                    </a:xfrm>
                    <a:prstGeom prst="rect">
                      <a:avLst/>
                    </a:prstGeom>
                    <a:noFill/>
                    <a:ln>
                      <a:noFill/>
                    </a:ln>
                  </pic:spPr>
                </pic:pic>
              </a:graphicData>
            </a:graphic>
          </wp:inline>
        </w:drawing>
      </w:r>
    </w:p>
    <w:p w14:paraId="62D45A5B" w14:textId="1515E813" w:rsidR="008F2F94" w:rsidRDefault="00A13FF1" w:rsidP="008F2F94">
      <w:pPr>
        <w:rPr>
          <w:rFonts w:cs="Arial"/>
          <w:sz w:val="18"/>
          <w:szCs w:val="18"/>
        </w:rPr>
      </w:pPr>
      <w:r w:rsidRPr="001B5950">
        <w:rPr>
          <w:rFonts w:cs="Arial"/>
          <w:b/>
          <w:bCs/>
          <w:sz w:val="18"/>
          <w:szCs w:val="18"/>
        </w:rPr>
        <w:t xml:space="preserve">Supplementary Figure </w:t>
      </w:r>
      <w:r w:rsidR="00974A4A">
        <w:rPr>
          <w:rFonts w:cs="Arial"/>
          <w:b/>
          <w:bCs/>
          <w:sz w:val="18"/>
          <w:szCs w:val="18"/>
        </w:rPr>
        <w:t>6</w:t>
      </w:r>
      <w:r w:rsidR="008F2F94" w:rsidRPr="001B5950">
        <w:rPr>
          <w:rFonts w:cs="Arial"/>
          <w:sz w:val="18"/>
          <w:szCs w:val="18"/>
        </w:rPr>
        <w:t>. Proportion of scientists in the Top 5% by global region, and scientific field within the Medical and Health Sciences.</w:t>
      </w:r>
    </w:p>
    <w:p w14:paraId="778D27BE" w14:textId="6FC3AEC0" w:rsidR="0006281C" w:rsidRDefault="0006281C">
      <w:pPr>
        <w:spacing w:after="160" w:line="259" w:lineRule="auto"/>
        <w:rPr>
          <w:rFonts w:cs="Arial"/>
          <w:sz w:val="18"/>
          <w:szCs w:val="18"/>
        </w:rPr>
      </w:pPr>
      <w:r>
        <w:rPr>
          <w:rFonts w:cs="Arial"/>
          <w:sz w:val="18"/>
          <w:szCs w:val="18"/>
        </w:rPr>
        <w:br w:type="page"/>
      </w:r>
    </w:p>
    <w:p w14:paraId="6837B5A7" w14:textId="77777777" w:rsidR="00124FF0" w:rsidRPr="00232082" w:rsidRDefault="00124FF0" w:rsidP="00124FF0">
      <w:pPr>
        <w:rPr>
          <w:rFonts w:cs="Arial"/>
          <w:szCs w:val="20"/>
        </w:rPr>
      </w:pPr>
    </w:p>
    <w:p w14:paraId="3C40C95F" w14:textId="77777777" w:rsidR="00124FF0" w:rsidRPr="00232082" w:rsidRDefault="00124FF0" w:rsidP="00124FF0">
      <w:pPr>
        <w:rPr>
          <w:rFonts w:cs="Arial"/>
          <w:b/>
          <w:bCs/>
          <w:szCs w:val="20"/>
        </w:rPr>
      </w:pPr>
      <w:r w:rsidRPr="00232082">
        <w:rPr>
          <w:rFonts w:cs="Arial"/>
          <w:noProof/>
          <w:szCs w:val="20"/>
        </w:rPr>
        <w:drawing>
          <wp:inline distT="0" distB="0" distL="0" distR="0" wp14:anchorId="43A716F2" wp14:editId="19E0BA3B">
            <wp:extent cx="5421489" cy="287020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513084" cy="2918692"/>
                    </a:xfrm>
                    <a:prstGeom prst="rect">
                      <a:avLst/>
                    </a:prstGeom>
                    <a:noFill/>
                    <a:ln>
                      <a:noFill/>
                    </a:ln>
                  </pic:spPr>
                </pic:pic>
              </a:graphicData>
            </a:graphic>
          </wp:inline>
        </w:drawing>
      </w:r>
    </w:p>
    <w:p w14:paraId="102263C8" w14:textId="0E02BB86" w:rsidR="00124FF0" w:rsidRPr="001B5950" w:rsidRDefault="00124FF0" w:rsidP="00124FF0">
      <w:pPr>
        <w:jc w:val="both"/>
        <w:rPr>
          <w:rStyle w:val="natural-dimensions-container-outer"/>
          <w:rFonts w:cs="Arial"/>
          <w:sz w:val="18"/>
          <w:szCs w:val="18"/>
        </w:rPr>
      </w:pPr>
      <w:r w:rsidRPr="001B5950">
        <w:rPr>
          <w:rStyle w:val="natural-dimensions-container-outer"/>
          <w:rFonts w:cs="Arial"/>
          <w:b/>
          <w:bCs/>
          <w:sz w:val="18"/>
          <w:szCs w:val="18"/>
        </w:rPr>
        <w:t xml:space="preserve">Supplementary Figure </w:t>
      </w:r>
      <w:r w:rsidR="00974A4A">
        <w:rPr>
          <w:rStyle w:val="natural-dimensions-container-outer"/>
          <w:rFonts w:cs="Arial"/>
          <w:b/>
          <w:bCs/>
          <w:sz w:val="18"/>
          <w:szCs w:val="18"/>
        </w:rPr>
        <w:t>7</w:t>
      </w:r>
      <w:r w:rsidRPr="001B5950">
        <w:rPr>
          <w:rStyle w:val="natural-dimensions-container-outer"/>
          <w:rFonts w:cs="Arial"/>
          <w:sz w:val="18"/>
          <w:szCs w:val="18"/>
        </w:rPr>
        <w:t>. The proportion of a region’s scientis</w:t>
      </w:r>
      <w:r w:rsidR="00B50BA2">
        <w:rPr>
          <w:rStyle w:val="natural-dimensions-container-outer"/>
          <w:rFonts w:cs="Arial"/>
          <w:sz w:val="18"/>
          <w:szCs w:val="18"/>
        </w:rPr>
        <w:t>ts that are members of the top 1</w:t>
      </w:r>
      <w:r w:rsidRPr="001B5950">
        <w:rPr>
          <w:rStyle w:val="natural-dimensions-container-outer"/>
          <w:rFonts w:cs="Arial"/>
          <w:sz w:val="18"/>
          <w:szCs w:val="18"/>
        </w:rPr>
        <w:t>%</w:t>
      </w:r>
      <w:r w:rsidR="00A93C55">
        <w:rPr>
          <w:rStyle w:val="natural-dimensions-container-outer"/>
          <w:rFonts w:cs="Arial"/>
          <w:sz w:val="18"/>
          <w:szCs w:val="18"/>
        </w:rPr>
        <w:t xml:space="preserve"> (Panel A)</w:t>
      </w:r>
      <w:r w:rsidR="00B50BA2">
        <w:rPr>
          <w:rStyle w:val="natural-dimensions-container-outer"/>
          <w:rFonts w:cs="Arial"/>
          <w:sz w:val="18"/>
          <w:szCs w:val="18"/>
        </w:rPr>
        <w:t>, top 5%</w:t>
      </w:r>
      <w:r w:rsidR="00A93C55">
        <w:rPr>
          <w:rStyle w:val="natural-dimensions-container-outer"/>
          <w:rFonts w:cs="Arial"/>
          <w:sz w:val="18"/>
          <w:szCs w:val="18"/>
        </w:rPr>
        <w:t xml:space="preserve"> (Panel B)</w:t>
      </w:r>
      <w:r w:rsidR="00B50BA2">
        <w:rPr>
          <w:rStyle w:val="natural-dimensions-container-outer"/>
          <w:rFonts w:cs="Arial"/>
          <w:sz w:val="18"/>
          <w:szCs w:val="18"/>
        </w:rPr>
        <w:t xml:space="preserve"> or top 10%</w:t>
      </w:r>
      <w:r w:rsidR="00A93C55">
        <w:rPr>
          <w:rStyle w:val="natural-dimensions-container-outer"/>
          <w:rFonts w:cs="Arial"/>
          <w:sz w:val="18"/>
          <w:szCs w:val="18"/>
        </w:rPr>
        <w:t xml:space="preserve"> (Panel C)</w:t>
      </w:r>
      <w:r w:rsidRPr="001B5950">
        <w:rPr>
          <w:rStyle w:val="natural-dimensions-container-outer"/>
          <w:rFonts w:cs="Arial"/>
          <w:sz w:val="18"/>
          <w:szCs w:val="18"/>
        </w:rPr>
        <w:t xml:space="preserve"> of scientists at the end of the 5th year of their careers. Each </w:t>
      </w:r>
      <w:r w:rsidR="00A93C55">
        <w:rPr>
          <w:rStyle w:val="natural-dimensions-container-outer"/>
          <w:rFonts w:cs="Arial"/>
          <w:sz w:val="18"/>
          <w:szCs w:val="18"/>
        </w:rPr>
        <w:t>panel</w:t>
      </w:r>
      <w:r w:rsidRPr="001B5950">
        <w:rPr>
          <w:rStyle w:val="natural-dimensions-container-outer"/>
          <w:rFonts w:cs="Arial"/>
          <w:sz w:val="18"/>
          <w:szCs w:val="18"/>
        </w:rPr>
        <w:t xml:space="preserve"> shows the results for different definitions of elite, from the</w:t>
      </w:r>
      <w:r w:rsidR="00B50BA2">
        <w:rPr>
          <w:rStyle w:val="natural-dimensions-container-outer"/>
          <w:rFonts w:cs="Arial"/>
          <w:sz w:val="18"/>
          <w:szCs w:val="18"/>
        </w:rPr>
        <w:t xml:space="preserve"> most restrictive on the left (t</w:t>
      </w:r>
      <w:r w:rsidRPr="001B5950">
        <w:rPr>
          <w:rStyle w:val="natural-dimensions-container-outer"/>
          <w:rFonts w:cs="Arial"/>
          <w:sz w:val="18"/>
          <w:szCs w:val="18"/>
        </w:rPr>
        <w:t>op 1%) to t</w:t>
      </w:r>
      <w:r w:rsidR="00B50BA2">
        <w:rPr>
          <w:rStyle w:val="natural-dimensions-container-outer"/>
          <w:rFonts w:cs="Arial"/>
          <w:sz w:val="18"/>
          <w:szCs w:val="18"/>
        </w:rPr>
        <w:t>he most inclusive on the right (t</w:t>
      </w:r>
      <w:r w:rsidRPr="001B5950">
        <w:rPr>
          <w:rStyle w:val="natural-dimensions-container-outer"/>
          <w:rFonts w:cs="Arial"/>
          <w:sz w:val="18"/>
          <w:szCs w:val="18"/>
        </w:rPr>
        <w:t>op 10%). Shapes represent three different variations in how to measure cumulative citations. Note that confidence intervals are included in this plot, but they are narrower than the width of the plotted line.</w:t>
      </w:r>
    </w:p>
    <w:p w14:paraId="125A9F04" w14:textId="77777777" w:rsidR="00124FF0" w:rsidRPr="00232082" w:rsidRDefault="00124FF0" w:rsidP="00124FF0">
      <w:pPr>
        <w:rPr>
          <w:rStyle w:val="natural-dimensions-container-outer"/>
          <w:rFonts w:cs="Arial"/>
          <w:szCs w:val="20"/>
        </w:rPr>
      </w:pPr>
      <w:r w:rsidRPr="00232082">
        <w:rPr>
          <w:rStyle w:val="natural-dimensions-container-outer"/>
          <w:rFonts w:cs="Arial"/>
          <w:szCs w:val="20"/>
        </w:rPr>
        <w:br w:type="page"/>
      </w:r>
    </w:p>
    <w:p w14:paraId="39930823" w14:textId="77777777" w:rsidR="00124FF0" w:rsidRPr="00232082" w:rsidRDefault="00124FF0" w:rsidP="00124FF0">
      <w:pPr>
        <w:jc w:val="both"/>
        <w:rPr>
          <w:rFonts w:cs="Arial"/>
          <w:b/>
          <w:bCs/>
          <w:szCs w:val="20"/>
        </w:rPr>
      </w:pPr>
    </w:p>
    <w:p w14:paraId="58ABFC95" w14:textId="77777777" w:rsidR="00124FF0" w:rsidRPr="00232082" w:rsidRDefault="00124FF0" w:rsidP="00124FF0">
      <w:pPr>
        <w:jc w:val="both"/>
        <w:rPr>
          <w:rFonts w:cs="Arial"/>
          <w:b/>
          <w:bCs/>
          <w:szCs w:val="20"/>
        </w:rPr>
      </w:pPr>
    </w:p>
    <w:p w14:paraId="5905C01C" w14:textId="77777777" w:rsidR="00124FF0" w:rsidRPr="00232082" w:rsidRDefault="00124FF0" w:rsidP="00124FF0">
      <w:pPr>
        <w:jc w:val="both"/>
        <w:rPr>
          <w:rFonts w:cs="Arial"/>
          <w:b/>
          <w:bCs/>
          <w:szCs w:val="20"/>
        </w:rPr>
      </w:pPr>
      <w:r w:rsidRPr="00232082">
        <w:rPr>
          <w:rFonts w:cs="Arial"/>
          <w:noProof/>
          <w:szCs w:val="20"/>
        </w:rPr>
        <w:drawing>
          <wp:inline distT="0" distB="0" distL="0" distR="0" wp14:anchorId="26FD4C79" wp14:editId="492D9628">
            <wp:extent cx="5508225" cy="6156252"/>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547325" cy="6199952"/>
                    </a:xfrm>
                    <a:prstGeom prst="rect">
                      <a:avLst/>
                    </a:prstGeom>
                    <a:noFill/>
                    <a:ln>
                      <a:noFill/>
                    </a:ln>
                  </pic:spPr>
                </pic:pic>
              </a:graphicData>
            </a:graphic>
          </wp:inline>
        </w:drawing>
      </w:r>
    </w:p>
    <w:p w14:paraId="4CA7E629" w14:textId="1BACF2A9" w:rsidR="00124FF0" w:rsidRPr="00B50BA2" w:rsidRDefault="00124FF0" w:rsidP="00124FF0">
      <w:pPr>
        <w:rPr>
          <w:rFonts w:cs="Arial"/>
          <w:sz w:val="18"/>
          <w:szCs w:val="18"/>
        </w:rPr>
      </w:pPr>
      <w:r w:rsidRPr="00B50BA2">
        <w:rPr>
          <w:rFonts w:cs="Arial"/>
          <w:b/>
          <w:bCs/>
          <w:sz w:val="18"/>
          <w:szCs w:val="18"/>
        </w:rPr>
        <w:t xml:space="preserve">Supplementary Figure </w:t>
      </w:r>
      <w:r w:rsidR="008C1454">
        <w:rPr>
          <w:rFonts w:cs="Arial"/>
          <w:b/>
          <w:bCs/>
          <w:sz w:val="18"/>
          <w:szCs w:val="18"/>
        </w:rPr>
        <w:t>8</w:t>
      </w:r>
      <w:r w:rsidRPr="00B50BA2">
        <w:rPr>
          <w:rFonts w:cs="Arial"/>
          <w:b/>
          <w:bCs/>
          <w:sz w:val="18"/>
          <w:szCs w:val="18"/>
        </w:rPr>
        <w:t xml:space="preserve">. </w:t>
      </w:r>
      <w:r w:rsidRPr="00B50BA2">
        <w:rPr>
          <w:rFonts w:cs="Arial"/>
          <w:sz w:val="18"/>
          <w:szCs w:val="18"/>
        </w:rPr>
        <w:t xml:space="preserve">Same as Supplementary Figure </w:t>
      </w:r>
      <w:r w:rsidR="00174427">
        <w:rPr>
          <w:rFonts w:cs="Arial"/>
          <w:sz w:val="18"/>
          <w:szCs w:val="18"/>
        </w:rPr>
        <w:t>7</w:t>
      </w:r>
      <w:r w:rsidR="00174427" w:rsidRPr="00B50BA2">
        <w:rPr>
          <w:rFonts w:cs="Arial"/>
          <w:sz w:val="18"/>
          <w:szCs w:val="18"/>
        </w:rPr>
        <w:t xml:space="preserve"> but</w:t>
      </w:r>
      <w:r w:rsidRPr="00B50BA2">
        <w:rPr>
          <w:rFonts w:cs="Arial"/>
          <w:sz w:val="18"/>
          <w:szCs w:val="18"/>
        </w:rPr>
        <w:t xml:space="preserve"> showing results according to UN M49 Subregions within the Global North.</w:t>
      </w:r>
    </w:p>
    <w:p w14:paraId="603593A0" w14:textId="77777777" w:rsidR="00124FF0" w:rsidRDefault="00124FF0" w:rsidP="00124FF0">
      <w:pPr>
        <w:spacing w:after="160" w:line="259" w:lineRule="auto"/>
        <w:rPr>
          <w:rFonts w:cs="Arial"/>
          <w:szCs w:val="20"/>
        </w:rPr>
      </w:pPr>
      <w:r>
        <w:rPr>
          <w:rFonts w:cs="Arial"/>
          <w:szCs w:val="20"/>
        </w:rPr>
        <w:br w:type="page"/>
      </w:r>
    </w:p>
    <w:p w14:paraId="026D4E13" w14:textId="77777777" w:rsidR="00124FF0" w:rsidRPr="00232082" w:rsidRDefault="00124FF0" w:rsidP="00124FF0">
      <w:pPr>
        <w:rPr>
          <w:rFonts w:cs="Arial"/>
          <w:szCs w:val="20"/>
        </w:rPr>
      </w:pPr>
      <w:r w:rsidRPr="00232082">
        <w:rPr>
          <w:rFonts w:cs="Arial"/>
          <w:noProof/>
          <w:szCs w:val="20"/>
        </w:rPr>
        <w:lastRenderedPageBreak/>
        <w:drawing>
          <wp:inline distT="0" distB="0" distL="0" distR="0" wp14:anchorId="5CB1AC90" wp14:editId="68EF8E28">
            <wp:extent cx="5491462" cy="67835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603986" cy="6922573"/>
                    </a:xfrm>
                    <a:prstGeom prst="rect">
                      <a:avLst/>
                    </a:prstGeom>
                    <a:noFill/>
                    <a:ln>
                      <a:noFill/>
                    </a:ln>
                  </pic:spPr>
                </pic:pic>
              </a:graphicData>
            </a:graphic>
          </wp:inline>
        </w:drawing>
      </w:r>
    </w:p>
    <w:p w14:paraId="3658E66D" w14:textId="5105DCAC" w:rsidR="004441C6" w:rsidRDefault="00124FF0" w:rsidP="008F2F94">
      <w:pPr>
        <w:rPr>
          <w:rFonts w:cs="Arial"/>
          <w:sz w:val="18"/>
          <w:szCs w:val="18"/>
        </w:rPr>
      </w:pPr>
      <w:r w:rsidRPr="00B50BA2">
        <w:rPr>
          <w:rFonts w:cs="Arial"/>
          <w:b/>
          <w:bCs/>
          <w:sz w:val="18"/>
          <w:szCs w:val="18"/>
        </w:rPr>
        <w:t xml:space="preserve">Supplementary Figure </w:t>
      </w:r>
      <w:r w:rsidR="008C1454">
        <w:rPr>
          <w:rFonts w:cs="Arial"/>
          <w:b/>
          <w:bCs/>
          <w:sz w:val="18"/>
          <w:szCs w:val="18"/>
        </w:rPr>
        <w:t>9</w:t>
      </w:r>
      <w:r w:rsidRPr="00B50BA2">
        <w:rPr>
          <w:rFonts w:cs="Arial"/>
          <w:b/>
          <w:bCs/>
          <w:sz w:val="18"/>
          <w:szCs w:val="18"/>
        </w:rPr>
        <w:t xml:space="preserve">. </w:t>
      </w:r>
      <w:r w:rsidRPr="00B50BA2">
        <w:rPr>
          <w:rFonts w:cs="Arial"/>
          <w:sz w:val="18"/>
          <w:szCs w:val="18"/>
        </w:rPr>
        <w:t xml:space="preserve">Same as Supplementary Figure </w:t>
      </w:r>
      <w:r w:rsidR="00174427">
        <w:rPr>
          <w:rFonts w:cs="Arial"/>
          <w:sz w:val="18"/>
          <w:szCs w:val="18"/>
        </w:rPr>
        <w:t>7</w:t>
      </w:r>
      <w:r w:rsidR="00174427" w:rsidRPr="00B50BA2">
        <w:rPr>
          <w:rFonts w:cs="Arial"/>
          <w:sz w:val="18"/>
          <w:szCs w:val="18"/>
        </w:rPr>
        <w:t xml:space="preserve"> but</w:t>
      </w:r>
      <w:r w:rsidRPr="00B50BA2">
        <w:rPr>
          <w:rFonts w:cs="Arial"/>
          <w:sz w:val="18"/>
          <w:szCs w:val="18"/>
        </w:rPr>
        <w:t xml:space="preserve"> showing results according to UN M49 Subregions within the Global South.</w:t>
      </w:r>
    </w:p>
    <w:p w14:paraId="4F94D3AD" w14:textId="77777777" w:rsidR="002D5A4C" w:rsidRDefault="002D5A4C">
      <w:pPr>
        <w:spacing w:after="160" w:line="259" w:lineRule="auto"/>
        <w:rPr>
          <w:rFonts w:cs="Arial"/>
          <w:sz w:val="18"/>
          <w:szCs w:val="18"/>
        </w:rPr>
      </w:pPr>
    </w:p>
    <w:p w14:paraId="5FD74081" w14:textId="670BBFB4" w:rsidR="004441C6" w:rsidRDefault="004441C6">
      <w:pPr>
        <w:spacing w:after="160" w:line="259" w:lineRule="auto"/>
        <w:rPr>
          <w:rFonts w:cs="Arial"/>
          <w:sz w:val="18"/>
          <w:szCs w:val="18"/>
        </w:rPr>
      </w:pPr>
      <w:r>
        <w:rPr>
          <w:rFonts w:cs="Arial"/>
          <w:sz w:val="18"/>
          <w:szCs w:val="18"/>
        </w:rPr>
        <w:br w:type="page"/>
      </w:r>
    </w:p>
    <w:p w14:paraId="087CDBA1" w14:textId="36309CAC" w:rsidR="004441C6" w:rsidRDefault="004441C6" w:rsidP="004441C6">
      <w:pPr>
        <w:rPr>
          <w:rFonts w:cs="Arial"/>
          <w:sz w:val="18"/>
          <w:szCs w:val="18"/>
        </w:rPr>
      </w:pPr>
      <w:r>
        <w:rPr>
          <w:rFonts w:eastAsia="Times New Roman" w:cs="Arial"/>
          <w:b/>
          <w:noProof/>
          <w:sz w:val="32"/>
          <w:szCs w:val="32"/>
        </w:rPr>
        <w:lastRenderedPageBreak/>
        <w:drawing>
          <wp:inline distT="0" distB="0" distL="0" distR="0" wp14:anchorId="39025747" wp14:editId="0F212D04">
            <wp:extent cx="5486400" cy="2581835"/>
            <wp:effectExtent l="0" t="0" r="0" b="0"/>
            <wp:docPr id="11298940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94029"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2581835"/>
                    </a:xfrm>
                    <a:prstGeom prst="rect">
                      <a:avLst/>
                    </a:prstGeom>
                  </pic:spPr>
                </pic:pic>
              </a:graphicData>
            </a:graphic>
          </wp:inline>
        </w:drawing>
      </w:r>
      <w:r w:rsidRPr="001B5950">
        <w:rPr>
          <w:rFonts w:cs="Arial"/>
          <w:b/>
          <w:bCs/>
          <w:sz w:val="18"/>
          <w:szCs w:val="18"/>
        </w:rPr>
        <w:t xml:space="preserve">Supplementary Figure </w:t>
      </w:r>
      <w:r>
        <w:rPr>
          <w:rFonts w:cs="Arial"/>
          <w:b/>
          <w:bCs/>
          <w:sz w:val="18"/>
          <w:szCs w:val="18"/>
        </w:rPr>
        <w:t>1</w:t>
      </w:r>
      <w:r w:rsidR="00BC75B9">
        <w:rPr>
          <w:rFonts w:cs="Arial"/>
          <w:b/>
          <w:bCs/>
          <w:sz w:val="18"/>
          <w:szCs w:val="18"/>
        </w:rPr>
        <w:t>0</w:t>
      </w:r>
      <w:r w:rsidR="00EF2F23">
        <w:rPr>
          <w:rFonts w:cs="Arial"/>
          <w:b/>
          <w:bCs/>
          <w:sz w:val="18"/>
          <w:szCs w:val="18"/>
        </w:rPr>
        <w:t>.</w:t>
      </w:r>
      <w:r w:rsidRPr="001B5950">
        <w:rPr>
          <w:rFonts w:cs="Arial"/>
          <w:sz w:val="18"/>
          <w:szCs w:val="18"/>
        </w:rPr>
        <w:t xml:space="preserve"> </w:t>
      </w:r>
      <w:r w:rsidRPr="003533B5">
        <w:rPr>
          <w:rFonts w:cs="Arial"/>
          <w:sz w:val="18"/>
          <w:szCs w:val="18"/>
        </w:rPr>
        <w:t>The proportion of scientists in the top 5% by cohort, aggregated for the Global North and South</w:t>
      </w:r>
      <w:r>
        <w:rPr>
          <w:rFonts w:cs="Arial"/>
          <w:sz w:val="18"/>
          <w:szCs w:val="18"/>
        </w:rPr>
        <w:t>, under a simulation where the Global South does not expand faster than the Global North.</w:t>
      </w:r>
    </w:p>
    <w:p w14:paraId="76FF258B" w14:textId="77777777" w:rsidR="00124FF0" w:rsidRPr="00B50BA2" w:rsidRDefault="00124FF0" w:rsidP="008F2F94">
      <w:pPr>
        <w:rPr>
          <w:rFonts w:cs="Arial"/>
          <w:sz w:val="18"/>
          <w:szCs w:val="18"/>
        </w:rPr>
      </w:pPr>
    </w:p>
    <w:p w14:paraId="0B8CADEF" w14:textId="77777777" w:rsidR="00124FF0" w:rsidRDefault="00124FF0">
      <w:pPr>
        <w:spacing w:after="160" w:line="259" w:lineRule="auto"/>
        <w:rPr>
          <w:rFonts w:cs="Arial"/>
          <w:szCs w:val="20"/>
        </w:rPr>
      </w:pPr>
      <w:r>
        <w:rPr>
          <w:rFonts w:cs="Arial"/>
          <w:szCs w:val="20"/>
        </w:rPr>
        <w:br w:type="page"/>
      </w:r>
    </w:p>
    <w:p w14:paraId="2EF95522" w14:textId="2582077E" w:rsidR="008F2F94" w:rsidRPr="00232082" w:rsidRDefault="00C57800" w:rsidP="008F2F94">
      <w:pPr>
        <w:rPr>
          <w:rFonts w:cs="Arial"/>
          <w:szCs w:val="20"/>
        </w:rPr>
      </w:pPr>
      <w:r>
        <w:rPr>
          <w:rFonts w:cs="Arial"/>
          <w:noProof/>
          <w:szCs w:val="20"/>
        </w:rPr>
        <w:lastRenderedPageBreak/>
        <w:drawing>
          <wp:inline distT="0" distB="0" distL="0" distR="0" wp14:anchorId="08662593" wp14:editId="257185A7">
            <wp:extent cx="5440680" cy="3840480"/>
            <wp:effectExtent l="0" t="0" r="0" b="0"/>
            <wp:docPr id="1730748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48447"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40680" cy="3840480"/>
                    </a:xfrm>
                    <a:prstGeom prst="rect">
                      <a:avLst/>
                    </a:prstGeom>
                  </pic:spPr>
                </pic:pic>
              </a:graphicData>
            </a:graphic>
          </wp:inline>
        </w:drawing>
      </w:r>
    </w:p>
    <w:p w14:paraId="2E43D2BE" w14:textId="07821BCF" w:rsidR="008F2F94" w:rsidRPr="00B50BA2" w:rsidRDefault="00A13FF1" w:rsidP="008F2F94">
      <w:pPr>
        <w:rPr>
          <w:rFonts w:cs="Arial"/>
          <w:sz w:val="18"/>
          <w:szCs w:val="18"/>
        </w:rPr>
      </w:pPr>
      <w:r w:rsidRPr="00B50BA2">
        <w:rPr>
          <w:rFonts w:cs="Arial"/>
          <w:b/>
          <w:bCs/>
          <w:sz w:val="18"/>
          <w:szCs w:val="18"/>
        </w:rPr>
        <w:t xml:space="preserve">Supplementary Figure </w:t>
      </w:r>
      <w:r w:rsidR="00500527">
        <w:rPr>
          <w:rFonts w:cs="Arial"/>
          <w:b/>
          <w:bCs/>
          <w:sz w:val="18"/>
          <w:szCs w:val="18"/>
        </w:rPr>
        <w:t>1</w:t>
      </w:r>
      <w:r w:rsidR="00BC75B9">
        <w:rPr>
          <w:rFonts w:cs="Arial"/>
          <w:b/>
          <w:bCs/>
          <w:sz w:val="18"/>
          <w:szCs w:val="18"/>
        </w:rPr>
        <w:t>1</w:t>
      </w:r>
      <w:r w:rsidR="008F2F94" w:rsidRPr="00B50BA2">
        <w:rPr>
          <w:rFonts w:cs="Arial"/>
          <w:b/>
          <w:bCs/>
          <w:sz w:val="18"/>
          <w:szCs w:val="18"/>
        </w:rPr>
        <w:t>.</w:t>
      </w:r>
      <w:r w:rsidR="008F2F94" w:rsidRPr="00B50BA2">
        <w:rPr>
          <w:rFonts w:cs="Arial"/>
          <w:sz w:val="18"/>
          <w:szCs w:val="18"/>
        </w:rPr>
        <w:t xml:space="preserve"> Sam</w:t>
      </w:r>
      <w:r w:rsidRPr="00B50BA2">
        <w:rPr>
          <w:rFonts w:cs="Arial"/>
          <w:sz w:val="18"/>
          <w:szCs w:val="18"/>
        </w:rPr>
        <w:t xml:space="preserve">e as Figure </w:t>
      </w:r>
      <w:r w:rsidR="00BC75B9" w:rsidRPr="00B50BA2">
        <w:rPr>
          <w:rFonts w:cs="Arial"/>
          <w:sz w:val="18"/>
          <w:szCs w:val="18"/>
        </w:rPr>
        <w:t>3B but</w:t>
      </w:r>
      <w:r w:rsidR="008F2F94" w:rsidRPr="00B50BA2">
        <w:rPr>
          <w:rFonts w:cs="Arial"/>
          <w:sz w:val="18"/>
          <w:szCs w:val="18"/>
        </w:rPr>
        <w:t xml:space="preserve"> now separated by subregion within the Global North</w:t>
      </w:r>
      <w:r w:rsidRPr="00B50BA2">
        <w:rPr>
          <w:rFonts w:cs="Arial"/>
          <w:sz w:val="18"/>
          <w:szCs w:val="18"/>
        </w:rPr>
        <w:t>.</w:t>
      </w:r>
      <w:r w:rsidR="00C57800">
        <w:rPr>
          <w:rFonts w:cs="Arial"/>
          <w:sz w:val="18"/>
          <w:szCs w:val="18"/>
        </w:rPr>
        <w:t xml:space="preserve"> We have removed the confidence intervals to improve visibility of the lines.</w:t>
      </w:r>
    </w:p>
    <w:p w14:paraId="7AF8913F" w14:textId="77777777" w:rsidR="008F2F94" w:rsidRPr="00232082" w:rsidRDefault="008F2F94" w:rsidP="008F2F94">
      <w:pPr>
        <w:rPr>
          <w:rFonts w:cs="Arial"/>
          <w:b/>
          <w:bCs/>
          <w:szCs w:val="20"/>
        </w:rPr>
      </w:pPr>
    </w:p>
    <w:p w14:paraId="2CE91001" w14:textId="77777777" w:rsidR="008F2F94" w:rsidRPr="00232082" w:rsidRDefault="008F2F94" w:rsidP="008F2F94">
      <w:pPr>
        <w:rPr>
          <w:rFonts w:cs="Arial"/>
          <w:b/>
          <w:bCs/>
          <w:szCs w:val="20"/>
        </w:rPr>
      </w:pPr>
    </w:p>
    <w:p w14:paraId="0417C26B" w14:textId="14F01AC0" w:rsidR="008F2F94" w:rsidRPr="00232082" w:rsidRDefault="00C57800" w:rsidP="008F2F94">
      <w:pPr>
        <w:rPr>
          <w:rFonts w:cs="Arial"/>
          <w:b/>
          <w:bCs/>
          <w:szCs w:val="20"/>
        </w:rPr>
      </w:pPr>
      <w:r>
        <w:rPr>
          <w:rFonts w:cs="Arial"/>
          <w:b/>
          <w:bCs/>
          <w:noProof/>
          <w:szCs w:val="20"/>
        </w:rPr>
        <w:lastRenderedPageBreak/>
        <w:drawing>
          <wp:inline distT="0" distB="0" distL="0" distR="0" wp14:anchorId="5A3EECDF" wp14:editId="024466E6">
            <wp:extent cx="5384549" cy="6018028"/>
            <wp:effectExtent l="0" t="0" r="635" b="1905"/>
            <wp:docPr id="19958786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878619"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4377" cy="6029012"/>
                    </a:xfrm>
                    <a:prstGeom prst="rect">
                      <a:avLst/>
                    </a:prstGeom>
                  </pic:spPr>
                </pic:pic>
              </a:graphicData>
            </a:graphic>
          </wp:inline>
        </w:drawing>
      </w:r>
    </w:p>
    <w:p w14:paraId="1E8A445C" w14:textId="609D57A3" w:rsidR="008F2F94" w:rsidRDefault="00A13FF1" w:rsidP="008F2F94">
      <w:pPr>
        <w:rPr>
          <w:rFonts w:cs="Arial"/>
          <w:sz w:val="18"/>
          <w:szCs w:val="18"/>
        </w:rPr>
      </w:pPr>
      <w:r w:rsidRPr="00B50BA2">
        <w:rPr>
          <w:rFonts w:cs="Arial"/>
          <w:b/>
          <w:bCs/>
          <w:sz w:val="18"/>
          <w:szCs w:val="18"/>
        </w:rPr>
        <w:t>Supplementary F</w:t>
      </w:r>
      <w:r w:rsidR="00124FF0" w:rsidRPr="00B50BA2">
        <w:rPr>
          <w:rFonts w:cs="Arial"/>
          <w:b/>
          <w:bCs/>
          <w:sz w:val="18"/>
          <w:szCs w:val="18"/>
        </w:rPr>
        <w:t>igure 1</w:t>
      </w:r>
      <w:r w:rsidR="005532FB">
        <w:rPr>
          <w:rFonts w:cs="Arial"/>
          <w:b/>
          <w:bCs/>
          <w:sz w:val="18"/>
          <w:szCs w:val="18"/>
        </w:rPr>
        <w:t>2</w:t>
      </w:r>
      <w:r w:rsidR="008F2F94" w:rsidRPr="00B50BA2">
        <w:rPr>
          <w:rFonts w:cs="Arial"/>
          <w:b/>
          <w:bCs/>
          <w:sz w:val="18"/>
          <w:szCs w:val="18"/>
        </w:rPr>
        <w:t>.</w:t>
      </w:r>
      <w:r w:rsidRPr="00B50BA2">
        <w:rPr>
          <w:rFonts w:cs="Arial"/>
          <w:sz w:val="18"/>
          <w:szCs w:val="18"/>
        </w:rPr>
        <w:t xml:space="preserve"> Same as Figure 3B</w:t>
      </w:r>
      <w:r w:rsidR="008F2F94" w:rsidRPr="00B50BA2">
        <w:rPr>
          <w:rFonts w:cs="Arial"/>
          <w:sz w:val="18"/>
          <w:szCs w:val="18"/>
        </w:rPr>
        <w:t xml:space="preserve"> but now separated by s</w:t>
      </w:r>
      <w:r w:rsidRPr="00B50BA2">
        <w:rPr>
          <w:rFonts w:cs="Arial"/>
          <w:sz w:val="18"/>
          <w:szCs w:val="18"/>
        </w:rPr>
        <w:t>ubregion within the Global South.</w:t>
      </w:r>
      <w:r w:rsidR="00C57800" w:rsidRPr="00C57800">
        <w:rPr>
          <w:rFonts w:cs="Arial"/>
          <w:sz w:val="18"/>
          <w:szCs w:val="18"/>
        </w:rPr>
        <w:t xml:space="preserve"> </w:t>
      </w:r>
      <w:r w:rsidR="00C57800">
        <w:rPr>
          <w:rFonts w:cs="Arial"/>
          <w:sz w:val="18"/>
          <w:szCs w:val="18"/>
        </w:rPr>
        <w:t>We have removed the confidence intervals to improve visibility of the lines.</w:t>
      </w:r>
    </w:p>
    <w:p w14:paraId="386F1AA4" w14:textId="77777777" w:rsidR="0006281C" w:rsidRPr="00B50BA2" w:rsidRDefault="0006281C" w:rsidP="008F2F94">
      <w:pPr>
        <w:rPr>
          <w:rFonts w:cs="Arial"/>
          <w:sz w:val="18"/>
          <w:szCs w:val="18"/>
        </w:rPr>
      </w:pPr>
    </w:p>
    <w:p w14:paraId="396D4DD2" w14:textId="77777777" w:rsidR="008F2F94" w:rsidRPr="00232082" w:rsidRDefault="008F2F94" w:rsidP="008F2F94">
      <w:pPr>
        <w:rPr>
          <w:rFonts w:cs="Arial"/>
          <w:szCs w:val="20"/>
        </w:rPr>
      </w:pPr>
      <w:r w:rsidRPr="1E27573F">
        <w:rPr>
          <w:rFonts w:cs="Arial"/>
        </w:rPr>
        <w:br w:type="page"/>
      </w:r>
    </w:p>
    <w:p w14:paraId="6F3295E2" w14:textId="3FB19D31" w:rsidR="005532FB" w:rsidRDefault="005532FB" w:rsidP="00855757">
      <w:pPr>
        <w:spacing w:after="160" w:line="259" w:lineRule="auto"/>
        <w:rPr>
          <w:rFonts w:cs="Arial"/>
          <w:b/>
          <w:bCs/>
          <w:sz w:val="18"/>
          <w:szCs w:val="18"/>
        </w:rPr>
      </w:pPr>
      <w:r>
        <w:rPr>
          <w:rFonts w:cs="Arial"/>
          <w:b/>
          <w:bCs/>
          <w:noProof/>
          <w:sz w:val="18"/>
          <w:szCs w:val="18"/>
        </w:rPr>
        <w:lastRenderedPageBreak/>
        <w:drawing>
          <wp:inline distT="0" distB="0" distL="0" distR="0" wp14:anchorId="1BE83D91" wp14:editId="4436B82D">
            <wp:extent cx="5486400" cy="3872865"/>
            <wp:effectExtent l="0" t="0" r="0" b="635"/>
            <wp:docPr id="23107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7475" name="Picture 2310747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3872865"/>
                    </a:xfrm>
                    <a:prstGeom prst="rect">
                      <a:avLst/>
                    </a:prstGeom>
                  </pic:spPr>
                </pic:pic>
              </a:graphicData>
            </a:graphic>
          </wp:inline>
        </w:drawing>
      </w:r>
    </w:p>
    <w:p w14:paraId="3020A625" w14:textId="30C59A61" w:rsidR="00855757" w:rsidRPr="005532FB" w:rsidRDefault="00855757" w:rsidP="00855757">
      <w:pPr>
        <w:spacing w:after="160" w:line="259" w:lineRule="auto"/>
        <w:rPr>
          <w:rFonts w:cs="Arial"/>
          <w:sz w:val="18"/>
          <w:szCs w:val="18"/>
        </w:rPr>
      </w:pPr>
      <w:r>
        <w:rPr>
          <w:rFonts w:cs="Arial"/>
          <w:b/>
          <w:bCs/>
          <w:sz w:val="18"/>
          <w:szCs w:val="18"/>
        </w:rPr>
        <w:t>Supplementary Figure 1</w:t>
      </w:r>
      <w:r w:rsidR="005532FB">
        <w:rPr>
          <w:rFonts w:cs="Arial"/>
          <w:b/>
          <w:bCs/>
          <w:sz w:val="18"/>
          <w:szCs w:val="18"/>
        </w:rPr>
        <w:t xml:space="preserve">3. </w:t>
      </w:r>
      <w:r w:rsidR="005532FB">
        <w:rPr>
          <w:rFonts w:cs="Arial"/>
          <w:sz w:val="18"/>
          <w:szCs w:val="18"/>
        </w:rPr>
        <w:t>Same as Figure 3C but now separated by subregion within the Global North.</w:t>
      </w:r>
    </w:p>
    <w:p w14:paraId="6F92B00E" w14:textId="27C036BC" w:rsidR="005532FB" w:rsidRDefault="005532FB">
      <w:pPr>
        <w:spacing w:after="160" w:line="259" w:lineRule="auto"/>
        <w:rPr>
          <w:rFonts w:cs="Arial"/>
          <w:b/>
          <w:bCs/>
          <w:sz w:val="18"/>
          <w:szCs w:val="18"/>
        </w:rPr>
      </w:pPr>
      <w:r>
        <w:rPr>
          <w:rFonts w:cs="Arial"/>
          <w:b/>
          <w:bCs/>
          <w:sz w:val="18"/>
          <w:szCs w:val="18"/>
        </w:rPr>
        <w:br w:type="page"/>
      </w:r>
    </w:p>
    <w:p w14:paraId="14008651" w14:textId="3727A2DF" w:rsidR="00855757" w:rsidRDefault="005532FB" w:rsidP="00855757">
      <w:pPr>
        <w:spacing w:after="160" w:line="259" w:lineRule="auto"/>
        <w:rPr>
          <w:rFonts w:cs="Arial"/>
          <w:b/>
          <w:bCs/>
          <w:sz w:val="18"/>
          <w:szCs w:val="18"/>
        </w:rPr>
      </w:pPr>
      <w:r>
        <w:rPr>
          <w:rFonts w:cs="Arial"/>
          <w:b/>
          <w:bCs/>
          <w:noProof/>
          <w:sz w:val="18"/>
          <w:szCs w:val="18"/>
        </w:rPr>
        <w:lastRenderedPageBreak/>
        <w:drawing>
          <wp:inline distT="0" distB="0" distL="0" distR="0" wp14:anchorId="06A017A9" wp14:editId="7FCF066E">
            <wp:extent cx="5486400" cy="3872865"/>
            <wp:effectExtent l="0" t="0" r="0" b="635"/>
            <wp:docPr id="303399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99528" name="Picture 30339952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3872865"/>
                    </a:xfrm>
                    <a:prstGeom prst="rect">
                      <a:avLst/>
                    </a:prstGeom>
                  </pic:spPr>
                </pic:pic>
              </a:graphicData>
            </a:graphic>
          </wp:inline>
        </w:drawing>
      </w:r>
    </w:p>
    <w:p w14:paraId="5225CE5C" w14:textId="306A79CA" w:rsidR="00A46177" w:rsidRPr="005532FB" w:rsidRDefault="00855757" w:rsidP="00855757">
      <w:r>
        <w:rPr>
          <w:rFonts w:cs="Arial"/>
          <w:b/>
          <w:bCs/>
          <w:sz w:val="18"/>
          <w:szCs w:val="18"/>
        </w:rPr>
        <w:t>Supplementary Figure 1</w:t>
      </w:r>
      <w:r w:rsidR="005532FB">
        <w:rPr>
          <w:rFonts w:cs="Arial"/>
          <w:b/>
          <w:bCs/>
          <w:sz w:val="18"/>
          <w:szCs w:val="18"/>
        </w:rPr>
        <w:t xml:space="preserve">4. </w:t>
      </w:r>
      <w:r w:rsidR="005532FB">
        <w:rPr>
          <w:rFonts w:cs="Arial"/>
          <w:sz w:val="18"/>
          <w:szCs w:val="18"/>
        </w:rPr>
        <w:t>Same as Figure 3C but now separated by subregion within the Global South.</w:t>
      </w:r>
    </w:p>
    <w:sectPr w:rsidR="00A46177" w:rsidRPr="005532FB" w:rsidSect="00AB178A">
      <w:headerReference w:type="default" r:id="rId21"/>
      <w:footerReference w:type="default" r:id="rId2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446F5" w14:textId="77777777" w:rsidR="00D45EF2" w:rsidRDefault="00D45EF2">
      <w:pPr>
        <w:spacing w:after="0"/>
      </w:pPr>
      <w:r>
        <w:separator/>
      </w:r>
    </w:p>
  </w:endnote>
  <w:endnote w:type="continuationSeparator" w:id="0">
    <w:p w14:paraId="3E8786B2" w14:textId="77777777" w:rsidR="00D45EF2" w:rsidRDefault="00D45E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BB0C" w14:textId="5C1F5237" w:rsidR="00A46177" w:rsidRDefault="00B50BA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C0230C">
      <w:rPr>
        <w:noProof/>
        <w:color w:val="000000"/>
      </w:rPr>
      <w:t>13</w:t>
    </w:r>
    <w:r>
      <w:rPr>
        <w:color w:val="000000"/>
      </w:rPr>
      <w:fldChar w:fldCharType="end"/>
    </w:r>
  </w:p>
  <w:p w14:paraId="46E57248" w14:textId="77777777" w:rsidR="00A46177" w:rsidRDefault="00A4617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2C7FD" w14:textId="77777777" w:rsidR="00D45EF2" w:rsidRDefault="00D45EF2">
      <w:pPr>
        <w:spacing w:after="0"/>
      </w:pPr>
      <w:r>
        <w:separator/>
      </w:r>
    </w:p>
  </w:footnote>
  <w:footnote w:type="continuationSeparator" w:id="0">
    <w:p w14:paraId="01B9969C" w14:textId="77777777" w:rsidR="00D45EF2" w:rsidRDefault="00D45E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A06F" w14:textId="77777777" w:rsidR="00A46177" w:rsidRDefault="00A46177">
    <w:pPr>
      <w:jc w:val="right"/>
      <w:rPr>
        <w:szCs w:val="20"/>
      </w:rPr>
    </w:pPr>
  </w:p>
  <w:p w14:paraId="1B568829" w14:textId="77777777" w:rsidR="00A46177" w:rsidRDefault="00A461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82AAF"/>
    <w:multiLevelType w:val="hybridMultilevel"/>
    <w:tmpl w:val="93385E40"/>
    <w:lvl w:ilvl="0" w:tplc="2BE08C4A">
      <w:start w:val="1"/>
      <w:numFmt w:val="decimal"/>
      <w:lvlText w:val="Eq. %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4890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F94"/>
    <w:rsid w:val="00010910"/>
    <w:rsid w:val="00042EED"/>
    <w:rsid w:val="00060156"/>
    <w:rsid w:val="00060D35"/>
    <w:rsid w:val="0006281C"/>
    <w:rsid w:val="00113CDA"/>
    <w:rsid w:val="00124FF0"/>
    <w:rsid w:val="00135C07"/>
    <w:rsid w:val="00156166"/>
    <w:rsid w:val="00174427"/>
    <w:rsid w:val="001925E3"/>
    <w:rsid w:val="001A5E87"/>
    <w:rsid w:val="001B5950"/>
    <w:rsid w:val="002168EA"/>
    <w:rsid w:val="00217AD5"/>
    <w:rsid w:val="002A23A1"/>
    <w:rsid w:val="002D5A4C"/>
    <w:rsid w:val="002E4C0C"/>
    <w:rsid w:val="002F4A3A"/>
    <w:rsid w:val="00344E96"/>
    <w:rsid w:val="003533B5"/>
    <w:rsid w:val="003C0DD0"/>
    <w:rsid w:val="00404C5B"/>
    <w:rsid w:val="004441C6"/>
    <w:rsid w:val="004750D0"/>
    <w:rsid w:val="00481BB7"/>
    <w:rsid w:val="004D336A"/>
    <w:rsid w:val="004E57F5"/>
    <w:rsid w:val="00500527"/>
    <w:rsid w:val="005144E4"/>
    <w:rsid w:val="00527A99"/>
    <w:rsid w:val="005532FB"/>
    <w:rsid w:val="005915B9"/>
    <w:rsid w:val="005C4D64"/>
    <w:rsid w:val="005D4EDC"/>
    <w:rsid w:val="005F7DB6"/>
    <w:rsid w:val="00647D13"/>
    <w:rsid w:val="00666ED3"/>
    <w:rsid w:val="0068343F"/>
    <w:rsid w:val="006C34B7"/>
    <w:rsid w:val="006D3AF9"/>
    <w:rsid w:val="00753B94"/>
    <w:rsid w:val="00755652"/>
    <w:rsid w:val="007710D0"/>
    <w:rsid w:val="007A3485"/>
    <w:rsid w:val="007B26C5"/>
    <w:rsid w:val="00823235"/>
    <w:rsid w:val="008407D1"/>
    <w:rsid w:val="008526B6"/>
    <w:rsid w:val="00855757"/>
    <w:rsid w:val="00860204"/>
    <w:rsid w:val="00873E3F"/>
    <w:rsid w:val="0089337A"/>
    <w:rsid w:val="008C1454"/>
    <w:rsid w:val="008F2F94"/>
    <w:rsid w:val="008F5EC2"/>
    <w:rsid w:val="00974A4A"/>
    <w:rsid w:val="00983A99"/>
    <w:rsid w:val="009B3498"/>
    <w:rsid w:val="009B4983"/>
    <w:rsid w:val="00A04DC4"/>
    <w:rsid w:val="00A13FF1"/>
    <w:rsid w:val="00A1636D"/>
    <w:rsid w:val="00A22D64"/>
    <w:rsid w:val="00A347C3"/>
    <w:rsid w:val="00A46177"/>
    <w:rsid w:val="00A517C2"/>
    <w:rsid w:val="00A93C55"/>
    <w:rsid w:val="00A942C6"/>
    <w:rsid w:val="00AA22DF"/>
    <w:rsid w:val="00AA4D26"/>
    <w:rsid w:val="00AB169C"/>
    <w:rsid w:val="00AB178A"/>
    <w:rsid w:val="00AF589D"/>
    <w:rsid w:val="00B107D8"/>
    <w:rsid w:val="00B251A4"/>
    <w:rsid w:val="00B254CE"/>
    <w:rsid w:val="00B30F9C"/>
    <w:rsid w:val="00B50BA2"/>
    <w:rsid w:val="00B811C8"/>
    <w:rsid w:val="00BB45B5"/>
    <w:rsid w:val="00BC75B9"/>
    <w:rsid w:val="00C0230C"/>
    <w:rsid w:val="00C57800"/>
    <w:rsid w:val="00CC2A98"/>
    <w:rsid w:val="00CC52D4"/>
    <w:rsid w:val="00CE776E"/>
    <w:rsid w:val="00D44EC1"/>
    <w:rsid w:val="00D45EF2"/>
    <w:rsid w:val="00DC7F63"/>
    <w:rsid w:val="00DD6665"/>
    <w:rsid w:val="00DE099D"/>
    <w:rsid w:val="00DE1C46"/>
    <w:rsid w:val="00E5396D"/>
    <w:rsid w:val="00E6664C"/>
    <w:rsid w:val="00E70D36"/>
    <w:rsid w:val="00EA3269"/>
    <w:rsid w:val="00EF2F23"/>
    <w:rsid w:val="00F061BC"/>
    <w:rsid w:val="00F07FE2"/>
    <w:rsid w:val="00F1730C"/>
    <w:rsid w:val="00FB2CC8"/>
    <w:rsid w:val="00FB39C0"/>
    <w:rsid w:val="00FC5759"/>
    <w:rsid w:val="00FD3A47"/>
    <w:rsid w:val="1E27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7841"/>
  <w15:chartTrackingRefBased/>
  <w15:docId w15:val="{85E17947-7BBB-4AC1-B0D6-6DA273B31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4B7"/>
    <w:pPr>
      <w:spacing w:after="200" w:line="240" w:lineRule="auto"/>
    </w:pPr>
    <w:rPr>
      <w:rFonts w:ascii="Arial" w:hAnsi="Arial"/>
      <w:sz w:val="20"/>
    </w:rPr>
  </w:style>
  <w:style w:type="paragraph" w:styleId="Heading1">
    <w:name w:val="heading 1"/>
    <w:basedOn w:val="Normal"/>
    <w:next w:val="Normal"/>
    <w:link w:val="Heading1Char"/>
    <w:uiPriority w:val="9"/>
    <w:qFormat/>
    <w:rsid w:val="006C34B7"/>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C34B7"/>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hread-799717027069359607353523">
    <w:name w:val="thread-799717027069359607353523"/>
    <w:basedOn w:val="DefaultParagraphFont"/>
    <w:rsid w:val="008F2F94"/>
  </w:style>
  <w:style w:type="character" w:customStyle="1" w:styleId="natural-dimensions-container-outer">
    <w:name w:val="natural-dimensions-container-outer"/>
    <w:basedOn w:val="DefaultParagraphFont"/>
    <w:rsid w:val="008F2F94"/>
  </w:style>
  <w:style w:type="character" w:styleId="Hyperlink">
    <w:name w:val="Hyperlink"/>
    <w:basedOn w:val="DefaultParagraphFont"/>
    <w:uiPriority w:val="99"/>
    <w:unhideWhenUsed/>
    <w:rsid w:val="008F2F94"/>
    <w:rPr>
      <w:color w:val="0563C1" w:themeColor="hyperlink"/>
      <w:u w:val="single"/>
    </w:rPr>
  </w:style>
  <w:style w:type="paragraph" w:styleId="NormalWeb">
    <w:name w:val="Normal (Web)"/>
    <w:basedOn w:val="Normal"/>
    <w:uiPriority w:val="99"/>
    <w:unhideWhenUsed/>
    <w:rsid w:val="008F2F94"/>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517C2"/>
    <w:rPr>
      <w:sz w:val="16"/>
      <w:szCs w:val="16"/>
    </w:rPr>
  </w:style>
  <w:style w:type="paragraph" w:styleId="CommentText">
    <w:name w:val="annotation text"/>
    <w:basedOn w:val="Normal"/>
    <w:link w:val="CommentTextChar"/>
    <w:uiPriority w:val="99"/>
    <w:semiHidden/>
    <w:unhideWhenUsed/>
    <w:rsid w:val="00A517C2"/>
    <w:rPr>
      <w:szCs w:val="20"/>
    </w:rPr>
  </w:style>
  <w:style w:type="character" w:customStyle="1" w:styleId="CommentTextChar">
    <w:name w:val="Comment Text Char"/>
    <w:basedOn w:val="DefaultParagraphFont"/>
    <w:link w:val="CommentText"/>
    <w:uiPriority w:val="99"/>
    <w:semiHidden/>
    <w:rsid w:val="00A517C2"/>
    <w:rPr>
      <w:sz w:val="20"/>
      <w:szCs w:val="20"/>
    </w:rPr>
  </w:style>
  <w:style w:type="paragraph" w:styleId="CommentSubject">
    <w:name w:val="annotation subject"/>
    <w:basedOn w:val="CommentText"/>
    <w:next w:val="CommentText"/>
    <w:link w:val="CommentSubjectChar"/>
    <w:uiPriority w:val="99"/>
    <w:semiHidden/>
    <w:unhideWhenUsed/>
    <w:rsid w:val="00A517C2"/>
    <w:rPr>
      <w:b/>
      <w:bCs/>
    </w:rPr>
  </w:style>
  <w:style w:type="character" w:customStyle="1" w:styleId="CommentSubjectChar">
    <w:name w:val="Comment Subject Char"/>
    <w:basedOn w:val="CommentTextChar"/>
    <w:link w:val="CommentSubject"/>
    <w:uiPriority w:val="99"/>
    <w:semiHidden/>
    <w:rsid w:val="00A517C2"/>
    <w:rPr>
      <w:b/>
      <w:bCs/>
      <w:sz w:val="20"/>
      <w:szCs w:val="20"/>
    </w:rPr>
  </w:style>
  <w:style w:type="paragraph" w:styleId="BalloonText">
    <w:name w:val="Balloon Text"/>
    <w:basedOn w:val="Normal"/>
    <w:link w:val="BalloonTextChar"/>
    <w:uiPriority w:val="99"/>
    <w:semiHidden/>
    <w:unhideWhenUsed/>
    <w:rsid w:val="00A517C2"/>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17C2"/>
    <w:rPr>
      <w:rFonts w:ascii="Times New Roman" w:hAnsi="Times New Roman" w:cs="Times New Roman"/>
      <w:sz w:val="18"/>
      <w:szCs w:val="18"/>
    </w:rPr>
  </w:style>
  <w:style w:type="character" w:customStyle="1" w:styleId="Heading2Char">
    <w:name w:val="Heading 2 Char"/>
    <w:basedOn w:val="DefaultParagraphFont"/>
    <w:link w:val="Heading2"/>
    <w:uiPriority w:val="9"/>
    <w:rsid w:val="006C34B7"/>
    <w:rPr>
      <w:rFonts w:ascii="Arial" w:eastAsiaTheme="majorEastAsia" w:hAnsi="Arial" w:cstheme="majorBidi"/>
      <w:b/>
      <w:sz w:val="26"/>
      <w:szCs w:val="26"/>
    </w:rPr>
  </w:style>
  <w:style w:type="paragraph" w:styleId="Title">
    <w:name w:val="Title"/>
    <w:basedOn w:val="Normal"/>
    <w:next w:val="Normal"/>
    <w:link w:val="TitleChar"/>
    <w:uiPriority w:val="10"/>
    <w:qFormat/>
    <w:rsid w:val="006C34B7"/>
    <w:pPr>
      <w:spacing w:after="0"/>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6C34B7"/>
    <w:rPr>
      <w:rFonts w:ascii="Arial" w:eastAsiaTheme="majorEastAsia" w:hAnsi="Arial" w:cstheme="majorBidi"/>
      <w:b/>
      <w:spacing w:val="-10"/>
      <w:kern w:val="28"/>
      <w:sz w:val="40"/>
      <w:szCs w:val="56"/>
    </w:rPr>
  </w:style>
  <w:style w:type="paragraph" w:styleId="Subtitle">
    <w:name w:val="Subtitle"/>
    <w:basedOn w:val="Normal"/>
    <w:next w:val="Normal"/>
    <w:link w:val="SubtitleChar"/>
    <w:uiPriority w:val="11"/>
    <w:qFormat/>
    <w:rsid w:val="006C34B7"/>
    <w:pPr>
      <w:numPr>
        <w:ilvl w:val="1"/>
      </w:numPr>
      <w:spacing w:after="160"/>
    </w:pPr>
    <w:rPr>
      <w:rFonts w:eastAsiaTheme="minorEastAsia"/>
      <w:b/>
      <w:spacing w:val="15"/>
      <w:sz w:val="24"/>
    </w:rPr>
  </w:style>
  <w:style w:type="character" w:customStyle="1" w:styleId="SubtitleChar">
    <w:name w:val="Subtitle Char"/>
    <w:basedOn w:val="DefaultParagraphFont"/>
    <w:link w:val="Subtitle"/>
    <w:uiPriority w:val="11"/>
    <w:rsid w:val="006C34B7"/>
    <w:rPr>
      <w:rFonts w:ascii="Arial" w:eastAsiaTheme="minorEastAsia" w:hAnsi="Arial"/>
      <w:b/>
      <w:spacing w:val="15"/>
      <w:sz w:val="24"/>
    </w:rPr>
  </w:style>
  <w:style w:type="character" w:customStyle="1" w:styleId="Heading1Char">
    <w:name w:val="Heading 1 Char"/>
    <w:basedOn w:val="DefaultParagraphFont"/>
    <w:link w:val="Heading1"/>
    <w:uiPriority w:val="9"/>
    <w:rsid w:val="006C34B7"/>
    <w:rPr>
      <w:rFonts w:ascii="Arial" w:eastAsiaTheme="majorEastAsia" w:hAnsi="Arial" w:cstheme="majorBidi"/>
      <w:b/>
      <w:sz w:val="32"/>
      <w:szCs w:val="32"/>
    </w:rPr>
  </w:style>
  <w:style w:type="paragraph" w:styleId="ListParagraph">
    <w:name w:val="List Paragraph"/>
    <w:basedOn w:val="Normal"/>
    <w:uiPriority w:val="34"/>
    <w:qFormat/>
    <w:rsid w:val="006C34B7"/>
    <w:pPr>
      <w:ind w:left="720"/>
      <w:contextualSpacing/>
      <w:jc w:val="both"/>
    </w:pPr>
    <w:rPr>
      <w:rFonts w:ascii="Garamond" w:hAnsi="Garamond"/>
      <w:kern w:val="2"/>
      <w:sz w:val="24"/>
      <w:szCs w:val="24"/>
      <w14:ligatures w14:val="standardContextual"/>
    </w:rPr>
  </w:style>
  <w:style w:type="character" w:styleId="UnresolvedMention">
    <w:name w:val="Unresolved Mention"/>
    <w:basedOn w:val="DefaultParagraphFont"/>
    <w:uiPriority w:val="99"/>
    <w:semiHidden/>
    <w:unhideWhenUsed/>
    <w:rsid w:val="00CE776E"/>
    <w:rPr>
      <w:color w:val="605E5C"/>
      <w:shd w:val="clear" w:color="auto" w:fill="E1DFDD"/>
    </w:rPr>
  </w:style>
  <w:style w:type="paragraph" w:styleId="Header">
    <w:name w:val="header"/>
    <w:basedOn w:val="Normal"/>
    <w:link w:val="HeaderChar"/>
    <w:uiPriority w:val="99"/>
    <w:unhideWhenUsed/>
    <w:rsid w:val="005D4EDC"/>
    <w:pPr>
      <w:tabs>
        <w:tab w:val="center" w:pos="4513"/>
        <w:tab w:val="right" w:pos="9026"/>
      </w:tabs>
      <w:spacing w:after="0"/>
    </w:pPr>
  </w:style>
  <w:style w:type="character" w:customStyle="1" w:styleId="HeaderChar">
    <w:name w:val="Header Char"/>
    <w:basedOn w:val="DefaultParagraphFont"/>
    <w:link w:val="Header"/>
    <w:uiPriority w:val="99"/>
    <w:rsid w:val="005D4EDC"/>
    <w:rPr>
      <w:rFonts w:ascii="Arial" w:hAnsi="Arial"/>
      <w:sz w:val="20"/>
    </w:rPr>
  </w:style>
  <w:style w:type="paragraph" w:styleId="Footer">
    <w:name w:val="footer"/>
    <w:basedOn w:val="Normal"/>
    <w:link w:val="FooterChar"/>
    <w:uiPriority w:val="99"/>
    <w:unhideWhenUsed/>
    <w:rsid w:val="005D4EDC"/>
    <w:pPr>
      <w:tabs>
        <w:tab w:val="center" w:pos="4513"/>
        <w:tab w:val="right" w:pos="9026"/>
      </w:tabs>
      <w:spacing w:after="0"/>
    </w:pPr>
  </w:style>
  <w:style w:type="character" w:customStyle="1" w:styleId="FooterChar">
    <w:name w:val="Footer Char"/>
    <w:basedOn w:val="DefaultParagraphFont"/>
    <w:link w:val="Footer"/>
    <w:uiPriority w:val="99"/>
    <w:rsid w:val="005D4EDC"/>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96850">
      <w:bodyDiv w:val="1"/>
      <w:marLeft w:val="0"/>
      <w:marRight w:val="0"/>
      <w:marTop w:val="0"/>
      <w:marBottom w:val="0"/>
      <w:divBdr>
        <w:top w:val="none" w:sz="0" w:space="0" w:color="auto"/>
        <w:left w:val="none" w:sz="0" w:space="0" w:color="auto"/>
        <w:bottom w:val="none" w:sz="0" w:space="0" w:color="auto"/>
        <w:right w:val="none" w:sz="0" w:space="0" w:color="auto"/>
      </w:divBdr>
    </w:div>
    <w:div w:id="1477527907">
      <w:bodyDiv w:val="1"/>
      <w:marLeft w:val="0"/>
      <w:marRight w:val="0"/>
      <w:marTop w:val="0"/>
      <w:marBottom w:val="0"/>
      <w:divBdr>
        <w:top w:val="none" w:sz="0" w:space="0" w:color="auto"/>
        <w:left w:val="none" w:sz="0" w:space="0" w:color="auto"/>
        <w:bottom w:val="none" w:sz="0" w:space="0" w:color="auto"/>
        <w:right w:val="none" w:sz="0" w:space="0" w:color="auto"/>
      </w:divBdr>
      <w:divsChild>
        <w:div w:id="207035830">
          <w:marLeft w:val="0"/>
          <w:marRight w:val="0"/>
          <w:marTop w:val="0"/>
          <w:marBottom w:val="0"/>
          <w:divBdr>
            <w:top w:val="none" w:sz="0" w:space="0" w:color="auto"/>
            <w:left w:val="none" w:sz="0" w:space="0" w:color="auto"/>
            <w:bottom w:val="none" w:sz="0" w:space="0" w:color="auto"/>
            <w:right w:val="none" w:sz="0" w:space="0" w:color="auto"/>
          </w:divBdr>
          <w:divsChild>
            <w:div w:id="2129469859">
              <w:marLeft w:val="0"/>
              <w:marRight w:val="0"/>
              <w:marTop w:val="0"/>
              <w:marBottom w:val="0"/>
              <w:divBdr>
                <w:top w:val="none" w:sz="0" w:space="0" w:color="auto"/>
                <w:left w:val="none" w:sz="0" w:space="0" w:color="auto"/>
                <w:bottom w:val="none" w:sz="0" w:space="0" w:color="auto"/>
                <w:right w:val="none" w:sz="0" w:space="0" w:color="auto"/>
              </w:divBdr>
              <w:divsChild>
                <w:div w:id="85623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833</Words>
  <Characters>4507</Characters>
  <Application>Microsoft Office Word</Application>
  <DocSecurity>0</DocSecurity>
  <Lines>125</Lines>
  <Paragraphs>45</Paragraphs>
  <ScaleCrop>false</ScaleCrop>
  <Company>SUND - KU</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Wullum Nielsen</dc:creator>
  <cp:keywords/>
  <dc:description/>
  <cp:lastModifiedBy>Andrew Christopher Herman</cp:lastModifiedBy>
  <cp:revision>2</cp:revision>
  <cp:lastPrinted>2024-04-09T14:54:00Z</cp:lastPrinted>
  <dcterms:created xsi:type="dcterms:W3CDTF">2025-12-12T10:04:00Z</dcterms:created>
  <dcterms:modified xsi:type="dcterms:W3CDTF">2025-12-12T10:04:00Z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DocumentDate">
    <vt:lpwstr>45358</vt:lpwstr>
  </property>
  <property fmtid="{D5CDD505-2E9C-101B-9397-08002B2CF9AE}" pid="4" name="SD_IntegrationInfoAdded">
    <vt:bool>true</vt:bool>
  </property>
</Properties>
</file>