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804F5E" w14:textId="69010EE2" w:rsidR="00B12635" w:rsidRPr="003C5B2F" w:rsidRDefault="00F525FB" w:rsidP="007026FE">
      <w:pPr>
        <w:rPr>
          <w:rFonts w:cstheme="minorHAnsi"/>
          <w:color w:val="5009B5" w:themeColor="text1"/>
          <w:sz w:val="28"/>
          <w:szCs w:val="28"/>
        </w:rPr>
      </w:pPr>
      <w:r>
        <w:rPr>
          <w:rFonts w:cstheme="minorHAnsi"/>
          <w:color w:val="5009B5" w:themeColor="text1"/>
          <w:sz w:val="28"/>
          <w:szCs w:val="28"/>
        </w:rPr>
        <w:t xml:space="preserve">Supplemental Table: </w:t>
      </w:r>
      <w:r w:rsidR="0085099F">
        <w:rPr>
          <w:rFonts w:cstheme="minorHAnsi"/>
          <w:color w:val="5009B5" w:themeColor="text1"/>
          <w:sz w:val="28"/>
          <w:szCs w:val="28"/>
        </w:rPr>
        <w:t>Selected references for each step of the causal design diagram</w:t>
      </w:r>
      <w:r w:rsidR="00BE3885" w:rsidRPr="003C5B2F">
        <w:rPr>
          <w:rFonts w:cstheme="minorHAnsi"/>
          <w:color w:val="5009B5" w:themeColor="text1"/>
          <w:sz w:val="28"/>
          <w:szCs w:val="28"/>
        </w:rPr>
        <w:t>.</w:t>
      </w:r>
    </w:p>
    <w:tbl>
      <w:tblPr>
        <w:tblStyle w:val="TableGrid"/>
        <w:tblW w:w="9270" w:type="dxa"/>
        <w:tblInd w:w="-545" w:type="dxa"/>
        <w:tblLayout w:type="fixed"/>
        <w:tblCellMar>
          <w:top w:w="115" w:type="dxa"/>
          <w:bottom w:w="115" w:type="dxa"/>
        </w:tblCellMar>
        <w:tblLook w:val="04A0" w:firstRow="1" w:lastRow="0" w:firstColumn="1" w:lastColumn="0" w:noHBand="0" w:noVBand="1"/>
      </w:tblPr>
      <w:tblGrid>
        <w:gridCol w:w="2700"/>
        <w:gridCol w:w="6570"/>
      </w:tblGrid>
      <w:tr w:rsidR="00206995" w:rsidRPr="005A00B8" w14:paraId="76D581A2" w14:textId="77777777" w:rsidTr="00206995">
        <w:trPr>
          <w:trHeight w:val="82"/>
        </w:trPr>
        <w:tc>
          <w:tcPr>
            <w:tcW w:w="2700" w:type="dxa"/>
            <w:shd w:val="clear" w:color="auto" w:fill="auto"/>
          </w:tcPr>
          <w:p w14:paraId="49C18C97" w14:textId="1FCA181C" w:rsidR="00206995" w:rsidRPr="005A00B8" w:rsidRDefault="00206995" w:rsidP="007026FE">
            <w:pPr>
              <w:spacing w:line="276" w:lineRule="auto"/>
              <w:rPr>
                <w:rFonts w:cstheme="minorHAnsi"/>
                <w:b/>
                <w:bCs/>
                <w:i/>
                <w:iCs/>
                <w:color w:val="5009B5"/>
                <w:sz w:val="16"/>
                <w:szCs w:val="16"/>
              </w:rPr>
            </w:pPr>
            <w:r>
              <w:rPr>
                <w:rFonts w:cstheme="minorHAnsi"/>
                <w:b/>
                <w:bCs/>
                <w:color w:val="5009B5"/>
                <w:sz w:val="16"/>
                <w:szCs w:val="16"/>
              </w:rPr>
              <w:t>General comprehensive guidance on causal study design</w:t>
            </w:r>
          </w:p>
        </w:tc>
        <w:tc>
          <w:tcPr>
            <w:tcW w:w="6570" w:type="dxa"/>
          </w:tcPr>
          <w:p w14:paraId="213B5B7E" w14:textId="59D09B9B" w:rsidR="00206995" w:rsidRPr="00EC20DE" w:rsidRDefault="00206995" w:rsidP="00206995">
            <w:pPr>
              <w:spacing w:line="276" w:lineRule="auto"/>
              <w:ind w:right="144"/>
              <w:rPr>
                <w:rFonts w:cstheme="minorHAnsi"/>
                <w:sz w:val="16"/>
                <w:szCs w:val="16"/>
              </w:rPr>
            </w:pPr>
            <w:r w:rsidRPr="00DB7ADB">
              <w:rPr>
                <w:rFonts w:cstheme="minorHAnsi"/>
                <w:sz w:val="16"/>
                <w:szCs w:val="16"/>
              </w:rPr>
              <w:t>Berger 2017</w:t>
            </w:r>
            <w:r>
              <w:rPr>
                <w:rFonts w:cstheme="minorHAnsi"/>
                <w:sz w:val="16"/>
                <w:szCs w:val="16"/>
              </w:rPr>
              <w:t>;</w:t>
            </w:r>
            <w:r w:rsidRPr="00EC20DE">
              <w:rPr>
                <w:rFonts w:cstheme="minorHAnsi"/>
                <w:sz w:val="16"/>
                <w:szCs w:val="16"/>
              </w:rPr>
              <w:t xml:space="preserve"> Cox 2009</w:t>
            </w:r>
            <w:r>
              <w:rPr>
                <w:rFonts w:cstheme="minorHAnsi"/>
                <w:sz w:val="16"/>
                <w:szCs w:val="16"/>
              </w:rPr>
              <w:t>;</w:t>
            </w:r>
            <w:r w:rsidRPr="00EC20DE">
              <w:rPr>
                <w:rFonts w:cstheme="minorHAnsi"/>
                <w:sz w:val="16"/>
                <w:szCs w:val="16"/>
              </w:rPr>
              <w:t xml:space="preserve"> </w:t>
            </w:r>
            <w:r w:rsidRPr="00D01C7E">
              <w:rPr>
                <w:rFonts w:cstheme="minorHAnsi"/>
                <w:sz w:val="16"/>
                <w:szCs w:val="16"/>
              </w:rPr>
              <w:t>Dang 2023</w:t>
            </w:r>
            <w:r>
              <w:rPr>
                <w:rFonts w:cstheme="minorHAnsi"/>
                <w:sz w:val="16"/>
                <w:szCs w:val="16"/>
              </w:rPr>
              <w:t xml:space="preserve">; </w:t>
            </w:r>
            <w:r w:rsidRPr="00D01C7E">
              <w:rPr>
                <w:rFonts w:cstheme="minorHAnsi"/>
                <w:sz w:val="16"/>
                <w:szCs w:val="16"/>
              </w:rPr>
              <w:t>Desai 2024</w:t>
            </w:r>
            <w:r>
              <w:rPr>
                <w:rFonts w:cstheme="minorHAnsi"/>
                <w:sz w:val="16"/>
                <w:szCs w:val="16"/>
              </w:rPr>
              <w:t xml:space="preserve">; </w:t>
            </w:r>
            <w:r w:rsidRPr="00EC20DE">
              <w:rPr>
                <w:rFonts w:cstheme="minorHAnsi"/>
                <w:sz w:val="16"/>
                <w:szCs w:val="16"/>
              </w:rPr>
              <w:t>European Medicines Agency 2023</w:t>
            </w:r>
            <w:r>
              <w:rPr>
                <w:rFonts w:cstheme="minorHAnsi"/>
                <w:sz w:val="16"/>
                <w:szCs w:val="16"/>
              </w:rPr>
              <w:t>;</w:t>
            </w:r>
            <w:r w:rsidRPr="00EC20DE">
              <w:rPr>
                <w:rFonts w:cstheme="minorHAnsi"/>
                <w:sz w:val="16"/>
                <w:szCs w:val="16"/>
              </w:rPr>
              <w:t xml:space="preserve"> </w:t>
            </w:r>
            <w:r w:rsidRPr="00945211">
              <w:rPr>
                <w:rFonts w:cstheme="minorHAnsi"/>
                <w:sz w:val="16"/>
                <w:szCs w:val="16"/>
              </w:rPr>
              <w:t>Faries 2020</w:t>
            </w:r>
            <w:r>
              <w:rPr>
                <w:rFonts w:cstheme="minorHAnsi"/>
                <w:sz w:val="16"/>
                <w:szCs w:val="16"/>
              </w:rPr>
              <w:t xml:space="preserve"> (SAS book); </w:t>
            </w:r>
            <w:r w:rsidRPr="00EC20DE">
              <w:rPr>
                <w:rFonts w:cstheme="minorHAnsi"/>
                <w:sz w:val="16"/>
                <w:szCs w:val="16"/>
              </w:rPr>
              <w:t>Franklin 2017</w:t>
            </w:r>
            <w:r>
              <w:rPr>
                <w:rFonts w:cstheme="minorHAnsi"/>
                <w:sz w:val="16"/>
                <w:szCs w:val="16"/>
              </w:rPr>
              <w:t>;</w:t>
            </w:r>
            <w:r w:rsidRPr="00EC20DE">
              <w:rPr>
                <w:rFonts w:cstheme="minorHAnsi"/>
                <w:sz w:val="16"/>
                <w:szCs w:val="16"/>
              </w:rPr>
              <w:t xml:space="preserve"> </w:t>
            </w:r>
            <w:r>
              <w:rPr>
                <w:rFonts w:cstheme="minorHAnsi"/>
                <w:sz w:val="16"/>
                <w:szCs w:val="16"/>
              </w:rPr>
              <w:t xml:space="preserve">Gagne 2012; </w:t>
            </w:r>
            <w:r w:rsidRPr="00EC20DE">
              <w:rPr>
                <w:rFonts w:cstheme="minorHAnsi"/>
                <w:sz w:val="16"/>
                <w:szCs w:val="16"/>
              </w:rPr>
              <w:t>Girman 2014</w:t>
            </w:r>
            <w:r>
              <w:rPr>
                <w:rFonts w:cstheme="minorHAnsi"/>
                <w:sz w:val="16"/>
                <w:szCs w:val="16"/>
              </w:rPr>
              <w:t>;</w:t>
            </w:r>
            <w:r w:rsidRPr="00EC20DE">
              <w:rPr>
                <w:rFonts w:cstheme="minorHAnsi"/>
                <w:sz w:val="16"/>
                <w:szCs w:val="16"/>
              </w:rPr>
              <w:t xml:space="preserve"> </w:t>
            </w:r>
            <w:r w:rsidRPr="00746058">
              <w:rPr>
                <w:rFonts w:cstheme="minorHAnsi"/>
                <w:sz w:val="16"/>
                <w:szCs w:val="16"/>
              </w:rPr>
              <w:t>Hern</w:t>
            </w:r>
            <w:r w:rsidR="00DB7ADB">
              <w:rPr>
                <w:rFonts w:cstheme="minorHAnsi"/>
                <w:sz w:val="16"/>
                <w:szCs w:val="16"/>
              </w:rPr>
              <w:t>a</w:t>
            </w:r>
            <w:r w:rsidRPr="00746058">
              <w:rPr>
                <w:rFonts w:cstheme="minorHAnsi"/>
                <w:sz w:val="16"/>
                <w:szCs w:val="16"/>
              </w:rPr>
              <w:t>n 2020</w:t>
            </w:r>
            <w:r>
              <w:rPr>
                <w:rFonts w:cstheme="minorHAnsi"/>
                <w:sz w:val="16"/>
                <w:szCs w:val="16"/>
              </w:rPr>
              <w:t xml:space="preserve">; </w:t>
            </w:r>
            <w:r w:rsidRPr="00EC20DE">
              <w:rPr>
                <w:rFonts w:cstheme="minorHAnsi"/>
                <w:sz w:val="16"/>
                <w:szCs w:val="16"/>
              </w:rPr>
              <w:t>Stuart 2013</w:t>
            </w:r>
            <w:r>
              <w:rPr>
                <w:rFonts w:cstheme="minorHAnsi"/>
                <w:sz w:val="16"/>
                <w:szCs w:val="16"/>
              </w:rPr>
              <w:t>;</w:t>
            </w:r>
            <w:r w:rsidRPr="00EC20DE">
              <w:rPr>
                <w:rFonts w:cstheme="minorHAnsi"/>
                <w:sz w:val="16"/>
                <w:szCs w:val="16"/>
              </w:rPr>
              <w:t xml:space="preserve"> </w:t>
            </w:r>
            <w:proofErr w:type="spellStart"/>
            <w:r w:rsidRPr="00EC20DE">
              <w:rPr>
                <w:rFonts w:cstheme="minorHAnsi"/>
                <w:sz w:val="16"/>
                <w:szCs w:val="16"/>
              </w:rPr>
              <w:t>Velentgas</w:t>
            </w:r>
            <w:proofErr w:type="spellEnd"/>
            <w:r w:rsidRPr="00EC20DE">
              <w:rPr>
                <w:rFonts w:cstheme="minorHAnsi"/>
                <w:sz w:val="16"/>
                <w:szCs w:val="16"/>
              </w:rPr>
              <w:t xml:space="preserve"> 2013</w:t>
            </w:r>
          </w:p>
        </w:tc>
      </w:tr>
      <w:tr w:rsidR="00206995" w:rsidRPr="005A00B8" w14:paraId="07285C6D" w14:textId="75C43440" w:rsidTr="00206995">
        <w:trPr>
          <w:trHeight w:val="73"/>
        </w:trPr>
        <w:tc>
          <w:tcPr>
            <w:tcW w:w="2700" w:type="dxa"/>
            <w:shd w:val="clear" w:color="auto" w:fill="auto"/>
          </w:tcPr>
          <w:p w14:paraId="5DCFB975" w14:textId="50A2E441" w:rsidR="00206995" w:rsidRPr="005A00B8" w:rsidRDefault="00206995" w:rsidP="007026FE">
            <w:pPr>
              <w:spacing w:line="276" w:lineRule="auto"/>
              <w:rPr>
                <w:rFonts w:cstheme="minorHAnsi"/>
                <w:b/>
                <w:bCs/>
                <w:color w:val="5009B5"/>
                <w:sz w:val="16"/>
                <w:szCs w:val="16"/>
              </w:rPr>
            </w:pPr>
            <w:r w:rsidRPr="005A00B8">
              <w:rPr>
                <w:rFonts w:cstheme="minorHAnsi"/>
                <w:b/>
                <w:bCs/>
                <w:color w:val="5009B5"/>
                <w:sz w:val="16"/>
                <w:szCs w:val="16"/>
              </w:rPr>
              <w:t>1. Research question:</w:t>
            </w:r>
          </w:p>
        </w:tc>
        <w:tc>
          <w:tcPr>
            <w:tcW w:w="6570" w:type="dxa"/>
          </w:tcPr>
          <w:p w14:paraId="050AB758" w14:textId="5B026FEB" w:rsidR="00206995" w:rsidRPr="005A00B8" w:rsidRDefault="00206995" w:rsidP="00206995">
            <w:pPr>
              <w:spacing w:line="276" w:lineRule="auto"/>
              <w:ind w:right="144"/>
              <w:rPr>
                <w:rFonts w:cstheme="minorHAnsi"/>
                <w:sz w:val="16"/>
                <w:szCs w:val="16"/>
              </w:rPr>
            </w:pPr>
            <w:r>
              <w:rPr>
                <w:rFonts w:cstheme="minorHAnsi"/>
                <w:sz w:val="16"/>
                <w:szCs w:val="16"/>
              </w:rPr>
              <w:t xml:space="preserve">Altman 2015; </w:t>
            </w:r>
            <w:r w:rsidRPr="00EC20DE">
              <w:rPr>
                <w:rFonts w:cstheme="minorHAnsi"/>
                <w:sz w:val="16"/>
                <w:szCs w:val="16"/>
              </w:rPr>
              <w:t>Galea</w:t>
            </w:r>
            <w:r>
              <w:rPr>
                <w:rFonts w:cstheme="minorHAnsi"/>
                <w:sz w:val="16"/>
                <w:szCs w:val="16"/>
              </w:rPr>
              <w:t xml:space="preserve"> </w:t>
            </w:r>
            <w:r w:rsidRPr="00EC20DE">
              <w:rPr>
                <w:rFonts w:cstheme="minorHAnsi"/>
                <w:sz w:val="16"/>
                <w:szCs w:val="16"/>
              </w:rPr>
              <w:t>2018</w:t>
            </w:r>
            <w:r>
              <w:rPr>
                <w:rFonts w:cstheme="minorHAnsi"/>
                <w:sz w:val="16"/>
                <w:szCs w:val="16"/>
              </w:rPr>
              <w:t xml:space="preserve">; </w:t>
            </w:r>
            <w:r w:rsidRPr="00EC20DE">
              <w:rPr>
                <w:rFonts w:cstheme="minorHAnsi"/>
                <w:sz w:val="16"/>
                <w:szCs w:val="16"/>
              </w:rPr>
              <w:t>Hern</w:t>
            </w:r>
            <w:r w:rsidR="00DB7ADB">
              <w:rPr>
                <w:rFonts w:cstheme="minorHAnsi"/>
                <w:sz w:val="16"/>
                <w:szCs w:val="16"/>
              </w:rPr>
              <w:t>a</w:t>
            </w:r>
            <w:r w:rsidRPr="00EC20DE">
              <w:rPr>
                <w:rFonts w:cstheme="minorHAnsi"/>
                <w:sz w:val="16"/>
                <w:szCs w:val="16"/>
              </w:rPr>
              <w:t>n 2018</w:t>
            </w:r>
          </w:p>
        </w:tc>
      </w:tr>
      <w:tr w:rsidR="00206995" w:rsidRPr="005A00B8" w14:paraId="198A9D36" w14:textId="696A6BAE" w:rsidTr="00206995">
        <w:tc>
          <w:tcPr>
            <w:tcW w:w="2700" w:type="dxa"/>
            <w:shd w:val="clear" w:color="auto" w:fill="auto"/>
          </w:tcPr>
          <w:p w14:paraId="3A9290CE" w14:textId="00CCBD7D" w:rsidR="00206995" w:rsidRPr="005A00B8" w:rsidRDefault="00206995" w:rsidP="007026FE">
            <w:pPr>
              <w:spacing w:line="276" w:lineRule="auto"/>
              <w:rPr>
                <w:rFonts w:cstheme="minorHAnsi"/>
                <w:b/>
                <w:bCs/>
                <w:color w:val="5009B5"/>
                <w:sz w:val="16"/>
                <w:szCs w:val="16"/>
              </w:rPr>
            </w:pPr>
            <w:r w:rsidRPr="005A00B8">
              <w:rPr>
                <w:rFonts w:cstheme="minorHAnsi"/>
                <w:b/>
                <w:bCs/>
                <w:color w:val="5009B5"/>
                <w:sz w:val="16"/>
                <w:szCs w:val="16"/>
              </w:rPr>
              <w:t>2. Effect in whom?</w:t>
            </w:r>
          </w:p>
        </w:tc>
        <w:tc>
          <w:tcPr>
            <w:tcW w:w="6570" w:type="dxa"/>
          </w:tcPr>
          <w:p w14:paraId="23CA0E12" w14:textId="1A53E4C5" w:rsidR="00206995" w:rsidRPr="005A00B8" w:rsidRDefault="00206995" w:rsidP="004C66F2">
            <w:pPr>
              <w:spacing w:line="276" w:lineRule="auto"/>
              <w:rPr>
                <w:rFonts w:cstheme="minorHAnsi"/>
                <w:sz w:val="16"/>
                <w:szCs w:val="16"/>
              </w:rPr>
            </w:pPr>
            <w:r>
              <w:rPr>
                <w:rFonts w:cstheme="minorHAnsi"/>
                <w:sz w:val="16"/>
                <w:szCs w:val="16"/>
              </w:rPr>
              <w:t xml:space="preserve">Garrido 2016; Little 2021; </w:t>
            </w:r>
            <w:r w:rsidRPr="00EC20DE">
              <w:rPr>
                <w:rFonts w:cstheme="minorHAnsi"/>
                <w:sz w:val="16"/>
                <w:szCs w:val="16"/>
              </w:rPr>
              <w:t>Wang</w:t>
            </w:r>
            <w:r w:rsidR="00DB7ADB">
              <w:rPr>
                <w:rFonts w:cstheme="minorHAnsi"/>
                <w:sz w:val="16"/>
                <w:szCs w:val="16"/>
              </w:rPr>
              <w:t xml:space="preserve"> </w:t>
            </w:r>
            <w:r w:rsidRPr="00EC20DE">
              <w:rPr>
                <w:rFonts w:cstheme="minorHAnsi"/>
                <w:sz w:val="16"/>
                <w:szCs w:val="16"/>
              </w:rPr>
              <w:t>2017</w:t>
            </w:r>
          </w:p>
        </w:tc>
      </w:tr>
      <w:tr w:rsidR="00206995" w:rsidRPr="005A00B8" w14:paraId="231F9182" w14:textId="6CA877F8" w:rsidTr="00206995">
        <w:tc>
          <w:tcPr>
            <w:tcW w:w="2700" w:type="dxa"/>
            <w:shd w:val="clear" w:color="auto" w:fill="auto"/>
          </w:tcPr>
          <w:p w14:paraId="75BDDDD5" w14:textId="0EF7058E" w:rsidR="00206995" w:rsidRPr="005A00B8" w:rsidRDefault="00206995" w:rsidP="007026FE">
            <w:pPr>
              <w:spacing w:line="276" w:lineRule="auto"/>
              <w:rPr>
                <w:rFonts w:cstheme="minorHAnsi"/>
                <w:b/>
                <w:bCs/>
                <w:color w:val="5009B5"/>
                <w:sz w:val="16"/>
                <w:szCs w:val="16"/>
              </w:rPr>
            </w:pPr>
            <w:r w:rsidRPr="005A00B8">
              <w:rPr>
                <w:rFonts w:cstheme="minorHAnsi"/>
                <w:b/>
                <w:bCs/>
                <w:color w:val="5009B5"/>
                <w:sz w:val="16"/>
                <w:szCs w:val="16"/>
              </w:rPr>
              <w:t>3. What kind of effect(s)?</w:t>
            </w:r>
          </w:p>
        </w:tc>
        <w:tc>
          <w:tcPr>
            <w:tcW w:w="6570" w:type="dxa"/>
          </w:tcPr>
          <w:p w14:paraId="0FF41D95" w14:textId="754C6DD2" w:rsidR="00206995" w:rsidRPr="005A00B8" w:rsidRDefault="00206995" w:rsidP="004C3391">
            <w:pPr>
              <w:spacing w:line="276" w:lineRule="auto"/>
              <w:rPr>
                <w:rFonts w:cstheme="minorHAnsi"/>
                <w:sz w:val="16"/>
                <w:szCs w:val="16"/>
              </w:rPr>
            </w:pPr>
            <w:proofErr w:type="spellStart"/>
            <w:r w:rsidRPr="00FC79D7">
              <w:rPr>
                <w:rFonts w:cstheme="minorHAnsi"/>
                <w:sz w:val="16"/>
                <w:szCs w:val="16"/>
              </w:rPr>
              <w:t>Danaei</w:t>
            </w:r>
            <w:proofErr w:type="spellEnd"/>
            <w:r w:rsidRPr="00FC79D7">
              <w:rPr>
                <w:rFonts w:cstheme="minorHAnsi"/>
                <w:sz w:val="16"/>
                <w:szCs w:val="16"/>
              </w:rPr>
              <w:t xml:space="preserve"> 2013; </w:t>
            </w:r>
            <w:r>
              <w:rPr>
                <w:rFonts w:cstheme="minorHAnsi"/>
                <w:sz w:val="16"/>
                <w:szCs w:val="16"/>
              </w:rPr>
              <w:t xml:space="preserve">Hernan 2012; Smith 2021; Kahan 2023; </w:t>
            </w:r>
            <w:r w:rsidRPr="004C66F2">
              <w:rPr>
                <w:rFonts w:cstheme="minorHAnsi"/>
                <w:sz w:val="16"/>
                <w:szCs w:val="16"/>
              </w:rPr>
              <w:t>Lund</w:t>
            </w:r>
            <w:r w:rsidR="00DB7ADB">
              <w:rPr>
                <w:rFonts w:cstheme="minorHAnsi"/>
                <w:sz w:val="16"/>
                <w:szCs w:val="16"/>
              </w:rPr>
              <w:t xml:space="preserve"> </w:t>
            </w:r>
            <w:r w:rsidRPr="004C66F2">
              <w:rPr>
                <w:rFonts w:cstheme="minorHAnsi"/>
                <w:sz w:val="16"/>
                <w:szCs w:val="16"/>
              </w:rPr>
              <w:t>2015</w:t>
            </w:r>
            <w:r>
              <w:rPr>
                <w:rFonts w:cstheme="minorHAnsi"/>
                <w:sz w:val="16"/>
                <w:szCs w:val="16"/>
              </w:rPr>
              <w:t xml:space="preserve">; </w:t>
            </w:r>
            <w:r w:rsidRPr="00FC79D7">
              <w:rPr>
                <w:rFonts w:cstheme="minorHAnsi"/>
                <w:sz w:val="16"/>
                <w:szCs w:val="16"/>
              </w:rPr>
              <w:t>Yang 2014</w:t>
            </w:r>
          </w:p>
        </w:tc>
      </w:tr>
      <w:tr w:rsidR="00206995" w:rsidRPr="005A00B8" w14:paraId="4A18E90F" w14:textId="65A87DA2" w:rsidTr="00206995">
        <w:tc>
          <w:tcPr>
            <w:tcW w:w="2700" w:type="dxa"/>
            <w:shd w:val="clear" w:color="auto" w:fill="auto"/>
          </w:tcPr>
          <w:p w14:paraId="0D1DDA6F" w14:textId="602CFFF8" w:rsidR="00206995" w:rsidRPr="005A00B8" w:rsidRDefault="00206995" w:rsidP="007026FE">
            <w:pPr>
              <w:spacing w:line="276" w:lineRule="auto"/>
              <w:rPr>
                <w:rFonts w:cstheme="minorHAnsi"/>
                <w:b/>
                <w:bCs/>
                <w:color w:val="5009B5"/>
                <w:sz w:val="16"/>
                <w:szCs w:val="16"/>
              </w:rPr>
            </w:pPr>
            <w:r w:rsidRPr="005A00B8">
              <w:rPr>
                <w:rFonts w:cstheme="minorHAnsi"/>
                <w:b/>
                <w:bCs/>
                <w:color w:val="5009B5"/>
                <w:sz w:val="16"/>
                <w:szCs w:val="16"/>
              </w:rPr>
              <w:t>4. Measure(s) of effect?</w:t>
            </w:r>
          </w:p>
        </w:tc>
        <w:tc>
          <w:tcPr>
            <w:tcW w:w="6570" w:type="dxa"/>
          </w:tcPr>
          <w:p w14:paraId="4D517C43" w14:textId="2B5511FF" w:rsidR="00206995" w:rsidRPr="005A00B8" w:rsidRDefault="00206995" w:rsidP="004C3391">
            <w:pPr>
              <w:spacing w:line="276" w:lineRule="auto"/>
              <w:rPr>
                <w:rFonts w:cstheme="minorHAnsi"/>
                <w:sz w:val="16"/>
                <w:szCs w:val="16"/>
              </w:rPr>
            </w:pPr>
            <w:r w:rsidRPr="001B392B">
              <w:rPr>
                <w:rFonts w:cstheme="minorHAnsi"/>
                <w:sz w:val="16"/>
                <w:szCs w:val="16"/>
              </w:rPr>
              <w:t>Rothman</w:t>
            </w:r>
            <w:r w:rsidR="00DB7ADB">
              <w:rPr>
                <w:rFonts w:cstheme="minorHAnsi"/>
                <w:sz w:val="16"/>
                <w:szCs w:val="16"/>
              </w:rPr>
              <w:t xml:space="preserve"> </w:t>
            </w:r>
            <w:r w:rsidRPr="001B392B">
              <w:rPr>
                <w:rFonts w:cstheme="minorHAnsi"/>
                <w:sz w:val="16"/>
                <w:szCs w:val="16"/>
              </w:rPr>
              <w:t>2008</w:t>
            </w:r>
            <w:r>
              <w:rPr>
                <w:rFonts w:cstheme="minorHAnsi"/>
                <w:sz w:val="16"/>
                <w:szCs w:val="16"/>
              </w:rPr>
              <w:t xml:space="preserve">; </w:t>
            </w:r>
            <w:proofErr w:type="spellStart"/>
            <w:r w:rsidRPr="001B392B">
              <w:rPr>
                <w:rFonts w:cstheme="minorHAnsi"/>
                <w:sz w:val="16"/>
                <w:szCs w:val="16"/>
              </w:rPr>
              <w:t>Tripepi</w:t>
            </w:r>
            <w:proofErr w:type="spellEnd"/>
            <w:r w:rsidRPr="001B392B">
              <w:rPr>
                <w:rFonts w:cstheme="minorHAnsi"/>
                <w:sz w:val="16"/>
                <w:szCs w:val="16"/>
              </w:rPr>
              <w:t xml:space="preserve"> 2007</w:t>
            </w:r>
          </w:p>
        </w:tc>
      </w:tr>
      <w:tr w:rsidR="00206995" w:rsidRPr="005A00B8" w14:paraId="28E6193D" w14:textId="75DF9B79" w:rsidTr="00206995">
        <w:tc>
          <w:tcPr>
            <w:tcW w:w="2700" w:type="dxa"/>
            <w:shd w:val="clear" w:color="auto" w:fill="auto"/>
          </w:tcPr>
          <w:p w14:paraId="38B1D2AB" w14:textId="29D29D04" w:rsidR="00206995" w:rsidRPr="005A00B8" w:rsidRDefault="00206995" w:rsidP="00DC0050">
            <w:pPr>
              <w:spacing w:line="276" w:lineRule="auto"/>
              <w:ind w:left="160" w:hanging="180"/>
              <w:rPr>
                <w:rFonts w:cstheme="minorHAnsi"/>
                <w:b/>
                <w:bCs/>
                <w:color w:val="5009B5"/>
                <w:sz w:val="16"/>
                <w:szCs w:val="16"/>
              </w:rPr>
            </w:pPr>
            <w:r w:rsidRPr="005A00B8">
              <w:rPr>
                <w:rFonts w:cstheme="minorHAnsi"/>
                <w:b/>
                <w:bCs/>
                <w:color w:val="5009B5"/>
                <w:sz w:val="16"/>
                <w:szCs w:val="16"/>
              </w:rPr>
              <w:t>5. Draw a directed acyclic graph (DAG)</w:t>
            </w:r>
          </w:p>
        </w:tc>
        <w:tc>
          <w:tcPr>
            <w:tcW w:w="6570" w:type="dxa"/>
          </w:tcPr>
          <w:p w14:paraId="18EBCB61" w14:textId="335F9282" w:rsidR="00206995" w:rsidRPr="005A00B8" w:rsidRDefault="00206995" w:rsidP="00DB7ADB">
            <w:pPr>
              <w:spacing w:line="276" w:lineRule="auto"/>
              <w:rPr>
                <w:rFonts w:cstheme="minorHAnsi"/>
                <w:sz w:val="16"/>
                <w:szCs w:val="16"/>
              </w:rPr>
            </w:pPr>
            <w:proofErr w:type="spellStart"/>
            <w:r w:rsidRPr="00D01C7E">
              <w:rPr>
                <w:rFonts w:cstheme="minorHAnsi"/>
                <w:sz w:val="16"/>
                <w:szCs w:val="16"/>
              </w:rPr>
              <w:t>Digitale</w:t>
            </w:r>
            <w:proofErr w:type="spellEnd"/>
            <w:r w:rsidR="00DB7ADB">
              <w:rPr>
                <w:rFonts w:cstheme="minorHAnsi"/>
                <w:sz w:val="16"/>
                <w:szCs w:val="16"/>
              </w:rPr>
              <w:t xml:space="preserve"> </w:t>
            </w:r>
            <w:r w:rsidRPr="00D01C7E">
              <w:rPr>
                <w:rFonts w:cstheme="minorHAnsi"/>
                <w:sz w:val="16"/>
                <w:szCs w:val="16"/>
              </w:rPr>
              <w:t>2022; Ferguson 2020;</w:t>
            </w:r>
            <w:r w:rsidR="00DB7ADB">
              <w:rPr>
                <w:rFonts w:cstheme="minorHAnsi"/>
                <w:sz w:val="16"/>
                <w:szCs w:val="16"/>
              </w:rPr>
              <w:t xml:space="preserve"> </w:t>
            </w:r>
            <w:r w:rsidRPr="00D01C7E">
              <w:rPr>
                <w:rFonts w:cstheme="minorHAnsi"/>
                <w:sz w:val="16"/>
                <w:szCs w:val="16"/>
              </w:rPr>
              <w:t xml:space="preserve">Griffith 2020; Pearl 1995; </w:t>
            </w:r>
            <w:proofErr w:type="spellStart"/>
            <w:r w:rsidRPr="00D01C7E">
              <w:rPr>
                <w:rFonts w:cstheme="minorHAnsi"/>
                <w:sz w:val="16"/>
                <w:szCs w:val="16"/>
              </w:rPr>
              <w:t>Richiardi</w:t>
            </w:r>
            <w:proofErr w:type="spellEnd"/>
            <w:r w:rsidR="00DB7ADB">
              <w:rPr>
                <w:rFonts w:cstheme="minorHAnsi"/>
                <w:sz w:val="16"/>
                <w:szCs w:val="16"/>
              </w:rPr>
              <w:t xml:space="preserve"> </w:t>
            </w:r>
            <w:r w:rsidRPr="00D01C7E">
              <w:rPr>
                <w:rFonts w:cstheme="minorHAnsi"/>
                <w:sz w:val="16"/>
                <w:szCs w:val="16"/>
              </w:rPr>
              <w:t>2013; Rodrigues 2022</w:t>
            </w:r>
          </w:p>
        </w:tc>
      </w:tr>
      <w:tr w:rsidR="00206995" w:rsidRPr="005A00B8" w14:paraId="6E9A8E10" w14:textId="5C625892" w:rsidTr="00206995">
        <w:tc>
          <w:tcPr>
            <w:tcW w:w="2700" w:type="dxa"/>
            <w:shd w:val="clear" w:color="auto" w:fill="auto"/>
          </w:tcPr>
          <w:p w14:paraId="1E62FA33" w14:textId="7A9B9A4B" w:rsidR="00206995" w:rsidRPr="005A00B8" w:rsidRDefault="00206995" w:rsidP="00F706CD">
            <w:pPr>
              <w:spacing w:line="276" w:lineRule="auto"/>
              <w:ind w:left="160" w:hanging="180"/>
              <w:rPr>
                <w:rFonts w:cstheme="minorHAnsi"/>
                <w:b/>
                <w:bCs/>
                <w:color w:val="5009B5"/>
                <w:sz w:val="16"/>
                <w:szCs w:val="16"/>
              </w:rPr>
            </w:pPr>
            <w:r w:rsidRPr="005A00B8">
              <w:rPr>
                <w:rFonts w:cstheme="minorHAnsi"/>
                <w:b/>
                <w:bCs/>
                <w:color w:val="5009B5"/>
                <w:sz w:val="16"/>
                <w:szCs w:val="16"/>
              </w:rPr>
              <w:t>6. Biases</w:t>
            </w:r>
          </w:p>
        </w:tc>
        <w:tc>
          <w:tcPr>
            <w:tcW w:w="6570" w:type="dxa"/>
          </w:tcPr>
          <w:p w14:paraId="4589AF77" w14:textId="13D415FA" w:rsidR="00206995" w:rsidRDefault="00206995" w:rsidP="00206995">
            <w:pPr>
              <w:spacing w:line="276" w:lineRule="auto"/>
              <w:rPr>
                <w:rFonts w:eastAsia="MS Gothic" w:cstheme="minorHAnsi"/>
                <w:sz w:val="16"/>
                <w:szCs w:val="16"/>
              </w:rPr>
            </w:pPr>
            <w:r w:rsidRPr="001B392B">
              <w:rPr>
                <w:rFonts w:eastAsia="MS Gothic" w:cstheme="minorHAnsi"/>
                <w:sz w:val="16"/>
                <w:szCs w:val="16"/>
              </w:rPr>
              <w:t>Overview</w:t>
            </w:r>
            <w:r>
              <w:rPr>
                <w:rFonts w:eastAsia="MS Gothic" w:cstheme="minorHAnsi"/>
                <w:sz w:val="16"/>
                <w:szCs w:val="16"/>
              </w:rPr>
              <w:t>s</w:t>
            </w:r>
            <w:r w:rsidRPr="001B392B">
              <w:rPr>
                <w:rFonts w:eastAsia="MS Gothic" w:cstheme="minorHAnsi"/>
                <w:sz w:val="16"/>
                <w:szCs w:val="16"/>
              </w:rPr>
              <w:t>: Prada-</w:t>
            </w:r>
            <w:proofErr w:type="spellStart"/>
            <w:r w:rsidRPr="001B392B">
              <w:rPr>
                <w:rFonts w:eastAsia="MS Gothic" w:cstheme="minorHAnsi"/>
                <w:sz w:val="16"/>
                <w:szCs w:val="16"/>
              </w:rPr>
              <w:t>Ramallal</w:t>
            </w:r>
            <w:proofErr w:type="spellEnd"/>
            <w:r w:rsidR="00DB7ADB">
              <w:rPr>
                <w:rFonts w:eastAsia="MS Gothic" w:cstheme="minorHAnsi"/>
                <w:sz w:val="16"/>
                <w:szCs w:val="16"/>
              </w:rPr>
              <w:t xml:space="preserve"> </w:t>
            </w:r>
            <w:r w:rsidRPr="001B392B">
              <w:rPr>
                <w:rFonts w:eastAsia="MS Gothic" w:cstheme="minorHAnsi"/>
                <w:sz w:val="16"/>
                <w:szCs w:val="16"/>
              </w:rPr>
              <w:t>2019</w:t>
            </w:r>
            <w:r>
              <w:rPr>
                <w:rFonts w:eastAsia="MS Gothic" w:cstheme="minorHAnsi"/>
                <w:sz w:val="16"/>
                <w:szCs w:val="16"/>
              </w:rPr>
              <w:t xml:space="preserve">; Catalogue of bias: </w:t>
            </w:r>
            <w:hyperlink r:id="rId8" w:history="1">
              <w:r w:rsidRPr="00065E1C">
                <w:rPr>
                  <w:rStyle w:val="Hyperlink"/>
                  <w:rFonts w:eastAsia="MS Gothic" w:cstheme="minorHAnsi"/>
                  <w:sz w:val="16"/>
                  <w:szCs w:val="16"/>
                </w:rPr>
                <w:t>https://catalogofbias.org/</w:t>
              </w:r>
            </w:hyperlink>
            <w:r>
              <w:rPr>
                <w:rFonts w:eastAsia="MS Gothic" w:cstheme="minorHAnsi"/>
                <w:sz w:val="16"/>
                <w:szCs w:val="16"/>
              </w:rPr>
              <w:t xml:space="preserve"> [Accessed 28 Feb 2024]</w:t>
            </w:r>
            <w:r w:rsidR="00DB7ADB">
              <w:rPr>
                <w:rFonts w:eastAsia="MS Gothic" w:cstheme="minorHAnsi"/>
                <w:sz w:val="16"/>
                <w:szCs w:val="16"/>
              </w:rPr>
              <w:t>; Acton 2023</w:t>
            </w:r>
          </w:p>
          <w:p w14:paraId="7F4D0CEC" w14:textId="447EE522" w:rsidR="00206995" w:rsidRDefault="00206995" w:rsidP="00206995">
            <w:pPr>
              <w:spacing w:line="276" w:lineRule="auto"/>
              <w:rPr>
                <w:rFonts w:eastAsia="MS Gothic" w:cstheme="minorHAnsi"/>
                <w:sz w:val="16"/>
                <w:szCs w:val="16"/>
              </w:rPr>
            </w:pPr>
            <w:r>
              <w:rPr>
                <w:rFonts w:eastAsia="MS Gothic" w:cstheme="minorHAnsi"/>
                <w:sz w:val="16"/>
                <w:szCs w:val="16"/>
              </w:rPr>
              <w:t xml:space="preserve">Assessment tool: </w:t>
            </w:r>
            <w:r w:rsidRPr="00E9749B">
              <w:rPr>
                <w:rFonts w:eastAsia="MS Gothic" w:cstheme="minorHAnsi"/>
                <w:sz w:val="16"/>
                <w:szCs w:val="16"/>
              </w:rPr>
              <w:t>Sterne JA</w:t>
            </w:r>
            <w:r>
              <w:rPr>
                <w:rFonts w:eastAsia="MS Gothic" w:cstheme="minorHAnsi"/>
                <w:sz w:val="16"/>
                <w:szCs w:val="16"/>
              </w:rPr>
              <w:t xml:space="preserve"> 2016</w:t>
            </w:r>
          </w:p>
          <w:p w14:paraId="49F5C327" w14:textId="77777777" w:rsidR="00206995" w:rsidRDefault="00206995" w:rsidP="00206995">
            <w:pPr>
              <w:spacing w:line="276" w:lineRule="auto"/>
              <w:rPr>
                <w:rFonts w:eastAsia="MS Gothic" w:cstheme="minorHAnsi"/>
                <w:sz w:val="16"/>
                <w:szCs w:val="16"/>
              </w:rPr>
            </w:pPr>
            <w:r>
              <w:rPr>
                <w:rFonts w:eastAsia="MS Gothic" w:cstheme="minorHAnsi"/>
                <w:sz w:val="16"/>
                <w:szCs w:val="16"/>
              </w:rPr>
              <w:t>Channeling bias: Petri 1991</w:t>
            </w:r>
          </w:p>
          <w:p w14:paraId="744C8E19" w14:textId="77777777" w:rsidR="00206995" w:rsidRDefault="00206995" w:rsidP="00206995">
            <w:pPr>
              <w:spacing w:line="276" w:lineRule="auto"/>
              <w:rPr>
                <w:rFonts w:eastAsia="MS Gothic" w:cstheme="minorHAnsi"/>
                <w:sz w:val="16"/>
                <w:szCs w:val="16"/>
              </w:rPr>
            </w:pPr>
            <w:r>
              <w:rPr>
                <w:rFonts w:eastAsia="MS Gothic" w:cstheme="minorHAnsi"/>
                <w:sz w:val="16"/>
                <w:szCs w:val="16"/>
              </w:rPr>
              <w:t>Confounding: Jager 2008, Ding 2023</w:t>
            </w:r>
          </w:p>
          <w:p w14:paraId="37F45A9B" w14:textId="77777777" w:rsidR="00206995" w:rsidRDefault="00206995" w:rsidP="00206995">
            <w:pPr>
              <w:spacing w:line="276" w:lineRule="auto"/>
              <w:rPr>
                <w:rFonts w:eastAsia="MS Gothic" w:cstheme="minorHAnsi"/>
                <w:sz w:val="16"/>
                <w:szCs w:val="16"/>
              </w:rPr>
            </w:pPr>
            <w:r>
              <w:rPr>
                <w:rFonts w:eastAsia="MS Gothic" w:cstheme="minorHAnsi"/>
                <w:sz w:val="16"/>
                <w:szCs w:val="16"/>
              </w:rPr>
              <w:t>Healthy Adherer bias: Shrank 2011</w:t>
            </w:r>
          </w:p>
          <w:p w14:paraId="3444BA29" w14:textId="486A1A5B" w:rsidR="00206995" w:rsidRDefault="00206995" w:rsidP="00206995">
            <w:pPr>
              <w:spacing w:line="276" w:lineRule="auto"/>
              <w:rPr>
                <w:rFonts w:eastAsia="MS Gothic" w:cstheme="minorHAnsi"/>
                <w:sz w:val="16"/>
                <w:szCs w:val="16"/>
              </w:rPr>
            </w:pPr>
            <w:r>
              <w:rPr>
                <w:rFonts w:eastAsia="MS Gothic" w:cstheme="minorHAnsi"/>
                <w:sz w:val="16"/>
                <w:szCs w:val="16"/>
              </w:rPr>
              <w:t xml:space="preserve">Time-related biases: </w:t>
            </w:r>
            <w:r w:rsidR="00DB7ADB">
              <w:rPr>
                <w:rFonts w:eastAsia="MS Gothic" w:cstheme="minorHAnsi"/>
                <w:sz w:val="16"/>
                <w:szCs w:val="16"/>
              </w:rPr>
              <w:t xml:space="preserve">Levesque 2010, </w:t>
            </w:r>
            <w:r>
              <w:rPr>
                <w:rFonts w:eastAsia="MS Gothic" w:cstheme="minorHAnsi"/>
                <w:sz w:val="16"/>
                <w:szCs w:val="16"/>
              </w:rPr>
              <w:t>Suissa 2020</w:t>
            </w:r>
          </w:p>
          <w:p w14:paraId="5625437A" w14:textId="4BA6862B" w:rsidR="00206995" w:rsidRPr="001B392B" w:rsidRDefault="00206995" w:rsidP="00206995">
            <w:pPr>
              <w:spacing w:line="276" w:lineRule="auto"/>
              <w:rPr>
                <w:rFonts w:cstheme="minorHAnsi"/>
                <w:sz w:val="16"/>
                <w:szCs w:val="16"/>
              </w:rPr>
            </w:pPr>
            <w:r>
              <w:rPr>
                <w:rFonts w:eastAsia="MS Gothic" w:cstheme="minorHAnsi"/>
                <w:sz w:val="16"/>
                <w:szCs w:val="16"/>
              </w:rPr>
              <w:t>Informative censoring: Clark 2003, Howe 2011</w:t>
            </w:r>
          </w:p>
        </w:tc>
      </w:tr>
      <w:tr w:rsidR="00206995" w:rsidRPr="005A00B8" w14:paraId="0ED2E9D9" w14:textId="6F851AA2" w:rsidTr="00206995">
        <w:tc>
          <w:tcPr>
            <w:tcW w:w="2700" w:type="dxa"/>
            <w:shd w:val="clear" w:color="auto" w:fill="auto"/>
          </w:tcPr>
          <w:p w14:paraId="3A48E77C" w14:textId="31F0D13E" w:rsidR="00206995" w:rsidRPr="005A00B8" w:rsidRDefault="00206995" w:rsidP="00F706CD">
            <w:pPr>
              <w:spacing w:line="276" w:lineRule="auto"/>
              <w:ind w:left="160" w:hanging="160"/>
              <w:rPr>
                <w:rFonts w:cstheme="minorHAnsi"/>
                <w:b/>
                <w:bCs/>
                <w:color w:val="5009B5"/>
                <w:sz w:val="16"/>
                <w:szCs w:val="16"/>
              </w:rPr>
            </w:pPr>
            <w:r w:rsidRPr="005A00B8">
              <w:rPr>
                <w:rFonts w:cstheme="minorHAnsi"/>
                <w:b/>
                <w:bCs/>
                <w:color w:val="5009B5"/>
                <w:sz w:val="16"/>
                <w:szCs w:val="16"/>
              </w:rPr>
              <w:t>7. Solutions</w:t>
            </w:r>
          </w:p>
        </w:tc>
        <w:tc>
          <w:tcPr>
            <w:tcW w:w="6570" w:type="dxa"/>
          </w:tcPr>
          <w:p w14:paraId="309A1F0B" w14:textId="51E76323" w:rsidR="00206995" w:rsidRDefault="00206995" w:rsidP="004C3391">
            <w:pPr>
              <w:spacing w:line="276" w:lineRule="auto"/>
              <w:rPr>
                <w:rFonts w:cstheme="minorHAnsi"/>
                <w:sz w:val="16"/>
                <w:szCs w:val="16"/>
              </w:rPr>
            </w:pPr>
            <w:r>
              <w:rPr>
                <w:rFonts w:cstheme="minorHAnsi"/>
                <w:sz w:val="16"/>
                <w:szCs w:val="16"/>
              </w:rPr>
              <w:t xml:space="preserve">Target trial: </w:t>
            </w:r>
            <w:r w:rsidRPr="00482B5A">
              <w:rPr>
                <w:rFonts w:cstheme="minorHAnsi"/>
                <w:sz w:val="16"/>
                <w:szCs w:val="16"/>
              </w:rPr>
              <w:t>Hern</w:t>
            </w:r>
            <w:r w:rsidR="00DB7ADB">
              <w:rPr>
                <w:rFonts w:cstheme="minorHAnsi"/>
                <w:sz w:val="16"/>
                <w:szCs w:val="16"/>
              </w:rPr>
              <w:t>an</w:t>
            </w:r>
            <w:r w:rsidRPr="00482B5A">
              <w:rPr>
                <w:rFonts w:cstheme="minorHAnsi"/>
                <w:sz w:val="16"/>
                <w:szCs w:val="16"/>
              </w:rPr>
              <w:t xml:space="preserve"> 2016</w:t>
            </w:r>
            <w:r>
              <w:rPr>
                <w:rFonts w:cstheme="minorHAnsi"/>
                <w:sz w:val="16"/>
                <w:szCs w:val="16"/>
              </w:rPr>
              <w:t xml:space="preserve">; </w:t>
            </w:r>
            <w:r w:rsidRPr="00A0582A">
              <w:rPr>
                <w:rFonts w:cstheme="minorHAnsi"/>
                <w:sz w:val="16"/>
                <w:szCs w:val="16"/>
              </w:rPr>
              <w:t>Labrecque 2017</w:t>
            </w:r>
          </w:p>
          <w:p w14:paraId="6D77E58A" w14:textId="1880F79B" w:rsidR="00206995" w:rsidRDefault="00206995" w:rsidP="004C3391">
            <w:pPr>
              <w:spacing w:line="276" w:lineRule="auto"/>
              <w:rPr>
                <w:rFonts w:cstheme="minorHAnsi"/>
                <w:sz w:val="16"/>
                <w:szCs w:val="16"/>
              </w:rPr>
            </w:pPr>
            <w:r w:rsidRPr="00D01C7E">
              <w:rPr>
                <w:rFonts w:cstheme="minorHAnsi"/>
                <w:sz w:val="16"/>
                <w:szCs w:val="16"/>
              </w:rPr>
              <w:t>Study design visualization:</w:t>
            </w:r>
            <w:r>
              <w:rPr>
                <w:rFonts w:cstheme="minorHAnsi"/>
                <w:sz w:val="16"/>
                <w:szCs w:val="16"/>
              </w:rPr>
              <w:t xml:space="preserve"> </w:t>
            </w:r>
            <w:r w:rsidRPr="00D01C7E">
              <w:rPr>
                <w:rFonts w:cstheme="minorHAnsi"/>
                <w:sz w:val="16"/>
                <w:szCs w:val="16"/>
              </w:rPr>
              <w:t>Schneeweiss 2019</w:t>
            </w:r>
          </w:p>
          <w:p w14:paraId="73540ABD" w14:textId="26A7B7C6" w:rsidR="00206995" w:rsidRDefault="00206995" w:rsidP="004C3391">
            <w:pPr>
              <w:spacing w:line="276" w:lineRule="auto"/>
              <w:rPr>
                <w:rFonts w:cstheme="minorHAnsi"/>
                <w:sz w:val="16"/>
                <w:szCs w:val="16"/>
              </w:rPr>
            </w:pPr>
            <w:proofErr w:type="spellStart"/>
            <w:r>
              <w:rPr>
                <w:rFonts w:cstheme="minorHAnsi"/>
                <w:sz w:val="16"/>
                <w:szCs w:val="16"/>
              </w:rPr>
              <w:t>D</w:t>
            </w:r>
            <w:r w:rsidR="00090E13">
              <w:rPr>
                <w:rFonts w:cstheme="minorHAnsi"/>
                <w:sz w:val="16"/>
                <w:szCs w:val="16"/>
              </w:rPr>
              <w:t>i</w:t>
            </w:r>
            <w:r>
              <w:rPr>
                <w:rFonts w:cstheme="minorHAnsi"/>
                <w:sz w:val="16"/>
                <w:szCs w:val="16"/>
              </w:rPr>
              <w:t>D</w:t>
            </w:r>
            <w:proofErr w:type="spellEnd"/>
            <w:r>
              <w:rPr>
                <w:rFonts w:cstheme="minorHAnsi"/>
                <w:sz w:val="16"/>
                <w:szCs w:val="16"/>
              </w:rPr>
              <w:t xml:space="preserve">: </w:t>
            </w:r>
            <w:r w:rsidRPr="00A0582A">
              <w:rPr>
                <w:rFonts w:cstheme="minorHAnsi"/>
                <w:sz w:val="16"/>
                <w:szCs w:val="16"/>
              </w:rPr>
              <w:t>Zhou 2016</w:t>
            </w:r>
          </w:p>
          <w:p w14:paraId="7A2CE965" w14:textId="1A0D3C68" w:rsidR="00206995" w:rsidRDefault="00206995" w:rsidP="00206995">
            <w:pPr>
              <w:spacing w:line="276" w:lineRule="auto"/>
              <w:ind w:right="144"/>
              <w:rPr>
                <w:rFonts w:cstheme="minorHAnsi"/>
                <w:sz w:val="16"/>
                <w:szCs w:val="16"/>
              </w:rPr>
            </w:pPr>
            <w:r>
              <w:rPr>
                <w:rFonts w:cstheme="minorHAnsi"/>
                <w:sz w:val="16"/>
                <w:szCs w:val="16"/>
              </w:rPr>
              <w:t>A</w:t>
            </w:r>
            <w:r w:rsidR="00090E13">
              <w:rPr>
                <w:rFonts w:cstheme="minorHAnsi"/>
                <w:sz w:val="16"/>
                <w:szCs w:val="16"/>
              </w:rPr>
              <w:t>ctive comparator new user design (A</w:t>
            </w:r>
            <w:r>
              <w:rPr>
                <w:rFonts w:cstheme="minorHAnsi"/>
                <w:sz w:val="16"/>
                <w:szCs w:val="16"/>
              </w:rPr>
              <w:t>CNU</w:t>
            </w:r>
            <w:r w:rsidR="00090E13">
              <w:rPr>
                <w:rFonts w:cstheme="minorHAnsi"/>
                <w:sz w:val="16"/>
                <w:szCs w:val="16"/>
              </w:rPr>
              <w:t>)</w:t>
            </w:r>
            <w:r>
              <w:rPr>
                <w:rFonts w:cstheme="minorHAnsi"/>
                <w:sz w:val="16"/>
                <w:szCs w:val="16"/>
              </w:rPr>
              <w:t xml:space="preserve">: </w:t>
            </w:r>
            <w:r w:rsidR="00DB7ADB">
              <w:rPr>
                <w:rFonts w:cstheme="minorHAnsi"/>
                <w:sz w:val="16"/>
                <w:szCs w:val="16"/>
              </w:rPr>
              <w:t xml:space="preserve">Lund 2015, </w:t>
            </w:r>
            <w:r>
              <w:rPr>
                <w:rFonts w:cstheme="minorHAnsi"/>
                <w:sz w:val="16"/>
                <w:szCs w:val="16"/>
              </w:rPr>
              <w:t>Yoshida 2015</w:t>
            </w:r>
          </w:p>
          <w:p w14:paraId="2802C7E5" w14:textId="77777777" w:rsidR="00206995" w:rsidRDefault="00206995" w:rsidP="00206995">
            <w:pPr>
              <w:spacing w:line="276" w:lineRule="auto"/>
              <w:ind w:right="144"/>
              <w:rPr>
                <w:rFonts w:cstheme="minorHAnsi"/>
                <w:sz w:val="16"/>
                <w:szCs w:val="16"/>
              </w:rPr>
            </w:pPr>
            <w:r>
              <w:rPr>
                <w:rFonts w:cstheme="minorHAnsi"/>
                <w:sz w:val="16"/>
                <w:szCs w:val="16"/>
              </w:rPr>
              <w:t>Doubly robust estimation: Funk 2011</w:t>
            </w:r>
          </w:p>
          <w:p w14:paraId="0DBB6DF1" w14:textId="77777777" w:rsidR="00206995" w:rsidRDefault="00206995" w:rsidP="00206995">
            <w:pPr>
              <w:spacing w:line="276" w:lineRule="auto"/>
              <w:ind w:right="144"/>
              <w:rPr>
                <w:rFonts w:cstheme="minorHAnsi"/>
                <w:sz w:val="16"/>
                <w:szCs w:val="16"/>
              </w:rPr>
            </w:pPr>
            <w:r>
              <w:rPr>
                <w:rFonts w:cstheme="minorHAnsi"/>
                <w:sz w:val="16"/>
                <w:szCs w:val="16"/>
              </w:rPr>
              <w:t>GEE: Ballinger 2004</w:t>
            </w:r>
          </w:p>
          <w:p w14:paraId="6A75708B" w14:textId="77777777" w:rsidR="00206995" w:rsidRDefault="00206995" w:rsidP="00206995">
            <w:pPr>
              <w:spacing w:line="276" w:lineRule="auto"/>
              <w:ind w:right="144"/>
              <w:rPr>
                <w:rFonts w:cstheme="minorHAnsi"/>
                <w:sz w:val="16"/>
                <w:szCs w:val="16"/>
              </w:rPr>
            </w:pPr>
            <w:r>
              <w:rPr>
                <w:rFonts w:cstheme="minorHAnsi"/>
                <w:sz w:val="16"/>
                <w:szCs w:val="16"/>
              </w:rPr>
              <w:t>G-methods: Naimi 2017</w:t>
            </w:r>
          </w:p>
          <w:p w14:paraId="366B74F7" w14:textId="139AFE0B" w:rsidR="00206995" w:rsidRDefault="00206995" w:rsidP="00206995">
            <w:pPr>
              <w:spacing w:line="276" w:lineRule="auto"/>
              <w:ind w:right="144"/>
              <w:rPr>
                <w:rFonts w:cstheme="minorHAnsi"/>
                <w:sz w:val="16"/>
                <w:szCs w:val="16"/>
              </w:rPr>
            </w:pPr>
            <w:r>
              <w:rPr>
                <w:rFonts w:cstheme="minorHAnsi"/>
                <w:sz w:val="16"/>
                <w:szCs w:val="16"/>
              </w:rPr>
              <w:t xml:space="preserve">PS: </w:t>
            </w:r>
            <w:r w:rsidR="00DB7ADB">
              <w:rPr>
                <w:rFonts w:cstheme="minorHAnsi"/>
                <w:sz w:val="16"/>
                <w:szCs w:val="16"/>
              </w:rPr>
              <w:t xml:space="preserve">Austin 2011, </w:t>
            </w:r>
            <w:r>
              <w:rPr>
                <w:rFonts w:cstheme="minorHAnsi"/>
                <w:sz w:val="16"/>
                <w:szCs w:val="16"/>
              </w:rPr>
              <w:t>Ali 2019</w:t>
            </w:r>
          </w:p>
          <w:p w14:paraId="5372F3DB" w14:textId="77777777" w:rsidR="00206995" w:rsidRDefault="00206995" w:rsidP="00206995">
            <w:pPr>
              <w:spacing w:line="276" w:lineRule="auto"/>
              <w:ind w:right="144"/>
              <w:rPr>
                <w:rFonts w:cstheme="minorHAnsi"/>
                <w:sz w:val="16"/>
                <w:szCs w:val="16"/>
              </w:rPr>
            </w:pPr>
            <w:r>
              <w:rPr>
                <w:rFonts w:cstheme="minorHAnsi"/>
                <w:sz w:val="16"/>
                <w:szCs w:val="16"/>
              </w:rPr>
              <w:t>IPTW: Austin 2015</w:t>
            </w:r>
          </w:p>
          <w:p w14:paraId="7C020760" w14:textId="77777777" w:rsidR="00206995" w:rsidRDefault="00206995" w:rsidP="00206995">
            <w:pPr>
              <w:spacing w:line="276" w:lineRule="auto"/>
              <w:ind w:right="144"/>
              <w:rPr>
                <w:rFonts w:cstheme="minorHAnsi"/>
                <w:sz w:val="16"/>
                <w:szCs w:val="16"/>
              </w:rPr>
            </w:pPr>
            <w:r>
              <w:rPr>
                <w:rFonts w:cstheme="minorHAnsi"/>
                <w:sz w:val="16"/>
                <w:szCs w:val="16"/>
              </w:rPr>
              <w:t>Matching: Stuart 2010</w:t>
            </w:r>
          </w:p>
          <w:p w14:paraId="74E1E083" w14:textId="77777777" w:rsidR="00206995" w:rsidRDefault="00206995" w:rsidP="00206995">
            <w:pPr>
              <w:spacing w:line="276" w:lineRule="auto"/>
              <w:ind w:right="144"/>
              <w:rPr>
                <w:rFonts w:cstheme="minorHAnsi"/>
                <w:sz w:val="16"/>
                <w:szCs w:val="16"/>
              </w:rPr>
            </w:pPr>
            <w:r>
              <w:rPr>
                <w:rFonts w:cstheme="minorHAnsi"/>
                <w:sz w:val="16"/>
                <w:szCs w:val="16"/>
              </w:rPr>
              <w:t xml:space="preserve">Time-varying estimation: </w:t>
            </w:r>
            <w:proofErr w:type="spellStart"/>
            <w:r>
              <w:rPr>
                <w:rFonts w:cstheme="minorHAnsi"/>
                <w:sz w:val="16"/>
                <w:szCs w:val="16"/>
              </w:rPr>
              <w:t>Mansournia</w:t>
            </w:r>
            <w:proofErr w:type="spellEnd"/>
            <w:r>
              <w:rPr>
                <w:rFonts w:cstheme="minorHAnsi"/>
                <w:sz w:val="16"/>
                <w:szCs w:val="16"/>
              </w:rPr>
              <w:t xml:space="preserve"> 2017</w:t>
            </w:r>
          </w:p>
          <w:p w14:paraId="19E55AA3" w14:textId="186EFE80" w:rsidR="00206995" w:rsidRPr="005A00B8" w:rsidRDefault="00206995" w:rsidP="00206995">
            <w:pPr>
              <w:spacing w:line="276" w:lineRule="auto"/>
              <w:rPr>
                <w:rFonts w:cstheme="minorHAnsi"/>
                <w:sz w:val="16"/>
                <w:szCs w:val="16"/>
              </w:rPr>
            </w:pPr>
            <w:r>
              <w:rPr>
                <w:rFonts w:cstheme="minorHAnsi"/>
                <w:sz w:val="16"/>
                <w:szCs w:val="16"/>
              </w:rPr>
              <w:t>IV: Chen 2011</w:t>
            </w:r>
          </w:p>
        </w:tc>
      </w:tr>
      <w:tr w:rsidR="00206995" w:rsidRPr="005A00B8" w14:paraId="5CBDEB6C" w14:textId="38DD0B03" w:rsidTr="00206995">
        <w:tc>
          <w:tcPr>
            <w:tcW w:w="2700" w:type="dxa"/>
            <w:shd w:val="clear" w:color="auto" w:fill="auto"/>
          </w:tcPr>
          <w:p w14:paraId="2C201CD5" w14:textId="15616FC1" w:rsidR="00206995" w:rsidRPr="005A00B8" w:rsidRDefault="00206995" w:rsidP="00B74D36">
            <w:pPr>
              <w:spacing w:line="276" w:lineRule="auto"/>
              <w:ind w:left="158" w:hanging="158"/>
              <w:rPr>
                <w:rFonts w:cstheme="minorHAnsi"/>
                <w:b/>
                <w:bCs/>
                <w:color w:val="5009B5"/>
                <w:sz w:val="16"/>
                <w:szCs w:val="16"/>
              </w:rPr>
            </w:pPr>
            <w:r w:rsidRPr="005A00B8">
              <w:rPr>
                <w:rFonts w:cstheme="minorHAnsi"/>
                <w:b/>
                <w:bCs/>
                <w:color w:val="5009B5"/>
                <w:sz w:val="16"/>
                <w:szCs w:val="16"/>
              </w:rPr>
              <w:t>8. Describe quality checks and sensitivity analyses</w:t>
            </w:r>
          </w:p>
        </w:tc>
        <w:tc>
          <w:tcPr>
            <w:tcW w:w="6570" w:type="dxa"/>
          </w:tcPr>
          <w:p w14:paraId="56E95D0E" w14:textId="790E31D2" w:rsidR="00206995" w:rsidRDefault="00206995" w:rsidP="00A0582A">
            <w:pPr>
              <w:spacing w:line="276" w:lineRule="auto"/>
              <w:rPr>
                <w:rFonts w:cstheme="minorHAnsi"/>
                <w:sz w:val="16"/>
                <w:szCs w:val="16"/>
              </w:rPr>
            </w:pPr>
            <w:r>
              <w:rPr>
                <w:rFonts w:cstheme="minorHAnsi"/>
                <w:sz w:val="16"/>
                <w:szCs w:val="16"/>
              </w:rPr>
              <w:t xml:space="preserve">Validation/Misclassification: </w:t>
            </w:r>
            <w:r w:rsidRPr="00A0582A">
              <w:rPr>
                <w:rFonts w:cstheme="minorHAnsi"/>
                <w:sz w:val="16"/>
                <w:szCs w:val="16"/>
              </w:rPr>
              <w:t>Lanes 2023</w:t>
            </w:r>
            <w:r>
              <w:rPr>
                <w:rFonts w:cstheme="minorHAnsi"/>
                <w:sz w:val="16"/>
                <w:szCs w:val="16"/>
              </w:rPr>
              <w:t xml:space="preserve">; </w:t>
            </w:r>
            <w:r w:rsidRPr="00A0582A">
              <w:rPr>
                <w:rFonts w:cstheme="minorHAnsi"/>
                <w:sz w:val="16"/>
                <w:szCs w:val="16"/>
              </w:rPr>
              <w:t xml:space="preserve">Brenner </w:t>
            </w:r>
            <w:r>
              <w:rPr>
                <w:rFonts w:cstheme="minorHAnsi"/>
                <w:sz w:val="16"/>
                <w:szCs w:val="16"/>
              </w:rPr>
              <w:t xml:space="preserve">1993; </w:t>
            </w:r>
            <w:r w:rsidRPr="00D40646">
              <w:rPr>
                <w:rFonts w:cstheme="minorHAnsi"/>
                <w:sz w:val="16"/>
                <w:szCs w:val="16"/>
              </w:rPr>
              <w:t>Hall</w:t>
            </w:r>
            <w:r>
              <w:rPr>
                <w:rFonts w:cstheme="minorHAnsi"/>
                <w:sz w:val="16"/>
                <w:szCs w:val="16"/>
              </w:rPr>
              <w:t xml:space="preserve"> 2020</w:t>
            </w:r>
          </w:p>
          <w:p w14:paraId="6B06E65C" w14:textId="79D284BE" w:rsidR="00206995" w:rsidRDefault="00206995" w:rsidP="00A0582A">
            <w:pPr>
              <w:spacing w:line="276" w:lineRule="auto"/>
              <w:rPr>
                <w:rFonts w:cstheme="minorHAnsi"/>
                <w:sz w:val="16"/>
                <w:szCs w:val="16"/>
              </w:rPr>
            </w:pPr>
            <w:r>
              <w:rPr>
                <w:rFonts w:cstheme="minorHAnsi"/>
                <w:sz w:val="16"/>
                <w:szCs w:val="16"/>
              </w:rPr>
              <w:t xml:space="preserve">QBA: </w:t>
            </w:r>
            <w:r w:rsidRPr="00A0582A">
              <w:rPr>
                <w:rFonts w:cstheme="minorHAnsi"/>
                <w:sz w:val="16"/>
                <w:szCs w:val="16"/>
              </w:rPr>
              <w:t>Lash</w:t>
            </w:r>
            <w:r w:rsidR="00DB7ADB">
              <w:rPr>
                <w:rFonts w:cstheme="minorHAnsi"/>
                <w:sz w:val="16"/>
                <w:szCs w:val="16"/>
              </w:rPr>
              <w:t xml:space="preserve"> </w:t>
            </w:r>
            <w:r w:rsidRPr="00A0582A">
              <w:rPr>
                <w:rFonts w:cstheme="minorHAnsi"/>
                <w:sz w:val="16"/>
                <w:szCs w:val="16"/>
              </w:rPr>
              <w:t>2009; Lash 2014; Leahy 2022</w:t>
            </w:r>
          </w:p>
          <w:p w14:paraId="5E016C6E" w14:textId="584F0172" w:rsidR="00206995" w:rsidRPr="005A00B8" w:rsidRDefault="00206995" w:rsidP="00A0582A">
            <w:pPr>
              <w:spacing w:line="276" w:lineRule="auto"/>
              <w:rPr>
                <w:rFonts w:cstheme="minorHAnsi"/>
                <w:sz w:val="16"/>
                <w:szCs w:val="16"/>
              </w:rPr>
            </w:pPr>
            <w:r>
              <w:rPr>
                <w:rFonts w:cstheme="minorHAnsi"/>
                <w:sz w:val="16"/>
                <w:szCs w:val="16"/>
              </w:rPr>
              <w:t xml:space="preserve">E-Value: Mathur 2018; </w:t>
            </w:r>
            <w:r w:rsidRPr="00206995">
              <w:rPr>
                <w:rFonts w:cstheme="minorHAnsi"/>
                <w:sz w:val="16"/>
                <w:szCs w:val="16"/>
              </w:rPr>
              <w:t>VanderWeele 2017</w:t>
            </w:r>
          </w:p>
          <w:p w14:paraId="66FEEC58" w14:textId="7AA97E64" w:rsidR="00206995" w:rsidRPr="005A00B8" w:rsidRDefault="00206995" w:rsidP="004C3391">
            <w:pPr>
              <w:spacing w:line="276" w:lineRule="auto"/>
              <w:rPr>
                <w:rFonts w:cstheme="minorHAnsi"/>
                <w:sz w:val="16"/>
                <w:szCs w:val="16"/>
              </w:rPr>
            </w:pPr>
            <w:r>
              <w:rPr>
                <w:rFonts w:cstheme="minorHAnsi"/>
                <w:sz w:val="16"/>
                <w:szCs w:val="16"/>
              </w:rPr>
              <w:t xml:space="preserve">Negative controls: </w:t>
            </w:r>
            <w:proofErr w:type="spellStart"/>
            <w:r>
              <w:rPr>
                <w:rFonts w:cstheme="minorHAnsi"/>
                <w:sz w:val="16"/>
                <w:szCs w:val="16"/>
              </w:rPr>
              <w:t>Lipsitch</w:t>
            </w:r>
            <w:proofErr w:type="spellEnd"/>
            <w:r>
              <w:rPr>
                <w:rFonts w:cstheme="minorHAnsi"/>
                <w:sz w:val="16"/>
                <w:szCs w:val="16"/>
              </w:rPr>
              <w:t xml:space="preserve"> 2010</w:t>
            </w:r>
          </w:p>
        </w:tc>
      </w:tr>
    </w:tbl>
    <w:p w14:paraId="4265D7CE" w14:textId="77777777" w:rsidR="001B7F67" w:rsidRDefault="001B7F67">
      <w:pPr>
        <w:rPr>
          <w:rFonts w:cstheme="minorHAnsi"/>
        </w:rPr>
      </w:pPr>
    </w:p>
    <w:p w14:paraId="0019AE7F" w14:textId="2B3A364A" w:rsidR="00DB7ADB" w:rsidRDefault="00DB7ADB">
      <w:pPr>
        <w:rPr>
          <w:rFonts w:cstheme="minorHAnsi"/>
          <w:sz w:val="16"/>
          <w:szCs w:val="16"/>
        </w:rPr>
      </w:pPr>
      <w:r w:rsidRPr="00DB7ADB">
        <w:rPr>
          <w:rFonts w:cstheme="minorHAnsi"/>
          <w:sz w:val="16"/>
          <w:szCs w:val="16"/>
        </w:rPr>
        <w:t xml:space="preserve">Acton EK, Willis AW, Hennessy S. Core concepts in pharmacoepidemiology: Key biases arising in pharmacoepidemiologic studies. </w:t>
      </w:r>
      <w:proofErr w:type="spellStart"/>
      <w:r w:rsidRPr="00DB7ADB">
        <w:rPr>
          <w:rFonts w:cstheme="minorHAnsi"/>
          <w:sz w:val="16"/>
          <w:szCs w:val="16"/>
        </w:rPr>
        <w:t>Pharmacoepidemiol</w:t>
      </w:r>
      <w:proofErr w:type="spellEnd"/>
      <w:r w:rsidRPr="00DB7ADB">
        <w:rPr>
          <w:rFonts w:cstheme="minorHAnsi"/>
          <w:sz w:val="16"/>
          <w:szCs w:val="16"/>
        </w:rPr>
        <w:t xml:space="preserve"> Drug </w:t>
      </w:r>
      <w:proofErr w:type="spellStart"/>
      <w:r w:rsidRPr="00DB7ADB">
        <w:rPr>
          <w:rFonts w:cstheme="minorHAnsi"/>
          <w:sz w:val="16"/>
          <w:szCs w:val="16"/>
        </w:rPr>
        <w:t>Saf</w:t>
      </w:r>
      <w:proofErr w:type="spellEnd"/>
      <w:r w:rsidRPr="00DB7ADB">
        <w:rPr>
          <w:rFonts w:cstheme="minorHAnsi"/>
          <w:sz w:val="16"/>
          <w:szCs w:val="16"/>
        </w:rPr>
        <w:t>. 2023;32(1):9-18</w:t>
      </w:r>
    </w:p>
    <w:p w14:paraId="553F3DA1" w14:textId="35A117C5" w:rsidR="00945211" w:rsidRPr="00D01C7E" w:rsidRDefault="00945211">
      <w:pPr>
        <w:rPr>
          <w:rFonts w:cstheme="minorHAnsi"/>
          <w:sz w:val="16"/>
          <w:szCs w:val="16"/>
        </w:rPr>
      </w:pPr>
      <w:r w:rsidRPr="00D01C7E">
        <w:rPr>
          <w:rFonts w:cstheme="minorHAnsi"/>
          <w:sz w:val="16"/>
          <w:szCs w:val="16"/>
        </w:rPr>
        <w:t>Ali MS, Prieto-Alhambra D, Lopes LC et al. Propensity score methods in health technology assessment: principles, extended applications, and recent advances. Frontiers in Pharmacology. 2019:973</w:t>
      </w:r>
    </w:p>
    <w:p w14:paraId="42387393" w14:textId="6A8396DB" w:rsidR="00ED2489" w:rsidRPr="00D01C7E" w:rsidRDefault="00ED2489">
      <w:pPr>
        <w:rPr>
          <w:rFonts w:cstheme="minorHAnsi"/>
          <w:sz w:val="16"/>
          <w:szCs w:val="16"/>
        </w:rPr>
      </w:pPr>
      <w:r w:rsidRPr="00D01C7E">
        <w:rPr>
          <w:rFonts w:cstheme="minorHAnsi"/>
          <w:sz w:val="16"/>
          <w:szCs w:val="16"/>
        </w:rPr>
        <w:t xml:space="preserve">Altman N, </w:t>
      </w:r>
      <w:proofErr w:type="spellStart"/>
      <w:r w:rsidRPr="00D01C7E">
        <w:rPr>
          <w:rFonts w:cstheme="minorHAnsi"/>
          <w:sz w:val="16"/>
          <w:szCs w:val="16"/>
        </w:rPr>
        <w:t>Krzywinski</w:t>
      </w:r>
      <w:proofErr w:type="spellEnd"/>
      <w:r w:rsidRPr="00D01C7E">
        <w:rPr>
          <w:rFonts w:cstheme="minorHAnsi"/>
          <w:sz w:val="16"/>
          <w:szCs w:val="16"/>
        </w:rPr>
        <w:t xml:space="preserve"> M. Points of Significance: Association, </w:t>
      </w:r>
      <w:proofErr w:type="gramStart"/>
      <w:r w:rsidRPr="00D01C7E">
        <w:rPr>
          <w:rFonts w:cstheme="minorHAnsi"/>
          <w:sz w:val="16"/>
          <w:szCs w:val="16"/>
        </w:rPr>
        <w:t>correlation</w:t>
      </w:r>
      <w:proofErr w:type="gramEnd"/>
      <w:r w:rsidRPr="00D01C7E">
        <w:rPr>
          <w:rFonts w:cstheme="minorHAnsi"/>
          <w:sz w:val="16"/>
          <w:szCs w:val="16"/>
        </w:rPr>
        <w:t xml:space="preserve"> and causation. Nature Methods. 2015 Oct 1;12(10).</w:t>
      </w:r>
    </w:p>
    <w:p w14:paraId="19D6A54B" w14:textId="77777777" w:rsidR="00DB7ADB" w:rsidRDefault="00DB7ADB">
      <w:pPr>
        <w:rPr>
          <w:rFonts w:cstheme="minorHAnsi"/>
          <w:sz w:val="16"/>
          <w:szCs w:val="16"/>
        </w:rPr>
      </w:pPr>
      <w:r w:rsidRPr="00DB7ADB">
        <w:rPr>
          <w:rFonts w:cstheme="minorHAnsi"/>
          <w:sz w:val="16"/>
          <w:szCs w:val="16"/>
        </w:rPr>
        <w:t xml:space="preserve">Austin PC. An Introduction to Propensity Score Methods for Reducing the Effects of Confounding in Observational Studies. Multivariate </w:t>
      </w:r>
      <w:proofErr w:type="spellStart"/>
      <w:r w:rsidRPr="00DB7ADB">
        <w:rPr>
          <w:rFonts w:cstheme="minorHAnsi"/>
          <w:sz w:val="16"/>
          <w:szCs w:val="16"/>
        </w:rPr>
        <w:t>Behav</w:t>
      </w:r>
      <w:proofErr w:type="spellEnd"/>
      <w:r w:rsidRPr="00DB7ADB">
        <w:rPr>
          <w:rFonts w:cstheme="minorHAnsi"/>
          <w:sz w:val="16"/>
          <w:szCs w:val="16"/>
        </w:rPr>
        <w:t xml:space="preserve"> Res. 2011;46(3):399-424.</w:t>
      </w:r>
    </w:p>
    <w:p w14:paraId="0B2A0D34" w14:textId="3291AE40" w:rsidR="00FC1C5F" w:rsidRPr="00D01C7E" w:rsidRDefault="00FC1C5F">
      <w:pPr>
        <w:rPr>
          <w:rFonts w:cstheme="minorHAnsi"/>
          <w:sz w:val="16"/>
          <w:szCs w:val="16"/>
        </w:rPr>
      </w:pPr>
      <w:r w:rsidRPr="00D01C7E">
        <w:rPr>
          <w:rFonts w:cstheme="minorHAnsi"/>
          <w:sz w:val="16"/>
          <w:szCs w:val="16"/>
        </w:rPr>
        <w:t>Austin PC, Stuart EA. Moving towards best practice when using inverse probability of treatment weighting (IPTW) using the propensity score to estimate causal treatment effects in observational studies. Stat Med. 2015;34(28):3661-3679</w:t>
      </w:r>
    </w:p>
    <w:p w14:paraId="23EE0C02" w14:textId="12CEAF9D" w:rsidR="00087BB5" w:rsidRPr="00D01C7E" w:rsidRDefault="00087BB5">
      <w:pPr>
        <w:rPr>
          <w:rFonts w:cstheme="minorHAnsi"/>
          <w:sz w:val="16"/>
          <w:szCs w:val="16"/>
        </w:rPr>
      </w:pPr>
      <w:r w:rsidRPr="00D01C7E">
        <w:rPr>
          <w:rFonts w:cstheme="minorHAnsi"/>
          <w:sz w:val="16"/>
          <w:szCs w:val="16"/>
        </w:rPr>
        <w:lastRenderedPageBreak/>
        <w:t>Ballinger GA. Using Generalized Estimating Equations for Longitudinal Data Analysis. Organizational Research Methods. 2004;7(2):127-150</w:t>
      </w:r>
    </w:p>
    <w:p w14:paraId="765B9701" w14:textId="2B5B260B" w:rsidR="00D01C7E" w:rsidRPr="00D01C7E" w:rsidRDefault="00D01C7E">
      <w:pPr>
        <w:rPr>
          <w:rFonts w:cstheme="minorHAnsi"/>
          <w:sz w:val="16"/>
          <w:szCs w:val="16"/>
        </w:rPr>
      </w:pPr>
      <w:r w:rsidRPr="00D01C7E">
        <w:rPr>
          <w:rFonts w:cstheme="minorHAnsi"/>
          <w:sz w:val="16"/>
          <w:szCs w:val="16"/>
        </w:rPr>
        <w:t xml:space="preserve">Berger, M. L., H. Sox, R. J. Willke, D. L. Brixner, H. G. Eichler, W. Goettsch, D. Madigan, A. </w:t>
      </w:r>
      <w:proofErr w:type="spellStart"/>
      <w:r w:rsidRPr="00D01C7E">
        <w:rPr>
          <w:rFonts w:cstheme="minorHAnsi"/>
          <w:sz w:val="16"/>
          <w:szCs w:val="16"/>
        </w:rPr>
        <w:t>Makady</w:t>
      </w:r>
      <w:proofErr w:type="spellEnd"/>
      <w:r w:rsidRPr="00D01C7E">
        <w:rPr>
          <w:rFonts w:cstheme="minorHAnsi"/>
          <w:sz w:val="16"/>
          <w:szCs w:val="16"/>
        </w:rPr>
        <w:t xml:space="preserve">, S. Schneeweiss, R. Tarricone, S. V. Wang, J. Watkins, and C. Daniel Mullins. 2017. “Good practices for real-world data studies of treatment and/or comparative effectiveness: Recommendations from the joint ISPOR-ISPE Special Task Force on real-world evidence in health care decision making.” </w:t>
      </w:r>
      <w:proofErr w:type="spellStart"/>
      <w:r w:rsidRPr="00D01C7E">
        <w:rPr>
          <w:rFonts w:cstheme="minorHAnsi"/>
          <w:sz w:val="16"/>
          <w:szCs w:val="16"/>
        </w:rPr>
        <w:t>Pharmacoepidemiol</w:t>
      </w:r>
      <w:proofErr w:type="spellEnd"/>
      <w:r w:rsidRPr="00D01C7E">
        <w:rPr>
          <w:rFonts w:cstheme="minorHAnsi"/>
          <w:sz w:val="16"/>
          <w:szCs w:val="16"/>
        </w:rPr>
        <w:t xml:space="preserve"> Drug </w:t>
      </w:r>
      <w:proofErr w:type="spellStart"/>
      <w:r w:rsidRPr="00D01C7E">
        <w:rPr>
          <w:rFonts w:cstheme="minorHAnsi"/>
          <w:sz w:val="16"/>
          <w:szCs w:val="16"/>
        </w:rPr>
        <w:t>Saf</w:t>
      </w:r>
      <w:proofErr w:type="spellEnd"/>
      <w:r w:rsidRPr="00D01C7E">
        <w:rPr>
          <w:rFonts w:cstheme="minorHAnsi"/>
          <w:sz w:val="16"/>
          <w:szCs w:val="16"/>
        </w:rPr>
        <w:t xml:space="preserve"> 26(9): 1033-39.</w:t>
      </w:r>
    </w:p>
    <w:p w14:paraId="4DC03E6A" w14:textId="7D0A78C9" w:rsidR="00D01C7E" w:rsidRPr="00D01C7E" w:rsidRDefault="00D01C7E">
      <w:pPr>
        <w:rPr>
          <w:rFonts w:cstheme="minorHAnsi"/>
          <w:sz w:val="16"/>
          <w:szCs w:val="16"/>
        </w:rPr>
      </w:pPr>
      <w:r w:rsidRPr="00D01C7E">
        <w:rPr>
          <w:rFonts w:cstheme="minorHAnsi"/>
          <w:sz w:val="16"/>
          <w:szCs w:val="16"/>
        </w:rPr>
        <w:t xml:space="preserve">Brenner, </w:t>
      </w:r>
      <w:proofErr w:type="gramStart"/>
      <w:r w:rsidRPr="00D01C7E">
        <w:rPr>
          <w:rFonts w:cstheme="minorHAnsi"/>
          <w:sz w:val="16"/>
          <w:szCs w:val="16"/>
        </w:rPr>
        <w:t>H.</w:t>
      </w:r>
      <w:proofErr w:type="gramEnd"/>
      <w:r w:rsidRPr="00D01C7E">
        <w:rPr>
          <w:rFonts w:cstheme="minorHAnsi"/>
          <w:sz w:val="16"/>
          <w:szCs w:val="16"/>
        </w:rPr>
        <w:t xml:space="preserve"> and O. </w:t>
      </w:r>
      <w:proofErr w:type="spellStart"/>
      <w:r w:rsidRPr="00D01C7E">
        <w:rPr>
          <w:rFonts w:cstheme="minorHAnsi"/>
          <w:sz w:val="16"/>
          <w:szCs w:val="16"/>
        </w:rPr>
        <w:t>Gefeller</w:t>
      </w:r>
      <w:proofErr w:type="spellEnd"/>
      <w:r w:rsidRPr="00D01C7E">
        <w:rPr>
          <w:rFonts w:cstheme="minorHAnsi"/>
          <w:sz w:val="16"/>
          <w:szCs w:val="16"/>
        </w:rPr>
        <w:t>. 1993. “Use of the positive predictive value to correct for disease misclassification in epidemiologic studies.” Am J Epidemiol 138(11): 1007-15</w:t>
      </w:r>
    </w:p>
    <w:p w14:paraId="77B4014A" w14:textId="0BF6744D" w:rsidR="00383B17" w:rsidRPr="00D01C7E" w:rsidRDefault="00383B17" w:rsidP="00383B17">
      <w:pPr>
        <w:rPr>
          <w:rFonts w:cstheme="minorHAnsi"/>
          <w:sz w:val="16"/>
          <w:szCs w:val="16"/>
        </w:rPr>
      </w:pPr>
      <w:r w:rsidRPr="00D01C7E">
        <w:rPr>
          <w:rFonts w:cstheme="minorHAnsi"/>
          <w:sz w:val="16"/>
          <w:szCs w:val="16"/>
        </w:rPr>
        <w:t xml:space="preserve">Chen Y, Briesacher BA. Use of instrumental variable in prescription drug research with observational data: a systematic review. J Clin Epidemiol </w:t>
      </w:r>
      <w:proofErr w:type="gramStart"/>
      <w:r w:rsidRPr="00D01C7E">
        <w:rPr>
          <w:rFonts w:cstheme="minorHAnsi"/>
          <w:sz w:val="16"/>
          <w:szCs w:val="16"/>
        </w:rPr>
        <w:t>2011;64:687</w:t>
      </w:r>
      <w:proofErr w:type="gramEnd"/>
      <w:r w:rsidRPr="00D01C7E">
        <w:rPr>
          <w:rFonts w:cstheme="minorHAnsi"/>
          <w:sz w:val="16"/>
          <w:szCs w:val="16"/>
        </w:rPr>
        <w:t>-700.</w:t>
      </w:r>
    </w:p>
    <w:p w14:paraId="04C85CA5" w14:textId="40DCCCF3" w:rsidR="00383B17" w:rsidRPr="00D01C7E" w:rsidRDefault="00383B17">
      <w:pPr>
        <w:rPr>
          <w:rFonts w:cstheme="minorHAnsi"/>
          <w:sz w:val="16"/>
          <w:szCs w:val="16"/>
        </w:rPr>
      </w:pPr>
      <w:r w:rsidRPr="00D01C7E">
        <w:rPr>
          <w:rFonts w:cstheme="minorHAnsi"/>
          <w:sz w:val="16"/>
          <w:szCs w:val="16"/>
        </w:rPr>
        <w:t>Clark TG, Bradburn MJ, Love SB, Altman DG. Survival analysis part I: basic concepts and first analyses. Br J Cancer. 2003;89(2):232-238</w:t>
      </w:r>
    </w:p>
    <w:p w14:paraId="18217AFF" w14:textId="77777777" w:rsidR="00D01C7E" w:rsidRPr="00D01C7E" w:rsidRDefault="00D01C7E" w:rsidP="00D01C7E">
      <w:pPr>
        <w:rPr>
          <w:rFonts w:cstheme="minorHAnsi"/>
          <w:sz w:val="16"/>
          <w:szCs w:val="16"/>
        </w:rPr>
      </w:pPr>
      <w:r w:rsidRPr="00D01C7E">
        <w:rPr>
          <w:rFonts w:cstheme="minorHAnsi"/>
          <w:sz w:val="16"/>
          <w:szCs w:val="16"/>
        </w:rPr>
        <w:t>Cox, E., B. C. Martin, T. Van Staa, E. Garbe, U. Siebert, and M. L. Johnson. 2009. “Good research practices for comparative effectiveness research: approaches to mitigate bias and confounding in the design of nonrandomized studies of treatment effects using secondary data sources: the International Society for Pharmacoeconomics and Outcomes Research Good Research Practices for Retrospective Database Analysis Task Force Report--Part II.” Value Health 12(8): 1053-61.</w:t>
      </w:r>
    </w:p>
    <w:p w14:paraId="57785896" w14:textId="77777777" w:rsidR="00D01C7E" w:rsidRDefault="00D01C7E" w:rsidP="00D01C7E">
      <w:pPr>
        <w:rPr>
          <w:rFonts w:cstheme="minorHAnsi"/>
          <w:sz w:val="16"/>
          <w:szCs w:val="16"/>
        </w:rPr>
      </w:pPr>
      <w:proofErr w:type="spellStart"/>
      <w:r w:rsidRPr="00D01C7E">
        <w:rPr>
          <w:rFonts w:cstheme="minorHAnsi"/>
          <w:sz w:val="16"/>
          <w:szCs w:val="16"/>
        </w:rPr>
        <w:t>Danaei</w:t>
      </w:r>
      <w:proofErr w:type="spellEnd"/>
      <w:r w:rsidRPr="00D01C7E">
        <w:rPr>
          <w:rFonts w:cstheme="minorHAnsi"/>
          <w:sz w:val="16"/>
          <w:szCs w:val="16"/>
        </w:rPr>
        <w:t xml:space="preserve">, G., L. A. Rodriguez, O. F. Cantero, R. Logan, and M. A. Hernan. 2013. “Observational data for comparative effectiveness research: an emulation of </w:t>
      </w:r>
      <w:proofErr w:type="spellStart"/>
      <w:r w:rsidRPr="00D01C7E">
        <w:rPr>
          <w:rFonts w:cstheme="minorHAnsi"/>
          <w:sz w:val="16"/>
          <w:szCs w:val="16"/>
        </w:rPr>
        <w:t>randomised</w:t>
      </w:r>
      <w:proofErr w:type="spellEnd"/>
      <w:r w:rsidRPr="00D01C7E">
        <w:rPr>
          <w:rFonts w:cstheme="minorHAnsi"/>
          <w:sz w:val="16"/>
          <w:szCs w:val="16"/>
        </w:rPr>
        <w:t xml:space="preserve"> trials of statins and primary prevention of coronary heart disease.” Stat Methods Med Res 22(1): 70-96.</w:t>
      </w:r>
    </w:p>
    <w:p w14:paraId="13BE4ECF" w14:textId="576EEC74" w:rsidR="00D01C7E" w:rsidRDefault="00D01C7E" w:rsidP="00D01C7E">
      <w:pPr>
        <w:rPr>
          <w:rFonts w:cstheme="minorHAnsi"/>
          <w:sz w:val="16"/>
          <w:szCs w:val="16"/>
        </w:rPr>
      </w:pPr>
      <w:r w:rsidRPr="00D01C7E">
        <w:rPr>
          <w:rFonts w:cstheme="minorHAnsi"/>
          <w:sz w:val="16"/>
          <w:szCs w:val="16"/>
        </w:rPr>
        <w:t xml:space="preserve">Dang LE, Gruber S, Lee H, </w:t>
      </w:r>
      <w:proofErr w:type="spellStart"/>
      <w:r w:rsidRPr="00D01C7E">
        <w:rPr>
          <w:rFonts w:cstheme="minorHAnsi"/>
          <w:sz w:val="16"/>
          <w:szCs w:val="16"/>
        </w:rPr>
        <w:t>Dahabreh</w:t>
      </w:r>
      <w:proofErr w:type="spellEnd"/>
      <w:r w:rsidRPr="00D01C7E">
        <w:rPr>
          <w:rFonts w:cstheme="minorHAnsi"/>
          <w:sz w:val="16"/>
          <w:szCs w:val="16"/>
        </w:rPr>
        <w:t xml:space="preserve"> IJ, Stuart EA, Williamson BD, Wyss R, Díaz I, Ghosh D, </w:t>
      </w:r>
      <w:proofErr w:type="spellStart"/>
      <w:r w:rsidRPr="00D01C7E">
        <w:rPr>
          <w:rFonts w:cstheme="minorHAnsi"/>
          <w:sz w:val="16"/>
          <w:szCs w:val="16"/>
        </w:rPr>
        <w:t>Kıcıman</w:t>
      </w:r>
      <w:proofErr w:type="spellEnd"/>
      <w:r w:rsidRPr="00D01C7E">
        <w:rPr>
          <w:rFonts w:cstheme="minorHAnsi"/>
          <w:sz w:val="16"/>
          <w:szCs w:val="16"/>
        </w:rPr>
        <w:t xml:space="preserve"> E, Alemayehu D, Hoffman KL, Vossen CY, Huml RA, Ravn H, Kvist K, Pratley R, Shih MC, Pennello G, Martin D, Waddy SP, Barr CE, </w:t>
      </w:r>
      <w:proofErr w:type="spellStart"/>
      <w:r w:rsidRPr="00D01C7E">
        <w:rPr>
          <w:rFonts w:cstheme="minorHAnsi"/>
          <w:sz w:val="16"/>
          <w:szCs w:val="16"/>
        </w:rPr>
        <w:t>Akacha</w:t>
      </w:r>
      <w:proofErr w:type="spellEnd"/>
      <w:r w:rsidRPr="00D01C7E">
        <w:rPr>
          <w:rFonts w:cstheme="minorHAnsi"/>
          <w:sz w:val="16"/>
          <w:szCs w:val="16"/>
        </w:rPr>
        <w:t xml:space="preserve"> M, Buse JB, van der Laan M, Petersen M. A causal roadmap for generating high-quality real-world evidence. J Clin </w:t>
      </w:r>
      <w:proofErr w:type="spellStart"/>
      <w:r w:rsidRPr="00D01C7E">
        <w:rPr>
          <w:rFonts w:cstheme="minorHAnsi"/>
          <w:sz w:val="16"/>
          <w:szCs w:val="16"/>
        </w:rPr>
        <w:t>Transl</w:t>
      </w:r>
      <w:proofErr w:type="spellEnd"/>
      <w:r w:rsidRPr="00D01C7E">
        <w:rPr>
          <w:rFonts w:cstheme="minorHAnsi"/>
          <w:sz w:val="16"/>
          <w:szCs w:val="16"/>
        </w:rPr>
        <w:t xml:space="preserve"> Sci. 2023 Sep 22;7(1</w:t>
      </w:r>
      <w:proofErr w:type="gramStart"/>
      <w:r w:rsidRPr="00D01C7E">
        <w:rPr>
          <w:rFonts w:cstheme="minorHAnsi"/>
          <w:sz w:val="16"/>
          <w:szCs w:val="16"/>
        </w:rPr>
        <w:t>):e</w:t>
      </w:r>
      <w:proofErr w:type="gramEnd"/>
      <w:r w:rsidRPr="00D01C7E">
        <w:rPr>
          <w:rFonts w:cstheme="minorHAnsi"/>
          <w:sz w:val="16"/>
          <w:szCs w:val="16"/>
        </w:rPr>
        <w:t>212. doi: 10.1017/cts.2023.635. PMID: 37900353; PMCID: PMC10603361.</w:t>
      </w:r>
    </w:p>
    <w:p w14:paraId="3E4B5809" w14:textId="1A2ADF89" w:rsidR="00D01C7E" w:rsidRPr="00D01C7E" w:rsidRDefault="00D01C7E" w:rsidP="00D01C7E">
      <w:pPr>
        <w:rPr>
          <w:rFonts w:cstheme="minorHAnsi"/>
          <w:sz w:val="16"/>
          <w:szCs w:val="16"/>
        </w:rPr>
      </w:pPr>
      <w:r w:rsidRPr="00D01C7E">
        <w:rPr>
          <w:rFonts w:cstheme="minorHAnsi"/>
          <w:sz w:val="16"/>
          <w:szCs w:val="16"/>
        </w:rPr>
        <w:t xml:space="preserve">Desai R J, Wang S V, Sreedhara S K, Zabotka L, Khosrow-Khavar F, Nelson J C et al. Process guide for inferential studies using healthcare data from routine clinical practice to evaluate causal effects of drugs (PRINCIPLED): considerations from the FDA Sentinel Innovation Center BMJ 2024; </w:t>
      </w:r>
      <w:proofErr w:type="gramStart"/>
      <w:r w:rsidRPr="00D01C7E">
        <w:rPr>
          <w:rFonts w:cstheme="minorHAnsi"/>
          <w:sz w:val="16"/>
          <w:szCs w:val="16"/>
        </w:rPr>
        <w:t>384 :e</w:t>
      </w:r>
      <w:proofErr w:type="gramEnd"/>
      <w:r w:rsidRPr="00D01C7E">
        <w:rPr>
          <w:rFonts w:cstheme="minorHAnsi"/>
          <w:sz w:val="16"/>
          <w:szCs w:val="16"/>
        </w:rPr>
        <w:t>076460 doi:10.1136/bmj-2023-076460</w:t>
      </w:r>
    </w:p>
    <w:p w14:paraId="3D7B90D6" w14:textId="3EEB4510" w:rsidR="00D01C7E" w:rsidRPr="00D01C7E" w:rsidRDefault="00D01C7E" w:rsidP="00D01C7E">
      <w:pPr>
        <w:rPr>
          <w:rFonts w:cstheme="minorHAnsi"/>
          <w:sz w:val="16"/>
          <w:szCs w:val="16"/>
        </w:rPr>
      </w:pPr>
      <w:proofErr w:type="spellStart"/>
      <w:r w:rsidRPr="00D01C7E">
        <w:rPr>
          <w:rFonts w:cstheme="minorHAnsi"/>
          <w:sz w:val="16"/>
          <w:szCs w:val="16"/>
        </w:rPr>
        <w:t>Digitale</w:t>
      </w:r>
      <w:proofErr w:type="spellEnd"/>
      <w:r w:rsidRPr="00D01C7E">
        <w:rPr>
          <w:rFonts w:cstheme="minorHAnsi"/>
          <w:sz w:val="16"/>
          <w:szCs w:val="16"/>
        </w:rPr>
        <w:t xml:space="preserve">, J. C., J. N. Martin, and M. M. </w:t>
      </w:r>
      <w:proofErr w:type="spellStart"/>
      <w:r w:rsidRPr="00D01C7E">
        <w:rPr>
          <w:rFonts w:cstheme="minorHAnsi"/>
          <w:sz w:val="16"/>
          <w:szCs w:val="16"/>
        </w:rPr>
        <w:t>Glymour</w:t>
      </w:r>
      <w:proofErr w:type="spellEnd"/>
      <w:r w:rsidRPr="00D01C7E">
        <w:rPr>
          <w:rFonts w:cstheme="minorHAnsi"/>
          <w:sz w:val="16"/>
          <w:szCs w:val="16"/>
        </w:rPr>
        <w:t>. 2022. “Tutorial on directed acyclic graphs.” J Clin Epidemiol 142: 264-67.</w:t>
      </w:r>
    </w:p>
    <w:p w14:paraId="1738D829" w14:textId="006509BC" w:rsidR="00C13C40" w:rsidRPr="00D01C7E" w:rsidRDefault="00C13C40" w:rsidP="00C13C40">
      <w:pPr>
        <w:rPr>
          <w:rFonts w:cstheme="minorHAnsi"/>
          <w:sz w:val="16"/>
          <w:szCs w:val="16"/>
        </w:rPr>
      </w:pPr>
      <w:r w:rsidRPr="00AC5FC8">
        <w:rPr>
          <w:rFonts w:cstheme="minorHAnsi"/>
          <w:sz w:val="16"/>
          <w:szCs w:val="16"/>
        </w:rPr>
        <w:t>Peng Ding</w:t>
      </w:r>
      <w:r w:rsidRPr="00D01C7E">
        <w:rPr>
          <w:rFonts w:cstheme="minorHAnsi"/>
          <w:sz w:val="16"/>
          <w:szCs w:val="16"/>
        </w:rPr>
        <w:t>, Yixin Fang, Doug Faries, Susan Gruber, Hana Lee, Joo-Yeon Lee, Pallavi Mishra-Kalyani, Mingyang Shan, Mark van der Laan, Shu Yang, Xiang Zhang: Sensitivity Analysis for Unmeasured Confounding in Medical Product Development and Evaluation Using Real World Evidence. 2023. arXiv:2307.07442 [stat.ME]</w:t>
      </w:r>
    </w:p>
    <w:p w14:paraId="4158F970" w14:textId="77777777" w:rsidR="00D01C7E" w:rsidRPr="00D01C7E" w:rsidRDefault="00D01C7E" w:rsidP="00D01C7E">
      <w:pPr>
        <w:rPr>
          <w:rFonts w:cstheme="minorHAnsi"/>
          <w:sz w:val="16"/>
          <w:szCs w:val="16"/>
        </w:rPr>
      </w:pPr>
      <w:r w:rsidRPr="00D01C7E">
        <w:rPr>
          <w:rFonts w:cstheme="minorHAnsi"/>
          <w:sz w:val="16"/>
          <w:szCs w:val="16"/>
        </w:rPr>
        <w:t>European Medicines Agency. 2023. "ENCePP Guide on Methodological Standards in Pharmacoepidemiology" [accessed on 2023]. Available at: https://www.encepp.eu/standards_and_guidances/methodologicalGuide.shtml.</w:t>
      </w:r>
    </w:p>
    <w:p w14:paraId="6573F4DA" w14:textId="42F93C9C" w:rsidR="00945211" w:rsidRDefault="00945211">
      <w:pPr>
        <w:rPr>
          <w:rFonts w:cstheme="minorHAnsi"/>
          <w:sz w:val="16"/>
          <w:szCs w:val="16"/>
        </w:rPr>
      </w:pPr>
      <w:r w:rsidRPr="00D01C7E">
        <w:rPr>
          <w:rFonts w:cstheme="minorHAnsi"/>
          <w:sz w:val="16"/>
          <w:szCs w:val="16"/>
        </w:rPr>
        <w:t xml:space="preserve">Faries D, Zhang X, Kadziola Z, et al. </w:t>
      </w:r>
      <w:proofErr w:type="gramStart"/>
      <w:r w:rsidRPr="00D01C7E">
        <w:rPr>
          <w:rFonts w:cstheme="minorHAnsi"/>
          <w:sz w:val="16"/>
          <w:szCs w:val="16"/>
        </w:rPr>
        <w:t>Real world</w:t>
      </w:r>
      <w:proofErr w:type="gramEnd"/>
      <w:r w:rsidRPr="00D01C7E">
        <w:rPr>
          <w:rFonts w:cstheme="minorHAnsi"/>
          <w:sz w:val="16"/>
          <w:szCs w:val="16"/>
        </w:rPr>
        <w:t xml:space="preserve"> health care data analysis: causal methods and implementation using SAS. SAS Institute; 2020 Jan 15.</w:t>
      </w:r>
    </w:p>
    <w:p w14:paraId="7CF2192C" w14:textId="51595E49" w:rsidR="00D01C7E" w:rsidRPr="00D01C7E" w:rsidRDefault="00D01C7E">
      <w:pPr>
        <w:rPr>
          <w:rFonts w:cstheme="minorHAnsi"/>
          <w:sz w:val="16"/>
          <w:szCs w:val="16"/>
        </w:rPr>
      </w:pPr>
      <w:r w:rsidRPr="00AC5FC8">
        <w:rPr>
          <w:rFonts w:cstheme="minorHAnsi"/>
          <w:sz w:val="16"/>
          <w:szCs w:val="16"/>
        </w:rPr>
        <w:t xml:space="preserve">Karl D Ferguson, Mark McCann, Srinivasa Vittal </w:t>
      </w:r>
      <w:proofErr w:type="spellStart"/>
      <w:r w:rsidRPr="00AC5FC8">
        <w:rPr>
          <w:rFonts w:cstheme="minorHAnsi"/>
          <w:sz w:val="16"/>
          <w:szCs w:val="16"/>
        </w:rPr>
        <w:t>Katikireddi</w:t>
      </w:r>
      <w:proofErr w:type="spellEnd"/>
      <w:r w:rsidRPr="00AC5FC8">
        <w:rPr>
          <w:rFonts w:cstheme="minorHAnsi"/>
          <w:sz w:val="16"/>
          <w:szCs w:val="16"/>
        </w:rPr>
        <w:t>, Hilary Thomson, Michael J Green, Daniel J Smith, James D Lewsey,</w:t>
      </w:r>
      <w:r w:rsidRPr="00D01C7E">
        <w:rPr>
          <w:rFonts w:cstheme="minorHAnsi"/>
          <w:sz w:val="16"/>
          <w:szCs w:val="16"/>
        </w:rPr>
        <w:t xml:space="preserve"> Evidence synthesis for constructing directed acyclic graphs (ESC-DAGs): a novel and systematic method for building directed acyclic graphs, International Journal of Epidemiology, Volume 49, Issue 1, February 2020, Pages 322–329, https://doi.org/10.1093/ije/dyz150</w:t>
      </w:r>
    </w:p>
    <w:p w14:paraId="5B409817" w14:textId="77777777" w:rsidR="00D01C7E" w:rsidRPr="00D01C7E" w:rsidRDefault="00D01C7E" w:rsidP="00D01C7E">
      <w:pPr>
        <w:rPr>
          <w:rFonts w:cstheme="minorHAnsi"/>
          <w:sz w:val="16"/>
          <w:szCs w:val="16"/>
        </w:rPr>
      </w:pPr>
      <w:r w:rsidRPr="00D01C7E">
        <w:rPr>
          <w:rFonts w:cstheme="minorHAnsi"/>
          <w:sz w:val="16"/>
          <w:szCs w:val="16"/>
        </w:rPr>
        <w:t xml:space="preserve">Franklin, J. </w:t>
      </w:r>
      <w:proofErr w:type="gramStart"/>
      <w:r w:rsidRPr="00D01C7E">
        <w:rPr>
          <w:rFonts w:cstheme="minorHAnsi"/>
          <w:sz w:val="16"/>
          <w:szCs w:val="16"/>
        </w:rPr>
        <w:t>M.</w:t>
      </w:r>
      <w:proofErr w:type="gramEnd"/>
      <w:r w:rsidRPr="00D01C7E">
        <w:rPr>
          <w:rFonts w:cstheme="minorHAnsi"/>
          <w:sz w:val="16"/>
          <w:szCs w:val="16"/>
        </w:rPr>
        <w:t xml:space="preserve"> and S. Schneeweiss. 2017. “When and How Can Real World Data Analyses Substitute for Randomized Controlled Trials?” Clin </w:t>
      </w:r>
      <w:proofErr w:type="spellStart"/>
      <w:r w:rsidRPr="00D01C7E">
        <w:rPr>
          <w:rFonts w:cstheme="minorHAnsi"/>
          <w:sz w:val="16"/>
          <w:szCs w:val="16"/>
        </w:rPr>
        <w:t>Pharmacol</w:t>
      </w:r>
      <w:proofErr w:type="spellEnd"/>
      <w:r w:rsidRPr="00D01C7E">
        <w:rPr>
          <w:rFonts w:cstheme="minorHAnsi"/>
          <w:sz w:val="16"/>
          <w:szCs w:val="16"/>
        </w:rPr>
        <w:t xml:space="preserve"> Ther 102(6): 924-33.</w:t>
      </w:r>
    </w:p>
    <w:p w14:paraId="692B037C" w14:textId="7FF99A89" w:rsidR="00746058" w:rsidRPr="00D01C7E" w:rsidRDefault="00746058">
      <w:pPr>
        <w:rPr>
          <w:rFonts w:cstheme="minorHAnsi"/>
          <w:sz w:val="16"/>
          <w:szCs w:val="16"/>
        </w:rPr>
      </w:pPr>
      <w:r w:rsidRPr="00D01C7E">
        <w:rPr>
          <w:rFonts w:cstheme="minorHAnsi"/>
          <w:sz w:val="16"/>
          <w:szCs w:val="16"/>
        </w:rPr>
        <w:t>Funk MJ, Westreich D, Wiesen C, et al. Doubly robust estimation of causal effects. Am J Epidemiol. 2011 Apr 1;173(7):761-7.</w:t>
      </w:r>
    </w:p>
    <w:p w14:paraId="5DD221E3" w14:textId="1BB3C3A0" w:rsidR="00C32AB1" w:rsidRDefault="00C32AB1">
      <w:pPr>
        <w:rPr>
          <w:rFonts w:cstheme="minorHAnsi"/>
          <w:sz w:val="16"/>
          <w:szCs w:val="16"/>
        </w:rPr>
      </w:pPr>
      <w:r w:rsidRPr="00D01C7E">
        <w:rPr>
          <w:rFonts w:cstheme="minorHAnsi"/>
          <w:sz w:val="16"/>
          <w:szCs w:val="16"/>
        </w:rPr>
        <w:t xml:space="preserve">Joshua J Gagne, Jennifer M Polinski, Jerry </w:t>
      </w:r>
      <w:proofErr w:type="spellStart"/>
      <w:r w:rsidRPr="00D01C7E">
        <w:rPr>
          <w:rFonts w:cstheme="minorHAnsi"/>
          <w:sz w:val="16"/>
          <w:szCs w:val="16"/>
        </w:rPr>
        <w:t>Avorn</w:t>
      </w:r>
      <w:proofErr w:type="spellEnd"/>
      <w:r w:rsidRPr="00D01C7E">
        <w:rPr>
          <w:rFonts w:cstheme="minorHAnsi"/>
          <w:sz w:val="16"/>
          <w:szCs w:val="16"/>
        </w:rPr>
        <w:t>, Robert J Glynn, John D Seeger. Standards for Causal Inference Methods in Analyses of Data from Observational and Experimental Studies in Patient-Centered Outcomes Research. Final Technical Report (2012). Prepared for: Patient-Centered Outcome Research Institute Methodology Committee. https://www.pcori.org/sites/default/files/Standards-for-Causal-Inference-Methods-in-Analyses-of-Data-from-Observational-and-Experimental-Studies-in-Patient-Centered-Outcomes-Research1.pdf [Accessed 29 Feb 2024]</w:t>
      </w:r>
    </w:p>
    <w:p w14:paraId="1C1DC037" w14:textId="510A5AA7" w:rsidR="00206995" w:rsidRPr="00D01C7E" w:rsidRDefault="00206995">
      <w:pPr>
        <w:rPr>
          <w:rFonts w:cstheme="minorHAnsi"/>
          <w:sz w:val="16"/>
          <w:szCs w:val="16"/>
        </w:rPr>
      </w:pPr>
      <w:r w:rsidRPr="00AC5FC8">
        <w:rPr>
          <w:rFonts w:cstheme="minorHAnsi"/>
          <w:sz w:val="16"/>
          <w:szCs w:val="16"/>
        </w:rPr>
        <w:t>Sandro Galea Roger D. Vaughan “Moving Beyond the Cause Constraint: A Public Health of Consequence, May 2018”, American</w:t>
      </w:r>
      <w:r w:rsidRPr="00206995">
        <w:rPr>
          <w:rFonts w:cstheme="minorHAnsi"/>
          <w:sz w:val="16"/>
          <w:szCs w:val="16"/>
        </w:rPr>
        <w:t xml:space="preserve"> Journal of Public Health 108, no. 5 (May 1, 2018): pp. 602-603.</w:t>
      </w:r>
    </w:p>
    <w:p w14:paraId="33A7FC5B" w14:textId="53E21AC0" w:rsidR="00945211" w:rsidRPr="00D01C7E" w:rsidRDefault="00945211">
      <w:pPr>
        <w:rPr>
          <w:rFonts w:cstheme="minorHAnsi"/>
          <w:sz w:val="16"/>
          <w:szCs w:val="16"/>
        </w:rPr>
      </w:pPr>
      <w:r w:rsidRPr="00D01C7E">
        <w:rPr>
          <w:rFonts w:cstheme="minorHAnsi"/>
          <w:sz w:val="16"/>
          <w:szCs w:val="16"/>
        </w:rPr>
        <w:lastRenderedPageBreak/>
        <w:t xml:space="preserve">Garrido MM, Dowd B, Hebert PL, Maciejewski ML. Understanding Treatment Effect Terminology in </w:t>
      </w:r>
      <w:proofErr w:type="gramStart"/>
      <w:r w:rsidRPr="00D01C7E">
        <w:rPr>
          <w:rFonts w:cstheme="minorHAnsi"/>
          <w:sz w:val="16"/>
          <w:szCs w:val="16"/>
        </w:rPr>
        <w:t>Pain</w:t>
      </w:r>
      <w:proofErr w:type="gramEnd"/>
      <w:r w:rsidRPr="00D01C7E">
        <w:rPr>
          <w:rFonts w:cstheme="minorHAnsi"/>
          <w:sz w:val="16"/>
          <w:szCs w:val="16"/>
        </w:rPr>
        <w:t xml:space="preserve"> and Symptom Management Research. J Pain Symptom Manage. 2016 Sep;52(3):446-52. doi: 10.1016/j.jpainsymman.2016.01.016. Epub 2016 May 21. PMID: 27220944; PMCID: PMC6794006.</w:t>
      </w:r>
    </w:p>
    <w:p w14:paraId="6A4A00D1" w14:textId="4D136E47" w:rsidR="00D01C7E" w:rsidRPr="00D01C7E" w:rsidRDefault="00D01C7E">
      <w:pPr>
        <w:rPr>
          <w:rFonts w:cstheme="minorHAnsi"/>
          <w:sz w:val="16"/>
          <w:szCs w:val="16"/>
        </w:rPr>
      </w:pPr>
      <w:r w:rsidRPr="00D01C7E">
        <w:rPr>
          <w:rFonts w:cstheme="minorHAnsi"/>
          <w:sz w:val="16"/>
          <w:szCs w:val="16"/>
        </w:rPr>
        <w:t xml:space="preserve">Girman, C. J., D. Faries, P. Ryan, M. Rotelli, M. Belger, B. </w:t>
      </w:r>
      <w:proofErr w:type="spellStart"/>
      <w:r w:rsidRPr="00D01C7E">
        <w:rPr>
          <w:rFonts w:cstheme="minorHAnsi"/>
          <w:sz w:val="16"/>
          <w:szCs w:val="16"/>
        </w:rPr>
        <w:t>Binkowitz</w:t>
      </w:r>
      <w:proofErr w:type="spellEnd"/>
      <w:r w:rsidRPr="00D01C7E">
        <w:rPr>
          <w:rFonts w:cstheme="minorHAnsi"/>
          <w:sz w:val="16"/>
          <w:szCs w:val="16"/>
        </w:rPr>
        <w:t>, R. O'Neill, and C. E. R. S. W. G. Drug Information Association. 2014. “Pre-study feasibility and identifying sensitivity analyses for protocol pre-specification in comparative effectiveness research.” J Comp Eff Res 3(3): 259-70.</w:t>
      </w:r>
    </w:p>
    <w:p w14:paraId="15A90A1E" w14:textId="77777777" w:rsidR="00D01C7E" w:rsidRDefault="00D01C7E" w:rsidP="00D01C7E">
      <w:pPr>
        <w:rPr>
          <w:rFonts w:cstheme="minorHAnsi"/>
          <w:sz w:val="16"/>
          <w:szCs w:val="16"/>
        </w:rPr>
      </w:pPr>
      <w:r w:rsidRPr="00D01C7E">
        <w:rPr>
          <w:rFonts w:cstheme="minorHAnsi"/>
          <w:sz w:val="16"/>
          <w:szCs w:val="16"/>
        </w:rPr>
        <w:t xml:space="preserve">Griffith, G. J., T. T. Morris, M. J. Tudball, A. Herbert, G. Mancano, L. Pike, G. C. Sharp, J. Sterne, T. M. Palmer, G. Davey Smith, K. Tilling, L. </w:t>
      </w:r>
      <w:proofErr w:type="spellStart"/>
      <w:r w:rsidRPr="00D01C7E">
        <w:rPr>
          <w:rFonts w:cstheme="minorHAnsi"/>
          <w:sz w:val="16"/>
          <w:szCs w:val="16"/>
        </w:rPr>
        <w:t>Zuccolo</w:t>
      </w:r>
      <w:proofErr w:type="spellEnd"/>
      <w:r w:rsidRPr="00D01C7E">
        <w:rPr>
          <w:rFonts w:cstheme="minorHAnsi"/>
          <w:sz w:val="16"/>
          <w:szCs w:val="16"/>
        </w:rPr>
        <w:t xml:space="preserve">, N. M. Davies, and G. Hemani. 2020. “Collider bias undermines our understanding of COVID-19 disease risk and severity.” Nat </w:t>
      </w:r>
      <w:proofErr w:type="spellStart"/>
      <w:r w:rsidRPr="00D01C7E">
        <w:rPr>
          <w:rFonts w:cstheme="minorHAnsi"/>
          <w:sz w:val="16"/>
          <w:szCs w:val="16"/>
        </w:rPr>
        <w:t>Commun</w:t>
      </w:r>
      <w:proofErr w:type="spellEnd"/>
      <w:r w:rsidRPr="00D01C7E">
        <w:rPr>
          <w:rFonts w:cstheme="minorHAnsi"/>
          <w:sz w:val="16"/>
          <w:szCs w:val="16"/>
        </w:rPr>
        <w:t xml:space="preserve"> 11(1): 5749.</w:t>
      </w:r>
    </w:p>
    <w:p w14:paraId="091AFDFD" w14:textId="79972E7B" w:rsidR="00206995" w:rsidRPr="00D01C7E" w:rsidRDefault="00206995" w:rsidP="00D01C7E">
      <w:pPr>
        <w:rPr>
          <w:rFonts w:cstheme="minorHAnsi"/>
          <w:sz w:val="16"/>
          <w:szCs w:val="16"/>
        </w:rPr>
      </w:pPr>
      <w:r w:rsidRPr="00206995">
        <w:rPr>
          <w:rFonts w:cstheme="minorHAnsi"/>
          <w:sz w:val="16"/>
          <w:szCs w:val="16"/>
        </w:rPr>
        <w:t xml:space="preserve">Hall GC, Lanes S, </w:t>
      </w:r>
      <w:proofErr w:type="spellStart"/>
      <w:r w:rsidRPr="00206995">
        <w:rPr>
          <w:rFonts w:cstheme="minorHAnsi"/>
          <w:sz w:val="16"/>
          <w:szCs w:val="16"/>
        </w:rPr>
        <w:t>Bollaerts</w:t>
      </w:r>
      <w:proofErr w:type="spellEnd"/>
      <w:r w:rsidRPr="00206995">
        <w:rPr>
          <w:rFonts w:cstheme="minorHAnsi"/>
          <w:sz w:val="16"/>
          <w:szCs w:val="16"/>
        </w:rPr>
        <w:t xml:space="preserve"> K, Zhou X, Ferreira G, Gini R. Outcome misclassification: Impact, usual practice in pharmacoepidemiology database studies and an online aid to correct biased estimates of risk ratio or cumulative incidence. </w:t>
      </w:r>
      <w:proofErr w:type="spellStart"/>
      <w:r w:rsidRPr="00206995">
        <w:rPr>
          <w:rFonts w:cstheme="minorHAnsi"/>
          <w:sz w:val="16"/>
          <w:szCs w:val="16"/>
        </w:rPr>
        <w:t>Pharmacoepidemiol</w:t>
      </w:r>
      <w:proofErr w:type="spellEnd"/>
      <w:r w:rsidRPr="00206995">
        <w:rPr>
          <w:rFonts w:cstheme="minorHAnsi"/>
          <w:sz w:val="16"/>
          <w:szCs w:val="16"/>
        </w:rPr>
        <w:t xml:space="preserve"> Drug </w:t>
      </w:r>
      <w:proofErr w:type="spellStart"/>
      <w:r w:rsidRPr="00206995">
        <w:rPr>
          <w:rFonts w:cstheme="minorHAnsi"/>
          <w:sz w:val="16"/>
          <w:szCs w:val="16"/>
        </w:rPr>
        <w:t>Saf</w:t>
      </w:r>
      <w:proofErr w:type="spellEnd"/>
      <w:r w:rsidRPr="00206995">
        <w:rPr>
          <w:rFonts w:cstheme="minorHAnsi"/>
          <w:sz w:val="16"/>
          <w:szCs w:val="16"/>
        </w:rPr>
        <w:t>. 2020; 29: 1450–1455. https://doi.org/10.1002/pds.5109</w:t>
      </w:r>
    </w:p>
    <w:p w14:paraId="6F5D7985" w14:textId="10F5E77C" w:rsidR="00D01C7E" w:rsidRPr="00D01C7E" w:rsidRDefault="00D01C7E" w:rsidP="00D01C7E">
      <w:pPr>
        <w:rPr>
          <w:rFonts w:cstheme="minorHAnsi"/>
          <w:sz w:val="16"/>
          <w:szCs w:val="16"/>
        </w:rPr>
      </w:pPr>
      <w:r w:rsidRPr="00D01C7E">
        <w:rPr>
          <w:rFonts w:cstheme="minorHAnsi"/>
          <w:sz w:val="16"/>
          <w:szCs w:val="16"/>
        </w:rPr>
        <w:t xml:space="preserve">Hernán, M. A. 2018. “The C-Word: Scientific Euphemisms Do Not Improve Causal Inference </w:t>
      </w:r>
      <w:proofErr w:type="gramStart"/>
      <w:r w:rsidRPr="00D01C7E">
        <w:rPr>
          <w:rFonts w:cstheme="minorHAnsi"/>
          <w:sz w:val="16"/>
          <w:szCs w:val="16"/>
        </w:rPr>
        <w:t>From</w:t>
      </w:r>
      <w:proofErr w:type="gramEnd"/>
      <w:r w:rsidRPr="00D01C7E">
        <w:rPr>
          <w:rFonts w:cstheme="minorHAnsi"/>
          <w:sz w:val="16"/>
          <w:szCs w:val="16"/>
        </w:rPr>
        <w:t xml:space="preserve"> Observational Data.” American journal of public health 108(5): 616-19.</w:t>
      </w:r>
    </w:p>
    <w:p w14:paraId="7A85F756" w14:textId="2A6A86B0" w:rsidR="00C0603E" w:rsidRPr="00D01C7E" w:rsidRDefault="00C0603E">
      <w:pPr>
        <w:rPr>
          <w:rFonts w:cstheme="minorHAnsi"/>
          <w:sz w:val="16"/>
          <w:szCs w:val="16"/>
        </w:rPr>
      </w:pPr>
      <w:r w:rsidRPr="00D01C7E">
        <w:rPr>
          <w:rFonts w:cstheme="minorHAnsi"/>
          <w:sz w:val="16"/>
          <w:szCs w:val="16"/>
        </w:rPr>
        <w:t>Hernán MA, Hernández-Díaz S. Beyond the intention-to-treat in comparative effectiveness research. Clin Trials. 2012;9(1):48-55.</w:t>
      </w:r>
    </w:p>
    <w:p w14:paraId="264E9219" w14:textId="54BECD95" w:rsidR="00D01C7E" w:rsidRDefault="00D01C7E">
      <w:pPr>
        <w:rPr>
          <w:rFonts w:cstheme="minorHAnsi"/>
          <w:sz w:val="16"/>
          <w:szCs w:val="16"/>
        </w:rPr>
      </w:pPr>
      <w:r w:rsidRPr="00D01C7E">
        <w:rPr>
          <w:rFonts w:cstheme="minorHAnsi"/>
          <w:sz w:val="16"/>
          <w:szCs w:val="16"/>
        </w:rPr>
        <w:t>Hernán, M. A. and J. M. Robins. 2016. “Using Big Data to Emulate a Target Trial When a Randomized Trial Is Not Available.” Am J Epidemiol 183(8): 758-64.</w:t>
      </w:r>
    </w:p>
    <w:p w14:paraId="2F7B1C38" w14:textId="46932105" w:rsidR="00206995" w:rsidRPr="00D01C7E" w:rsidRDefault="00206995">
      <w:pPr>
        <w:rPr>
          <w:rFonts w:cstheme="minorHAnsi"/>
          <w:sz w:val="16"/>
          <w:szCs w:val="16"/>
        </w:rPr>
      </w:pPr>
      <w:r w:rsidRPr="00206995">
        <w:rPr>
          <w:rFonts w:cstheme="minorHAnsi"/>
          <w:sz w:val="16"/>
          <w:szCs w:val="16"/>
        </w:rPr>
        <w:t>Hernán MA, Robins JM (2020). Causal Inference: What If. Boca Raton: Chapman &amp; Hall/CRC</w:t>
      </w:r>
    </w:p>
    <w:p w14:paraId="2E095617" w14:textId="64536FAE" w:rsidR="00FC1C5F" w:rsidRPr="00D01C7E" w:rsidRDefault="00FC1C5F">
      <w:pPr>
        <w:rPr>
          <w:rFonts w:cstheme="minorHAnsi"/>
          <w:sz w:val="16"/>
          <w:szCs w:val="16"/>
        </w:rPr>
      </w:pPr>
      <w:r w:rsidRPr="00D01C7E">
        <w:rPr>
          <w:rFonts w:cstheme="minorHAnsi"/>
          <w:sz w:val="16"/>
          <w:szCs w:val="16"/>
        </w:rPr>
        <w:t>Howe CJ, Cole SR, Chmiel JS, Muñoz A. Limitation of inverse probability-of-censoring weights in estimating survival in the presence of strong selection bias. Am J Epidemiol. 2011;173(5):569-577.</w:t>
      </w:r>
    </w:p>
    <w:p w14:paraId="49F44977" w14:textId="46BA8122" w:rsidR="00746058" w:rsidRPr="00D01C7E" w:rsidRDefault="00746058">
      <w:pPr>
        <w:rPr>
          <w:rFonts w:cstheme="minorHAnsi"/>
          <w:sz w:val="16"/>
          <w:szCs w:val="16"/>
        </w:rPr>
      </w:pPr>
      <w:r w:rsidRPr="00D01C7E">
        <w:rPr>
          <w:rFonts w:cstheme="minorHAnsi"/>
          <w:sz w:val="16"/>
          <w:szCs w:val="16"/>
        </w:rPr>
        <w:t>Jager KJ, Zoccali C, Macleod A, Dekker FW. Confounding: what it is and how to deal with it. Kidney Int. 2008;73(3):256-260.</w:t>
      </w:r>
    </w:p>
    <w:p w14:paraId="31462A6E" w14:textId="03047C76" w:rsidR="00C0603E" w:rsidRPr="00D01C7E" w:rsidRDefault="00C0603E">
      <w:pPr>
        <w:rPr>
          <w:rFonts w:cstheme="minorHAnsi"/>
          <w:sz w:val="16"/>
          <w:szCs w:val="16"/>
        </w:rPr>
      </w:pPr>
      <w:r w:rsidRPr="00AC5FC8">
        <w:rPr>
          <w:rFonts w:cstheme="minorHAnsi"/>
          <w:sz w:val="16"/>
          <w:szCs w:val="16"/>
        </w:rPr>
        <w:t>Brennan C Kahan, Suzie Cro, Fan Li, Michael O Harhay, Eliminating Ambiguous Treatment Effects Using Estimands, American</w:t>
      </w:r>
      <w:r w:rsidRPr="00D01C7E">
        <w:rPr>
          <w:rFonts w:cstheme="minorHAnsi"/>
          <w:sz w:val="16"/>
          <w:szCs w:val="16"/>
        </w:rPr>
        <w:t xml:space="preserve"> Journal of Epidemiology, Volume 192, Issue 6, June 2023, Pages 987–994, </w:t>
      </w:r>
      <w:hyperlink r:id="rId9" w:history="1">
        <w:r w:rsidR="00383B17" w:rsidRPr="00D01C7E">
          <w:rPr>
            <w:rStyle w:val="Hyperlink"/>
            <w:rFonts w:cstheme="minorHAnsi"/>
            <w:sz w:val="16"/>
            <w:szCs w:val="16"/>
          </w:rPr>
          <w:t>https://doi.org/10.1093/aje/kwad036</w:t>
        </w:r>
      </w:hyperlink>
    </w:p>
    <w:p w14:paraId="11AF4833" w14:textId="77777777" w:rsidR="00D01C7E" w:rsidRPr="00D01C7E" w:rsidRDefault="00D01C7E" w:rsidP="00D01C7E">
      <w:pPr>
        <w:rPr>
          <w:rFonts w:cstheme="minorHAnsi"/>
          <w:sz w:val="16"/>
          <w:szCs w:val="16"/>
        </w:rPr>
      </w:pPr>
      <w:r w:rsidRPr="00D01C7E">
        <w:rPr>
          <w:rFonts w:cstheme="minorHAnsi"/>
          <w:sz w:val="16"/>
          <w:szCs w:val="16"/>
        </w:rPr>
        <w:t xml:space="preserve">Labrecque, J. A. and S. A. Swanson. 2017. “Target trial emulation: teaching epidemiology and beyond.” </w:t>
      </w:r>
      <w:proofErr w:type="spellStart"/>
      <w:r w:rsidRPr="00D01C7E">
        <w:rPr>
          <w:rFonts w:cstheme="minorHAnsi"/>
          <w:sz w:val="16"/>
          <w:szCs w:val="16"/>
        </w:rPr>
        <w:t>Eur</w:t>
      </w:r>
      <w:proofErr w:type="spellEnd"/>
      <w:r w:rsidRPr="00D01C7E">
        <w:rPr>
          <w:rFonts w:cstheme="minorHAnsi"/>
          <w:sz w:val="16"/>
          <w:szCs w:val="16"/>
        </w:rPr>
        <w:t xml:space="preserve"> J Epidemiol 32(6): 473-75.</w:t>
      </w:r>
    </w:p>
    <w:p w14:paraId="6FE8E081" w14:textId="0C718AF2" w:rsidR="00D01C7E" w:rsidRPr="00D01C7E" w:rsidRDefault="00D01C7E" w:rsidP="00D01C7E">
      <w:pPr>
        <w:rPr>
          <w:rFonts w:cstheme="minorHAnsi"/>
          <w:sz w:val="16"/>
          <w:szCs w:val="16"/>
        </w:rPr>
      </w:pPr>
      <w:r w:rsidRPr="00D01C7E">
        <w:rPr>
          <w:rFonts w:cstheme="minorHAnsi"/>
          <w:sz w:val="16"/>
          <w:szCs w:val="16"/>
        </w:rPr>
        <w:t xml:space="preserve">Lanes, </w:t>
      </w:r>
      <w:proofErr w:type="gramStart"/>
      <w:r w:rsidRPr="00D01C7E">
        <w:rPr>
          <w:rFonts w:cstheme="minorHAnsi"/>
          <w:sz w:val="16"/>
          <w:szCs w:val="16"/>
        </w:rPr>
        <w:t>S.</w:t>
      </w:r>
      <w:proofErr w:type="gramEnd"/>
      <w:r w:rsidRPr="00D01C7E">
        <w:rPr>
          <w:rFonts w:cstheme="minorHAnsi"/>
          <w:sz w:val="16"/>
          <w:szCs w:val="16"/>
        </w:rPr>
        <w:t xml:space="preserve"> and D. C. Beachler. 2023. “Validation to correct for outcome misclassification bias.” </w:t>
      </w:r>
      <w:proofErr w:type="spellStart"/>
      <w:r w:rsidRPr="00D01C7E">
        <w:rPr>
          <w:rFonts w:cstheme="minorHAnsi"/>
          <w:sz w:val="16"/>
          <w:szCs w:val="16"/>
        </w:rPr>
        <w:t>Pharmacoepidemiol</w:t>
      </w:r>
      <w:proofErr w:type="spellEnd"/>
      <w:r w:rsidRPr="00D01C7E">
        <w:rPr>
          <w:rFonts w:cstheme="minorHAnsi"/>
          <w:sz w:val="16"/>
          <w:szCs w:val="16"/>
        </w:rPr>
        <w:t xml:space="preserve"> Drug </w:t>
      </w:r>
      <w:proofErr w:type="spellStart"/>
      <w:r w:rsidRPr="00D01C7E">
        <w:rPr>
          <w:rFonts w:cstheme="minorHAnsi"/>
          <w:sz w:val="16"/>
          <w:szCs w:val="16"/>
        </w:rPr>
        <w:t>Saf</w:t>
      </w:r>
      <w:proofErr w:type="spellEnd"/>
      <w:r w:rsidRPr="00D01C7E">
        <w:rPr>
          <w:rFonts w:cstheme="minorHAnsi"/>
          <w:sz w:val="16"/>
          <w:szCs w:val="16"/>
        </w:rPr>
        <w:t>.</w:t>
      </w:r>
    </w:p>
    <w:p w14:paraId="380E521D" w14:textId="77777777" w:rsidR="00D01C7E" w:rsidRPr="00D01C7E" w:rsidRDefault="00D01C7E" w:rsidP="00D01C7E">
      <w:pPr>
        <w:rPr>
          <w:rFonts w:cstheme="minorHAnsi"/>
          <w:sz w:val="16"/>
          <w:szCs w:val="16"/>
        </w:rPr>
      </w:pPr>
      <w:r w:rsidRPr="00D01C7E">
        <w:rPr>
          <w:rFonts w:cstheme="minorHAnsi"/>
          <w:sz w:val="16"/>
          <w:szCs w:val="16"/>
        </w:rPr>
        <w:t>Lash, T. L., M. P. Fox, and A. K. Fink. 2009. Applying quantitative bias analysis to epidemiologic data: Springer.</w:t>
      </w:r>
    </w:p>
    <w:p w14:paraId="1870F08A" w14:textId="77777777" w:rsidR="00D01C7E" w:rsidRPr="00D01C7E" w:rsidRDefault="00D01C7E" w:rsidP="00D01C7E">
      <w:pPr>
        <w:rPr>
          <w:rFonts w:cstheme="minorHAnsi"/>
          <w:sz w:val="16"/>
          <w:szCs w:val="16"/>
        </w:rPr>
      </w:pPr>
      <w:r w:rsidRPr="00D01C7E">
        <w:rPr>
          <w:rFonts w:cstheme="minorHAnsi"/>
          <w:sz w:val="16"/>
          <w:szCs w:val="16"/>
        </w:rPr>
        <w:t xml:space="preserve">Lash, T. L., M. P. Fox, R. F. </w:t>
      </w:r>
      <w:proofErr w:type="spellStart"/>
      <w:r w:rsidRPr="00D01C7E">
        <w:rPr>
          <w:rFonts w:cstheme="minorHAnsi"/>
          <w:sz w:val="16"/>
          <w:szCs w:val="16"/>
        </w:rPr>
        <w:t>MacLehose</w:t>
      </w:r>
      <w:proofErr w:type="spellEnd"/>
      <w:r w:rsidRPr="00D01C7E">
        <w:rPr>
          <w:rFonts w:cstheme="minorHAnsi"/>
          <w:sz w:val="16"/>
          <w:szCs w:val="16"/>
        </w:rPr>
        <w:t>, G. Maldonado, L. C. McCandless, and S. Greenland. 2014. “Good practices for quantitative bias analysis.” Int J Epidemiol 43(6): 1969-85.</w:t>
      </w:r>
    </w:p>
    <w:p w14:paraId="40C045E2" w14:textId="3FC894FB" w:rsidR="00D01C7E" w:rsidRDefault="00D01C7E" w:rsidP="00D01C7E">
      <w:pPr>
        <w:rPr>
          <w:rFonts w:cstheme="minorHAnsi"/>
          <w:sz w:val="16"/>
          <w:szCs w:val="16"/>
        </w:rPr>
      </w:pPr>
      <w:r w:rsidRPr="00D01C7E">
        <w:rPr>
          <w:rFonts w:cstheme="minorHAnsi"/>
          <w:sz w:val="16"/>
          <w:szCs w:val="16"/>
        </w:rPr>
        <w:t xml:space="preserve">Leahy, T. P., S. Kent, C. Sammon, R. H. </w:t>
      </w:r>
      <w:proofErr w:type="spellStart"/>
      <w:r w:rsidRPr="00D01C7E">
        <w:rPr>
          <w:rFonts w:cstheme="minorHAnsi"/>
          <w:sz w:val="16"/>
          <w:szCs w:val="16"/>
        </w:rPr>
        <w:t>Groenwold</w:t>
      </w:r>
      <w:proofErr w:type="spellEnd"/>
      <w:r w:rsidRPr="00D01C7E">
        <w:rPr>
          <w:rFonts w:cstheme="minorHAnsi"/>
          <w:sz w:val="16"/>
          <w:szCs w:val="16"/>
        </w:rPr>
        <w:t xml:space="preserve">, R. Grieve, S. </w:t>
      </w:r>
      <w:proofErr w:type="spellStart"/>
      <w:r w:rsidRPr="00D01C7E">
        <w:rPr>
          <w:rFonts w:cstheme="minorHAnsi"/>
          <w:sz w:val="16"/>
          <w:szCs w:val="16"/>
        </w:rPr>
        <w:t>Ramagopalan</w:t>
      </w:r>
      <w:proofErr w:type="spellEnd"/>
      <w:r w:rsidRPr="00D01C7E">
        <w:rPr>
          <w:rFonts w:cstheme="minorHAnsi"/>
          <w:sz w:val="16"/>
          <w:szCs w:val="16"/>
        </w:rPr>
        <w:t>, and M. Gomes. 2022. “Unmeasured confounding in nonrandomized studies: quantitative bias analysis in health technology assessment.” J Comp Eff Res 11(12): 851-59.</w:t>
      </w:r>
    </w:p>
    <w:p w14:paraId="7B5760F6" w14:textId="1B41A189" w:rsidR="00DB7ADB" w:rsidRPr="00D01C7E" w:rsidRDefault="00DB7ADB" w:rsidP="00D01C7E">
      <w:pPr>
        <w:rPr>
          <w:rFonts w:cstheme="minorHAnsi"/>
          <w:sz w:val="16"/>
          <w:szCs w:val="16"/>
        </w:rPr>
      </w:pPr>
      <w:r w:rsidRPr="00DB7ADB">
        <w:rPr>
          <w:rFonts w:cstheme="minorHAnsi"/>
          <w:sz w:val="16"/>
          <w:szCs w:val="16"/>
        </w:rPr>
        <w:t xml:space="preserve">Levesque LE, Hanley JA, </w:t>
      </w:r>
      <w:proofErr w:type="spellStart"/>
      <w:r w:rsidRPr="00DB7ADB">
        <w:rPr>
          <w:rFonts w:cstheme="minorHAnsi"/>
          <w:sz w:val="16"/>
          <w:szCs w:val="16"/>
        </w:rPr>
        <w:t>Kezouh</w:t>
      </w:r>
      <w:proofErr w:type="spellEnd"/>
      <w:r w:rsidRPr="00DB7ADB">
        <w:rPr>
          <w:rFonts w:cstheme="minorHAnsi"/>
          <w:sz w:val="16"/>
          <w:szCs w:val="16"/>
        </w:rPr>
        <w:t xml:space="preserve"> A, Suissa S. Problem of immortal time bias in cohort studies: example using statins for preventing progression of diabetes. BMJ. 2010;</w:t>
      </w:r>
      <w:proofErr w:type="gramStart"/>
      <w:r w:rsidRPr="00DB7ADB">
        <w:rPr>
          <w:rFonts w:cstheme="minorHAnsi"/>
          <w:sz w:val="16"/>
          <w:szCs w:val="16"/>
        </w:rPr>
        <w:t>340:b</w:t>
      </w:r>
      <w:proofErr w:type="gramEnd"/>
      <w:r w:rsidRPr="00DB7ADB">
        <w:rPr>
          <w:rFonts w:cstheme="minorHAnsi"/>
          <w:sz w:val="16"/>
          <w:szCs w:val="16"/>
        </w:rPr>
        <w:t>5087.</w:t>
      </w:r>
    </w:p>
    <w:p w14:paraId="4836651D" w14:textId="562A201F" w:rsidR="00383B17" w:rsidRPr="00D01C7E" w:rsidRDefault="00383B17" w:rsidP="00383B17">
      <w:pPr>
        <w:rPr>
          <w:rFonts w:cstheme="minorHAnsi"/>
          <w:sz w:val="16"/>
          <w:szCs w:val="16"/>
        </w:rPr>
      </w:pPr>
      <w:proofErr w:type="spellStart"/>
      <w:r w:rsidRPr="00D01C7E">
        <w:rPr>
          <w:rFonts w:cstheme="minorHAnsi"/>
          <w:sz w:val="16"/>
          <w:szCs w:val="16"/>
        </w:rPr>
        <w:t>Lipsitch</w:t>
      </w:r>
      <w:proofErr w:type="spellEnd"/>
      <w:r w:rsidRPr="00D01C7E">
        <w:rPr>
          <w:rFonts w:cstheme="minorHAnsi"/>
          <w:sz w:val="16"/>
          <w:szCs w:val="16"/>
        </w:rPr>
        <w:t xml:space="preserve"> M, </w:t>
      </w:r>
      <w:proofErr w:type="spellStart"/>
      <w:r w:rsidRPr="00D01C7E">
        <w:rPr>
          <w:rFonts w:cstheme="minorHAnsi"/>
          <w:sz w:val="16"/>
          <w:szCs w:val="16"/>
        </w:rPr>
        <w:t>Tchetgen</w:t>
      </w:r>
      <w:proofErr w:type="spellEnd"/>
      <w:r w:rsidRPr="00D01C7E">
        <w:rPr>
          <w:rFonts w:cstheme="minorHAnsi"/>
          <w:sz w:val="16"/>
          <w:szCs w:val="16"/>
        </w:rPr>
        <w:t xml:space="preserve"> </w:t>
      </w:r>
      <w:proofErr w:type="spellStart"/>
      <w:r w:rsidRPr="00D01C7E">
        <w:rPr>
          <w:rFonts w:cstheme="minorHAnsi"/>
          <w:sz w:val="16"/>
          <w:szCs w:val="16"/>
        </w:rPr>
        <w:t>Tchetgen</w:t>
      </w:r>
      <w:proofErr w:type="spellEnd"/>
      <w:r w:rsidRPr="00D01C7E">
        <w:rPr>
          <w:rFonts w:cstheme="minorHAnsi"/>
          <w:sz w:val="16"/>
          <w:szCs w:val="16"/>
        </w:rPr>
        <w:t xml:space="preserve"> E, Cohen T. Negative controls: a tool for detecting confounding and bias in observational studies. Epidemiology </w:t>
      </w:r>
      <w:proofErr w:type="gramStart"/>
      <w:r w:rsidRPr="00D01C7E">
        <w:rPr>
          <w:rFonts w:cstheme="minorHAnsi"/>
          <w:sz w:val="16"/>
          <w:szCs w:val="16"/>
        </w:rPr>
        <w:t>2010;21:383</w:t>
      </w:r>
      <w:proofErr w:type="gramEnd"/>
      <w:r w:rsidRPr="00D01C7E">
        <w:rPr>
          <w:rFonts w:cstheme="minorHAnsi"/>
          <w:sz w:val="16"/>
          <w:szCs w:val="16"/>
        </w:rPr>
        <w:t>-388.</w:t>
      </w:r>
    </w:p>
    <w:p w14:paraId="13718470" w14:textId="74908AC1" w:rsidR="00C0603E" w:rsidRPr="00D01C7E" w:rsidRDefault="00C0603E">
      <w:pPr>
        <w:rPr>
          <w:rFonts w:cstheme="minorHAnsi"/>
          <w:sz w:val="16"/>
          <w:szCs w:val="16"/>
        </w:rPr>
      </w:pPr>
      <w:r w:rsidRPr="00D01C7E">
        <w:rPr>
          <w:rFonts w:cstheme="minorHAnsi"/>
          <w:sz w:val="16"/>
          <w:szCs w:val="16"/>
        </w:rPr>
        <w:t>Little RJ, Lewis RJ. Estimands, Estimators, and Estimates. JAMA. 2021;326(10):967–968</w:t>
      </w:r>
    </w:p>
    <w:p w14:paraId="4BD9D76C" w14:textId="4C9A6B48" w:rsidR="00D01C7E" w:rsidRPr="00D01C7E" w:rsidRDefault="00D01C7E">
      <w:pPr>
        <w:rPr>
          <w:rFonts w:cstheme="minorHAnsi"/>
          <w:sz w:val="16"/>
          <w:szCs w:val="16"/>
        </w:rPr>
      </w:pPr>
      <w:r w:rsidRPr="00D01C7E">
        <w:rPr>
          <w:rFonts w:cstheme="minorHAnsi"/>
          <w:sz w:val="16"/>
          <w:szCs w:val="16"/>
        </w:rPr>
        <w:t>Lund, J. L., D. B. Richardson, and T. Sturmer. 2015. “The active comparator, new user study design in pharmacoepidemiology: historical foundations and contemporary application.” Curr Epidemiol Rep 2(4): 221-28.</w:t>
      </w:r>
    </w:p>
    <w:p w14:paraId="5D64A0E3" w14:textId="55CF6651" w:rsidR="00087BB5" w:rsidRDefault="00087BB5">
      <w:pPr>
        <w:rPr>
          <w:rFonts w:cstheme="minorHAnsi"/>
          <w:sz w:val="16"/>
          <w:szCs w:val="16"/>
        </w:rPr>
      </w:pPr>
      <w:proofErr w:type="spellStart"/>
      <w:r w:rsidRPr="00D01C7E">
        <w:rPr>
          <w:rFonts w:cstheme="minorHAnsi"/>
          <w:sz w:val="16"/>
          <w:szCs w:val="16"/>
        </w:rPr>
        <w:t>Mansournia</w:t>
      </w:r>
      <w:proofErr w:type="spellEnd"/>
      <w:r w:rsidRPr="00D01C7E">
        <w:rPr>
          <w:rFonts w:cstheme="minorHAnsi"/>
          <w:sz w:val="16"/>
          <w:szCs w:val="16"/>
        </w:rPr>
        <w:t xml:space="preserve"> MA, </w:t>
      </w:r>
      <w:proofErr w:type="spellStart"/>
      <w:r w:rsidRPr="00D01C7E">
        <w:rPr>
          <w:rFonts w:cstheme="minorHAnsi"/>
          <w:sz w:val="16"/>
          <w:szCs w:val="16"/>
        </w:rPr>
        <w:t>Etminan</w:t>
      </w:r>
      <w:proofErr w:type="spellEnd"/>
      <w:r w:rsidRPr="00D01C7E">
        <w:rPr>
          <w:rFonts w:cstheme="minorHAnsi"/>
          <w:sz w:val="16"/>
          <w:szCs w:val="16"/>
        </w:rPr>
        <w:t xml:space="preserve"> M, </w:t>
      </w:r>
      <w:proofErr w:type="spellStart"/>
      <w:r w:rsidRPr="00D01C7E">
        <w:rPr>
          <w:rFonts w:cstheme="minorHAnsi"/>
          <w:sz w:val="16"/>
          <w:szCs w:val="16"/>
        </w:rPr>
        <w:t>Danaei</w:t>
      </w:r>
      <w:proofErr w:type="spellEnd"/>
      <w:r w:rsidRPr="00D01C7E">
        <w:rPr>
          <w:rFonts w:cstheme="minorHAnsi"/>
          <w:sz w:val="16"/>
          <w:szCs w:val="16"/>
        </w:rPr>
        <w:t xml:space="preserve"> G, Kaufman JS, Collins G. Handling time varying confounding in observational research. BMJ. 2017 Oct 16;359.</w:t>
      </w:r>
    </w:p>
    <w:p w14:paraId="3174123D" w14:textId="1F3BF8EA" w:rsidR="00206995" w:rsidRPr="00D01C7E" w:rsidRDefault="00206995">
      <w:pPr>
        <w:rPr>
          <w:rFonts w:cstheme="minorHAnsi"/>
          <w:sz w:val="16"/>
          <w:szCs w:val="16"/>
        </w:rPr>
      </w:pPr>
      <w:r w:rsidRPr="00206995">
        <w:rPr>
          <w:rFonts w:cstheme="minorHAnsi"/>
          <w:sz w:val="16"/>
          <w:szCs w:val="16"/>
        </w:rPr>
        <w:t>Mathur MB (2018). Website and R package for computing E-values. Epidemiology, 29(5), e45-e47.</w:t>
      </w:r>
    </w:p>
    <w:p w14:paraId="5E12E501" w14:textId="18C6929A" w:rsidR="00087BB5" w:rsidRPr="00D01C7E" w:rsidRDefault="00087BB5">
      <w:pPr>
        <w:rPr>
          <w:rFonts w:cstheme="minorHAnsi"/>
          <w:sz w:val="16"/>
          <w:szCs w:val="16"/>
        </w:rPr>
      </w:pPr>
      <w:r w:rsidRPr="00D01C7E">
        <w:rPr>
          <w:rFonts w:cstheme="minorHAnsi"/>
          <w:sz w:val="16"/>
          <w:szCs w:val="16"/>
        </w:rPr>
        <w:t>Naimi AI, Cole SR, Kennedy EH. An introduction to g methods. International journal of epidemiology. 2017 Apr 1;46(2):756-62.</w:t>
      </w:r>
    </w:p>
    <w:p w14:paraId="08111C3B" w14:textId="77777777" w:rsidR="00D01C7E" w:rsidRPr="00D01C7E" w:rsidRDefault="00D01C7E" w:rsidP="00D01C7E">
      <w:pPr>
        <w:rPr>
          <w:rFonts w:cstheme="minorHAnsi"/>
          <w:sz w:val="16"/>
          <w:szCs w:val="16"/>
        </w:rPr>
      </w:pPr>
      <w:r w:rsidRPr="00D01C7E">
        <w:rPr>
          <w:rFonts w:cstheme="minorHAnsi"/>
          <w:sz w:val="16"/>
          <w:szCs w:val="16"/>
        </w:rPr>
        <w:t xml:space="preserve">Pearl, J. 1995. “Causal diagrams for empirical research.” </w:t>
      </w:r>
      <w:proofErr w:type="spellStart"/>
      <w:r w:rsidRPr="00D01C7E">
        <w:rPr>
          <w:rFonts w:cstheme="minorHAnsi"/>
          <w:sz w:val="16"/>
          <w:szCs w:val="16"/>
        </w:rPr>
        <w:t>Biometrika</w:t>
      </w:r>
      <w:proofErr w:type="spellEnd"/>
      <w:r w:rsidRPr="00D01C7E">
        <w:rPr>
          <w:rFonts w:cstheme="minorHAnsi"/>
          <w:sz w:val="16"/>
          <w:szCs w:val="16"/>
        </w:rPr>
        <w:t xml:space="preserve"> 82(4): 669-88.</w:t>
      </w:r>
    </w:p>
    <w:p w14:paraId="312714B9" w14:textId="77777777" w:rsidR="00D01C7E" w:rsidRPr="00D01C7E" w:rsidRDefault="00D01C7E" w:rsidP="00D01C7E">
      <w:pPr>
        <w:rPr>
          <w:rFonts w:cstheme="minorHAnsi"/>
          <w:sz w:val="16"/>
          <w:szCs w:val="16"/>
        </w:rPr>
      </w:pPr>
      <w:r w:rsidRPr="00D01C7E">
        <w:rPr>
          <w:rFonts w:cstheme="minorHAnsi"/>
          <w:sz w:val="16"/>
          <w:szCs w:val="16"/>
        </w:rPr>
        <w:t>Petri H, Urquhart J. Channeling bias in the interpretation of drug effects. Stat Med. 1991 Apr;10(4</w:t>
      </w:r>
      <w:proofErr w:type="gramStart"/>
      <w:r w:rsidRPr="00D01C7E">
        <w:rPr>
          <w:rFonts w:cstheme="minorHAnsi"/>
          <w:sz w:val="16"/>
          <w:szCs w:val="16"/>
        </w:rPr>
        <w:t>):577-81.doi</w:t>
      </w:r>
      <w:proofErr w:type="gramEnd"/>
      <w:r w:rsidRPr="00D01C7E">
        <w:rPr>
          <w:rFonts w:cstheme="minorHAnsi"/>
          <w:sz w:val="16"/>
          <w:szCs w:val="16"/>
        </w:rPr>
        <w:t>: 10.1002/sim.4780100409. PMID: 2057656</w:t>
      </w:r>
    </w:p>
    <w:p w14:paraId="1374B5A3" w14:textId="77777777" w:rsidR="00D01C7E" w:rsidRPr="00D01C7E" w:rsidRDefault="00D01C7E" w:rsidP="00D01C7E">
      <w:pPr>
        <w:rPr>
          <w:rFonts w:cstheme="minorHAnsi"/>
          <w:sz w:val="16"/>
          <w:szCs w:val="16"/>
        </w:rPr>
      </w:pPr>
      <w:r w:rsidRPr="00D01C7E">
        <w:rPr>
          <w:rFonts w:cstheme="minorHAnsi"/>
          <w:sz w:val="16"/>
          <w:szCs w:val="16"/>
        </w:rPr>
        <w:lastRenderedPageBreak/>
        <w:t>Prada-</w:t>
      </w:r>
      <w:proofErr w:type="spellStart"/>
      <w:r w:rsidRPr="00D01C7E">
        <w:rPr>
          <w:rFonts w:cstheme="minorHAnsi"/>
          <w:sz w:val="16"/>
          <w:szCs w:val="16"/>
        </w:rPr>
        <w:t>Ramallal</w:t>
      </w:r>
      <w:proofErr w:type="spellEnd"/>
      <w:r w:rsidRPr="00D01C7E">
        <w:rPr>
          <w:rFonts w:cstheme="minorHAnsi"/>
          <w:sz w:val="16"/>
          <w:szCs w:val="16"/>
        </w:rPr>
        <w:t xml:space="preserve">, G., B. </w:t>
      </w:r>
      <w:proofErr w:type="spellStart"/>
      <w:r w:rsidRPr="00D01C7E">
        <w:rPr>
          <w:rFonts w:cstheme="minorHAnsi"/>
          <w:sz w:val="16"/>
          <w:szCs w:val="16"/>
        </w:rPr>
        <w:t>Takkouche</w:t>
      </w:r>
      <w:proofErr w:type="spellEnd"/>
      <w:r w:rsidRPr="00D01C7E">
        <w:rPr>
          <w:rFonts w:cstheme="minorHAnsi"/>
          <w:sz w:val="16"/>
          <w:szCs w:val="16"/>
        </w:rPr>
        <w:t xml:space="preserve">, and A. Figueiras. 2019. “Bias in pharmacoepidemiologic studies using secondary health care databases: a scoping review.” BMC Med Res </w:t>
      </w:r>
      <w:proofErr w:type="spellStart"/>
      <w:r w:rsidRPr="00D01C7E">
        <w:rPr>
          <w:rFonts w:cstheme="minorHAnsi"/>
          <w:sz w:val="16"/>
          <w:szCs w:val="16"/>
        </w:rPr>
        <w:t>Methodol</w:t>
      </w:r>
      <w:proofErr w:type="spellEnd"/>
      <w:r w:rsidRPr="00D01C7E">
        <w:rPr>
          <w:rFonts w:cstheme="minorHAnsi"/>
          <w:sz w:val="16"/>
          <w:szCs w:val="16"/>
        </w:rPr>
        <w:t xml:space="preserve"> 19(1): 53.</w:t>
      </w:r>
    </w:p>
    <w:p w14:paraId="7F68FC83" w14:textId="77777777" w:rsidR="00D01C7E" w:rsidRDefault="00D01C7E" w:rsidP="00D01C7E">
      <w:pPr>
        <w:rPr>
          <w:rFonts w:cstheme="minorHAnsi"/>
          <w:sz w:val="16"/>
          <w:szCs w:val="16"/>
        </w:rPr>
      </w:pPr>
      <w:proofErr w:type="spellStart"/>
      <w:r w:rsidRPr="00D01C7E">
        <w:rPr>
          <w:rFonts w:cstheme="minorHAnsi"/>
          <w:sz w:val="16"/>
          <w:szCs w:val="16"/>
        </w:rPr>
        <w:t>Richiardi</w:t>
      </w:r>
      <w:proofErr w:type="spellEnd"/>
      <w:r w:rsidRPr="00D01C7E">
        <w:rPr>
          <w:rFonts w:cstheme="minorHAnsi"/>
          <w:sz w:val="16"/>
          <w:szCs w:val="16"/>
        </w:rPr>
        <w:t xml:space="preserve">, L., R. </w:t>
      </w:r>
      <w:proofErr w:type="spellStart"/>
      <w:r w:rsidRPr="00D01C7E">
        <w:rPr>
          <w:rFonts w:cstheme="minorHAnsi"/>
          <w:sz w:val="16"/>
          <w:szCs w:val="16"/>
        </w:rPr>
        <w:t>Bellocco</w:t>
      </w:r>
      <w:proofErr w:type="spellEnd"/>
      <w:r w:rsidRPr="00D01C7E">
        <w:rPr>
          <w:rFonts w:cstheme="minorHAnsi"/>
          <w:sz w:val="16"/>
          <w:szCs w:val="16"/>
        </w:rPr>
        <w:t xml:space="preserve">, and D. </w:t>
      </w:r>
      <w:proofErr w:type="spellStart"/>
      <w:r w:rsidRPr="00D01C7E">
        <w:rPr>
          <w:rFonts w:cstheme="minorHAnsi"/>
          <w:sz w:val="16"/>
          <w:szCs w:val="16"/>
        </w:rPr>
        <w:t>Zugna</w:t>
      </w:r>
      <w:proofErr w:type="spellEnd"/>
      <w:r w:rsidRPr="00D01C7E">
        <w:rPr>
          <w:rFonts w:cstheme="minorHAnsi"/>
          <w:sz w:val="16"/>
          <w:szCs w:val="16"/>
        </w:rPr>
        <w:t>. 2013. “Mediation analysis in epidemiology: methods, interpretation and bias.” Int J Epidemiol 42(5): 1511-9.</w:t>
      </w:r>
    </w:p>
    <w:p w14:paraId="27A25BFB" w14:textId="75A8DC28" w:rsidR="00D01C7E" w:rsidRPr="00D01C7E" w:rsidRDefault="00D01C7E" w:rsidP="00D01C7E">
      <w:pPr>
        <w:rPr>
          <w:rFonts w:cstheme="minorHAnsi"/>
          <w:sz w:val="16"/>
          <w:szCs w:val="16"/>
        </w:rPr>
      </w:pPr>
      <w:r w:rsidRPr="00AC5FC8">
        <w:rPr>
          <w:rFonts w:cstheme="minorHAnsi"/>
          <w:sz w:val="16"/>
          <w:szCs w:val="16"/>
        </w:rPr>
        <w:t xml:space="preserve">Daniela Rodrigues, Noemi </w:t>
      </w:r>
      <w:proofErr w:type="spellStart"/>
      <w:r w:rsidRPr="00AC5FC8">
        <w:rPr>
          <w:rFonts w:cstheme="minorHAnsi"/>
          <w:sz w:val="16"/>
          <w:szCs w:val="16"/>
        </w:rPr>
        <w:t>Kreif</w:t>
      </w:r>
      <w:proofErr w:type="spellEnd"/>
      <w:r w:rsidRPr="00AC5FC8">
        <w:rPr>
          <w:rFonts w:cstheme="minorHAnsi"/>
          <w:sz w:val="16"/>
          <w:szCs w:val="16"/>
        </w:rPr>
        <w:t>, Anna Lawrence-Jones, Mauricio Barahona, Erik Mayer, Reflection on modern methods:</w:t>
      </w:r>
      <w:r w:rsidRPr="00D01C7E">
        <w:rPr>
          <w:rFonts w:cstheme="minorHAnsi"/>
          <w:sz w:val="16"/>
          <w:szCs w:val="16"/>
        </w:rPr>
        <w:t xml:space="preserve"> constructing directed acyclic graphs (DAGs) with domain experts for health services research, International Journal of Epidemiology, Volume 51, Issue 4, August 2022, Pages 1339–1348, https://doi.org/10.1093/ije/dyac135</w:t>
      </w:r>
    </w:p>
    <w:p w14:paraId="20997C0B" w14:textId="79AC26AC" w:rsidR="00D01C7E" w:rsidRDefault="00D01C7E" w:rsidP="00D01C7E">
      <w:pPr>
        <w:rPr>
          <w:rFonts w:cstheme="minorHAnsi"/>
          <w:sz w:val="16"/>
          <w:szCs w:val="16"/>
        </w:rPr>
      </w:pPr>
      <w:r w:rsidRPr="00D01C7E">
        <w:rPr>
          <w:rFonts w:cstheme="minorHAnsi"/>
          <w:sz w:val="16"/>
          <w:szCs w:val="16"/>
        </w:rPr>
        <w:t>Rothman, K. J., S. Greenland, and T. L. Lash. 2008. Modern epidemiology. Philadelphia: Wolters Kluwer Health/Lippincott Williams &amp; Wilkins.</w:t>
      </w:r>
    </w:p>
    <w:p w14:paraId="3E3C538B" w14:textId="2459B5F3" w:rsidR="00D01C7E" w:rsidRPr="00D01C7E" w:rsidRDefault="00D01C7E" w:rsidP="00D01C7E">
      <w:pPr>
        <w:rPr>
          <w:rFonts w:cstheme="minorHAnsi"/>
          <w:sz w:val="16"/>
          <w:szCs w:val="16"/>
        </w:rPr>
      </w:pPr>
      <w:r w:rsidRPr="00D01C7E">
        <w:rPr>
          <w:rFonts w:cstheme="minorHAnsi"/>
          <w:sz w:val="16"/>
          <w:szCs w:val="16"/>
        </w:rPr>
        <w:t>Schneeweiss S, Rassen JA, Brown JS, Rothman KJ, Happe L, Arlett P, Dal Pan G, Goettsch W, Murk W, Wang SV. Graphical Depiction of Longitudinal Study Designs in Health Care Databases. Ann Intern Med. 2019 Mar 19;170(6):398-406. doi: 10.7326/M18-3079. Epub 2019 Mar 12. PMID: 30856654.</w:t>
      </w:r>
    </w:p>
    <w:p w14:paraId="000AD91E" w14:textId="53493AC6" w:rsidR="00087BB5" w:rsidRPr="00D01C7E" w:rsidRDefault="00087BB5">
      <w:pPr>
        <w:rPr>
          <w:rFonts w:cstheme="minorHAnsi"/>
          <w:sz w:val="16"/>
          <w:szCs w:val="16"/>
        </w:rPr>
      </w:pPr>
      <w:r w:rsidRPr="00D01C7E">
        <w:rPr>
          <w:rFonts w:cstheme="minorHAnsi"/>
          <w:sz w:val="16"/>
          <w:szCs w:val="16"/>
        </w:rPr>
        <w:t>Shrank WH, Patrick AR, Brookhart MA. Healthy user and related biases in observational studies of preventive interventions: a primer for physicians. J Gen Intern Med. 2011;26(5):546-550</w:t>
      </w:r>
    </w:p>
    <w:p w14:paraId="03E82638" w14:textId="75AEBAFF" w:rsidR="00C0603E" w:rsidRDefault="00C0603E">
      <w:pPr>
        <w:rPr>
          <w:rFonts w:cstheme="minorHAnsi"/>
          <w:sz w:val="16"/>
          <w:szCs w:val="16"/>
        </w:rPr>
      </w:pPr>
      <w:r w:rsidRPr="00D01C7E">
        <w:rPr>
          <w:rFonts w:cstheme="minorHAnsi"/>
          <w:sz w:val="16"/>
          <w:szCs w:val="16"/>
        </w:rPr>
        <w:t>Smith VA, Coffman CJ, Hudgens MG. Interpreting the Results of Intention-to-Treat, Per-Protocol, and As-Treated Analyses of Clinical Trials. JAMA. 2021;326(5):433–434</w:t>
      </w:r>
    </w:p>
    <w:p w14:paraId="744F293E" w14:textId="64141E55" w:rsidR="00206995" w:rsidRPr="00D01C7E" w:rsidRDefault="00206995">
      <w:pPr>
        <w:rPr>
          <w:rFonts w:cstheme="minorHAnsi"/>
          <w:sz w:val="16"/>
          <w:szCs w:val="16"/>
        </w:rPr>
      </w:pPr>
      <w:r w:rsidRPr="00206995">
        <w:rPr>
          <w:rFonts w:cstheme="minorHAnsi"/>
          <w:sz w:val="16"/>
          <w:szCs w:val="16"/>
        </w:rPr>
        <w:t xml:space="preserve">Sterne J A, Hernn M A, Reeves B C, </w:t>
      </w:r>
      <w:proofErr w:type="spellStart"/>
      <w:r w:rsidRPr="00206995">
        <w:rPr>
          <w:rFonts w:cstheme="minorHAnsi"/>
          <w:sz w:val="16"/>
          <w:szCs w:val="16"/>
        </w:rPr>
        <w:t>SavoviÄ</w:t>
      </w:r>
      <w:proofErr w:type="spellEnd"/>
      <w:r w:rsidRPr="00206995">
        <w:rPr>
          <w:rFonts w:cstheme="minorHAnsi"/>
          <w:sz w:val="16"/>
          <w:szCs w:val="16"/>
        </w:rPr>
        <w:t>‡ J, Berkman N D, Viswanathan M et al. ROBINS-I: a tool for assessing risk of bias in non-</w:t>
      </w:r>
      <w:proofErr w:type="spellStart"/>
      <w:r w:rsidRPr="00206995">
        <w:rPr>
          <w:rFonts w:cstheme="minorHAnsi"/>
          <w:sz w:val="16"/>
          <w:szCs w:val="16"/>
        </w:rPr>
        <w:t>randomised</w:t>
      </w:r>
      <w:proofErr w:type="spellEnd"/>
      <w:r w:rsidRPr="00206995">
        <w:rPr>
          <w:rFonts w:cstheme="minorHAnsi"/>
          <w:sz w:val="16"/>
          <w:szCs w:val="16"/>
        </w:rPr>
        <w:t xml:space="preserve"> studies of interventions BMJ 2016; </w:t>
      </w:r>
      <w:proofErr w:type="gramStart"/>
      <w:r w:rsidRPr="00206995">
        <w:rPr>
          <w:rFonts w:cstheme="minorHAnsi"/>
          <w:sz w:val="16"/>
          <w:szCs w:val="16"/>
        </w:rPr>
        <w:t>355 :i</w:t>
      </w:r>
      <w:proofErr w:type="gramEnd"/>
      <w:r w:rsidRPr="00206995">
        <w:rPr>
          <w:rFonts w:cstheme="minorHAnsi"/>
          <w:sz w:val="16"/>
          <w:szCs w:val="16"/>
        </w:rPr>
        <w:t>4919 doi:10.1136/bmj.i4919</w:t>
      </w:r>
    </w:p>
    <w:p w14:paraId="42EB8980" w14:textId="223F86BC" w:rsidR="00703248" w:rsidRPr="00D01C7E" w:rsidRDefault="00703248">
      <w:pPr>
        <w:rPr>
          <w:rFonts w:cstheme="minorHAnsi"/>
          <w:sz w:val="16"/>
          <w:szCs w:val="16"/>
        </w:rPr>
      </w:pPr>
      <w:r w:rsidRPr="00D01C7E">
        <w:rPr>
          <w:rFonts w:cstheme="minorHAnsi"/>
          <w:sz w:val="16"/>
          <w:szCs w:val="16"/>
        </w:rPr>
        <w:t>Stuart EA. Matching methods for causal inference: A review and a look forward. Stat Sci. 2010;25(1):1-21</w:t>
      </w:r>
    </w:p>
    <w:p w14:paraId="64F1139C" w14:textId="77777777" w:rsidR="00D01C7E" w:rsidRPr="00D01C7E" w:rsidRDefault="00D01C7E" w:rsidP="00D01C7E">
      <w:pPr>
        <w:rPr>
          <w:rFonts w:cstheme="minorHAnsi"/>
          <w:sz w:val="16"/>
          <w:szCs w:val="16"/>
        </w:rPr>
      </w:pPr>
      <w:r w:rsidRPr="00D01C7E">
        <w:rPr>
          <w:rFonts w:cstheme="minorHAnsi"/>
          <w:sz w:val="16"/>
          <w:szCs w:val="16"/>
        </w:rPr>
        <w:t xml:space="preserve">Stuart, E. A., E. </w:t>
      </w:r>
      <w:proofErr w:type="spellStart"/>
      <w:r w:rsidRPr="00D01C7E">
        <w:rPr>
          <w:rFonts w:cstheme="minorHAnsi"/>
          <w:sz w:val="16"/>
          <w:szCs w:val="16"/>
        </w:rPr>
        <w:t>DuGoff</w:t>
      </w:r>
      <w:proofErr w:type="spellEnd"/>
      <w:r w:rsidRPr="00D01C7E">
        <w:rPr>
          <w:rFonts w:cstheme="minorHAnsi"/>
          <w:sz w:val="16"/>
          <w:szCs w:val="16"/>
        </w:rPr>
        <w:t xml:space="preserve">, M. Abrams, D. </w:t>
      </w:r>
      <w:proofErr w:type="spellStart"/>
      <w:r w:rsidRPr="00D01C7E">
        <w:rPr>
          <w:rFonts w:cstheme="minorHAnsi"/>
          <w:sz w:val="16"/>
          <w:szCs w:val="16"/>
        </w:rPr>
        <w:t>Salkever</w:t>
      </w:r>
      <w:proofErr w:type="spellEnd"/>
      <w:r w:rsidRPr="00D01C7E">
        <w:rPr>
          <w:rFonts w:cstheme="minorHAnsi"/>
          <w:sz w:val="16"/>
          <w:szCs w:val="16"/>
        </w:rPr>
        <w:t>, and D. Steinwachs. 2013. “Estimating causal effects in observational studies using Electronic Health Data: Challenges and (some) solutions.” EGEMS (Wash DC) 1(3).</w:t>
      </w:r>
    </w:p>
    <w:p w14:paraId="72AFDA99" w14:textId="77777777" w:rsidR="00703248" w:rsidRPr="00D01C7E" w:rsidRDefault="00703248">
      <w:pPr>
        <w:rPr>
          <w:rFonts w:cstheme="minorHAnsi"/>
          <w:sz w:val="16"/>
          <w:szCs w:val="16"/>
        </w:rPr>
      </w:pPr>
      <w:r w:rsidRPr="00D01C7E">
        <w:rPr>
          <w:rFonts w:cstheme="minorHAnsi"/>
          <w:sz w:val="16"/>
          <w:szCs w:val="16"/>
        </w:rPr>
        <w:t xml:space="preserve">Suissa S, </w:t>
      </w:r>
      <w:proofErr w:type="spellStart"/>
      <w:r w:rsidRPr="00D01C7E">
        <w:rPr>
          <w:rFonts w:cstheme="minorHAnsi"/>
          <w:sz w:val="16"/>
          <w:szCs w:val="16"/>
        </w:rPr>
        <w:t>Dell'Aniello</w:t>
      </w:r>
      <w:proofErr w:type="spellEnd"/>
      <w:r w:rsidRPr="00D01C7E">
        <w:rPr>
          <w:rFonts w:cstheme="minorHAnsi"/>
          <w:sz w:val="16"/>
          <w:szCs w:val="16"/>
        </w:rPr>
        <w:t xml:space="preserve"> S. Time-related biases in pharmacoepidemiology. </w:t>
      </w:r>
      <w:proofErr w:type="spellStart"/>
      <w:r w:rsidRPr="00D01C7E">
        <w:rPr>
          <w:rFonts w:cstheme="minorHAnsi"/>
          <w:sz w:val="16"/>
          <w:szCs w:val="16"/>
        </w:rPr>
        <w:t>Pharmacoepidemiol</w:t>
      </w:r>
      <w:proofErr w:type="spellEnd"/>
      <w:r w:rsidRPr="00D01C7E">
        <w:rPr>
          <w:rFonts w:cstheme="minorHAnsi"/>
          <w:sz w:val="16"/>
          <w:szCs w:val="16"/>
        </w:rPr>
        <w:t xml:space="preserve"> Drug </w:t>
      </w:r>
      <w:proofErr w:type="spellStart"/>
      <w:r w:rsidRPr="00D01C7E">
        <w:rPr>
          <w:rFonts w:cstheme="minorHAnsi"/>
          <w:sz w:val="16"/>
          <w:szCs w:val="16"/>
        </w:rPr>
        <w:t>Saf</w:t>
      </w:r>
      <w:proofErr w:type="spellEnd"/>
      <w:r w:rsidRPr="00D01C7E">
        <w:rPr>
          <w:rFonts w:cstheme="minorHAnsi"/>
          <w:sz w:val="16"/>
          <w:szCs w:val="16"/>
        </w:rPr>
        <w:t>. 2020;29(9):1101-1110</w:t>
      </w:r>
    </w:p>
    <w:p w14:paraId="0E23ACEC" w14:textId="77777777" w:rsidR="00D01C7E" w:rsidRDefault="00D01C7E" w:rsidP="00D01C7E">
      <w:pPr>
        <w:rPr>
          <w:rFonts w:cstheme="minorHAnsi"/>
          <w:sz w:val="16"/>
          <w:szCs w:val="16"/>
        </w:rPr>
      </w:pPr>
      <w:proofErr w:type="spellStart"/>
      <w:r w:rsidRPr="00D01C7E">
        <w:rPr>
          <w:rFonts w:cstheme="minorHAnsi"/>
          <w:sz w:val="16"/>
          <w:szCs w:val="16"/>
        </w:rPr>
        <w:t>Tripepi</w:t>
      </w:r>
      <w:proofErr w:type="spellEnd"/>
      <w:r w:rsidRPr="00D01C7E">
        <w:rPr>
          <w:rFonts w:cstheme="minorHAnsi"/>
          <w:sz w:val="16"/>
          <w:szCs w:val="16"/>
        </w:rPr>
        <w:t xml:space="preserve">, G., K. J. Jager, F. W. Dekker, C. </w:t>
      </w:r>
      <w:proofErr w:type="spellStart"/>
      <w:r w:rsidRPr="00D01C7E">
        <w:rPr>
          <w:rFonts w:cstheme="minorHAnsi"/>
          <w:sz w:val="16"/>
          <w:szCs w:val="16"/>
        </w:rPr>
        <w:t>Wanner</w:t>
      </w:r>
      <w:proofErr w:type="spellEnd"/>
      <w:r w:rsidRPr="00D01C7E">
        <w:rPr>
          <w:rFonts w:cstheme="minorHAnsi"/>
          <w:sz w:val="16"/>
          <w:szCs w:val="16"/>
        </w:rPr>
        <w:t>, and C. Zoccali. 2007. “Measures of effect: relative risks, odds ratios, risk difference, and 'number needed to treat'.” Kidney Int 72(7): 789-91.</w:t>
      </w:r>
    </w:p>
    <w:p w14:paraId="10ABCA6D" w14:textId="5654B11C" w:rsidR="00206995" w:rsidRPr="00D01C7E" w:rsidRDefault="00206995" w:rsidP="00D01C7E">
      <w:pPr>
        <w:rPr>
          <w:rFonts w:cstheme="minorHAnsi"/>
          <w:sz w:val="16"/>
          <w:szCs w:val="16"/>
        </w:rPr>
      </w:pPr>
      <w:r w:rsidRPr="00206995">
        <w:rPr>
          <w:rFonts w:cstheme="minorHAnsi"/>
          <w:sz w:val="16"/>
          <w:szCs w:val="16"/>
        </w:rPr>
        <w:t>VanderWeele 2017. Sensitivity analysis in observational research: introducing the E-value. Annals of Internal Medicine, 167(4), 268-274.</w:t>
      </w:r>
    </w:p>
    <w:p w14:paraId="23464C02" w14:textId="77777777" w:rsidR="00D01C7E" w:rsidRPr="00D01C7E" w:rsidRDefault="00D01C7E" w:rsidP="00D01C7E">
      <w:pPr>
        <w:rPr>
          <w:rFonts w:cstheme="minorHAnsi"/>
          <w:sz w:val="16"/>
          <w:szCs w:val="16"/>
        </w:rPr>
      </w:pPr>
      <w:proofErr w:type="spellStart"/>
      <w:r w:rsidRPr="00D01C7E">
        <w:rPr>
          <w:rFonts w:cstheme="minorHAnsi"/>
          <w:sz w:val="16"/>
          <w:szCs w:val="16"/>
        </w:rPr>
        <w:t>Velentgas</w:t>
      </w:r>
      <w:proofErr w:type="spellEnd"/>
      <w:r w:rsidRPr="00D01C7E">
        <w:rPr>
          <w:rFonts w:cstheme="minorHAnsi"/>
          <w:sz w:val="16"/>
          <w:szCs w:val="16"/>
        </w:rPr>
        <w:t xml:space="preserve">, P., N. Dreyer, P. </w:t>
      </w:r>
      <w:proofErr w:type="spellStart"/>
      <w:r w:rsidRPr="00D01C7E">
        <w:rPr>
          <w:rFonts w:cstheme="minorHAnsi"/>
          <w:sz w:val="16"/>
          <w:szCs w:val="16"/>
        </w:rPr>
        <w:t>Nourjah</w:t>
      </w:r>
      <w:proofErr w:type="spellEnd"/>
      <w:r w:rsidRPr="00D01C7E">
        <w:rPr>
          <w:rFonts w:cstheme="minorHAnsi"/>
          <w:sz w:val="16"/>
          <w:szCs w:val="16"/>
        </w:rPr>
        <w:t>, S. Smith, and M. Torchia. 2013. “Developing a Protocol for Observational Comparative Effectiveness Research: A User’s Guide.” Agency for Healthcare Research and Quality (AHRQ) Publication 12(13).</w:t>
      </w:r>
    </w:p>
    <w:p w14:paraId="3CA0B6AE" w14:textId="5ADEA50B" w:rsidR="00D01C7E" w:rsidRPr="00D01C7E" w:rsidRDefault="00D01C7E" w:rsidP="00D01C7E">
      <w:pPr>
        <w:rPr>
          <w:rFonts w:cstheme="minorHAnsi"/>
          <w:sz w:val="16"/>
          <w:szCs w:val="16"/>
        </w:rPr>
      </w:pPr>
      <w:r w:rsidRPr="00D01C7E">
        <w:rPr>
          <w:rFonts w:cstheme="minorHAnsi"/>
          <w:sz w:val="16"/>
          <w:szCs w:val="16"/>
        </w:rPr>
        <w:t xml:space="preserve">Wang, A., R. A. </w:t>
      </w:r>
      <w:proofErr w:type="spellStart"/>
      <w:r w:rsidRPr="00D01C7E">
        <w:rPr>
          <w:rFonts w:cstheme="minorHAnsi"/>
          <w:sz w:val="16"/>
          <w:szCs w:val="16"/>
        </w:rPr>
        <w:t>Nianogo</w:t>
      </w:r>
      <w:proofErr w:type="spellEnd"/>
      <w:r w:rsidRPr="00D01C7E">
        <w:rPr>
          <w:rFonts w:cstheme="minorHAnsi"/>
          <w:sz w:val="16"/>
          <w:szCs w:val="16"/>
        </w:rPr>
        <w:t xml:space="preserve">, and O. A. Arah. 2017. “G-computation of average treatment effects on the treated and the untreated.” BMC Med Res </w:t>
      </w:r>
      <w:proofErr w:type="spellStart"/>
      <w:r w:rsidRPr="00D01C7E">
        <w:rPr>
          <w:rFonts w:cstheme="minorHAnsi"/>
          <w:sz w:val="16"/>
          <w:szCs w:val="16"/>
        </w:rPr>
        <w:t>Methodol</w:t>
      </w:r>
      <w:proofErr w:type="spellEnd"/>
      <w:r w:rsidRPr="00D01C7E">
        <w:rPr>
          <w:rFonts w:cstheme="minorHAnsi"/>
          <w:sz w:val="16"/>
          <w:szCs w:val="16"/>
        </w:rPr>
        <w:t xml:space="preserve"> 17(1): 3.</w:t>
      </w:r>
    </w:p>
    <w:p w14:paraId="4C72CB16" w14:textId="77777777" w:rsidR="00D01C7E" w:rsidRPr="00D01C7E" w:rsidRDefault="00D01C7E" w:rsidP="00D01C7E">
      <w:pPr>
        <w:rPr>
          <w:rFonts w:cstheme="minorHAnsi"/>
          <w:sz w:val="16"/>
          <w:szCs w:val="16"/>
        </w:rPr>
      </w:pPr>
      <w:r w:rsidRPr="00D01C7E">
        <w:rPr>
          <w:rFonts w:cstheme="minorHAnsi"/>
          <w:sz w:val="16"/>
          <w:szCs w:val="16"/>
        </w:rPr>
        <w:t xml:space="preserve">Yang, S., C. B. Eaton, J. Lu, and K. L. </w:t>
      </w:r>
      <w:proofErr w:type="spellStart"/>
      <w:r w:rsidRPr="00D01C7E">
        <w:rPr>
          <w:rFonts w:cstheme="minorHAnsi"/>
          <w:sz w:val="16"/>
          <w:szCs w:val="16"/>
        </w:rPr>
        <w:t>Lapane</w:t>
      </w:r>
      <w:proofErr w:type="spellEnd"/>
      <w:r w:rsidRPr="00D01C7E">
        <w:rPr>
          <w:rFonts w:cstheme="minorHAnsi"/>
          <w:sz w:val="16"/>
          <w:szCs w:val="16"/>
        </w:rPr>
        <w:t xml:space="preserve">. 2014. “Application of marginal structural models in pharmacoepidemiologic studies: a systematic review.” </w:t>
      </w:r>
      <w:proofErr w:type="spellStart"/>
      <w:r w:rsidRPr="00D01C7E">
        <w:rPr>
          <w:rFonts w:cstheme="minorHAnsi"/>
          <w:sz w:val="16"/>
          <w:szCs w:val="16"/>
        </w:rPr>
        <w:t>Pharmacoepidemiol</w:t>
      </w:r>
      <w:proofErr w:type="spellEnd"/>
      <w:r w:rsidRPr="00D01C7E">
        <w:rPr>
          <w:rFonts w:cstheme="minorHAnsi"/>
          <w:sz w:val="16"/>
          <w:szCs w:val="16"/>
        </w:rPr>
        <w:t xml:space="preserve"> Drug </w:t>
      </w:r>
      <w:proofErr w:type="spellStart"/>
      <w:r w:rsidRPr="00D01C7E">
        <w:rPr>
          <w:rFonts w:cstheme="minorHAnsi"/>
          <w:sz w:val="16"/>
          <w:szCs w:val="16"/>
        </w:rPr>
        <w:t>Saf</w:t>
      </w:r>
      <w:proofErr w:type="spellEnd"/>
      <w:r w:rsidRPr="00D01C7E">
        <w:rPr>
          <w:rFonts w:cstheme="minorHAnsi"/>
          <w:sz w:val="16"/>
          <w:szCs w:val="16"/>
        </w:rPr>
        <w:t xml:space="preserve"> 23(6): 560-71.</w:t>
      </w:r>
    </w:p>
    <w:p w14:paraId="7D29FC77" w14:textId="77777777" w:rsidR="00D01C7E" w:rsidRPr="00D01C7E" w:rsidRDefault="00D01C7E" w:rsidP="00D01C7E">
      <w:pPr>
        <w:rPr>
          <w:rFonts w:cstheme="minorHAnsi"/>
          <w:sz w:val="16"/>
          <w:szCs w:val="16"/>
        </w:rPr>
      </w:pPr>
      <w:r w:rsidRPr="00D01C7E">
        <w:rPr>
          <w:rFonts w:cstheme="minorHAnsi"/>
          <w:sz w:val="16"/>
          <w:szCs w:val="16"/>
        </w:rPr>
        <w:t xml:space="preserve">Yoshida K, Solomon DH, Kim, SC. Active-comparator </w:t>
      </w:r>
      <w:proofErr w:type="gramStart"/>
      <w:r w:rsidRPr="00D01C7E">
        <w:rPr>
          <w:rFonts w:cstheme="minorHAnsi"/>
          <w:sz w:val="16"/>
          <w:szCs w:val="16"/>
        </w:rPr>
        <w:t>design</w:t>
      </w:r>
      <w:proofErr w:type="gramEnd"/>
      <w:r w:rsidRPr="00D01C7E">
        <w:rPr>
          <w:rFonts w:cstheme="minorHAnsi"/>
          <w:sz w:val="16"/>
          <w:szCs w:val="16"/>
        </w:rPr>
        <w:t xml:space="preserve"> and new-user design in observational studies. Nat Rev </w:t>
      </w:r>
      <w:proofErr w:type="spellStart"/>
      <w:r w:rsidRPr="00D01C7E">
        <w:rPr>
          <w:rFonts w:cstheme="minorHAnsi"/>
          <w:sz w:val="16"/>
          <w:szCs w:val="16"/>
        </w:rPr>
        <w:t>Rheumatol</w:t>
      </w:r>
      <w:proofErr w:type="spellEnd"/>
      <w:r w:rsidRPr="00D01C7E">
        <w:rPr>
          <w:rFonts w:cstheme="minorHAnsi"/>
          <w:sz w:val="16"/>
          <w:szCs w:val="16"/>
        </w:rPr>
        <w:t>. 2015 Jul;11(7):437-41</w:t>
      </w:r>
    </w:p>
    <w:p w14:paraId="54C648C5" w14:textId="6AE5E979" w:rsidR="00D01C7E" w:rsidRPr="00D01C7E" w:rsidRDefault="00D01C7E" w:rsidP="00D01C7E">
      <w:pPr>
        <w:rPr>
          <w:rFonts w:cstheme="minorHAnsi"/>
          <w:sz w:val="16"/>
          <w:szCs w:val="16"/>
        </w:rPr>
      </w:pPr>
      <w:r w:rsidRPr="00D01C7E">
        <w:rPr>
          <w:rFonts w:cstheme="minorHAnsi"/>
          <w:sz w:val="16"/>
          <w:szCs w:val="16"/>
        </w:rPr>
        <w:t>Zhou, H., C. Taber, S. Arcona, and Y. Li. 2016. “Difference-in-Differences Method in Comparative Effectiveness Research: Utility with Unbalanced Groups.” Appl Health Econ Health Policy 14(4): 419-29.</w:t>
      </w:r>
    </w:p>
    <w:p w14:paraId="636BAD0A" w14:textId="77777777" w:rsidR="00ED2489" w:rsidRPr="003C5B2F" w:rsidRDefault="00ED2489">
      <w:pPr>
        <w:rPr>
          <w:rFonts w:cstheme="minorHAnsi"/>
        </w:rPr>
      </w:pPr>
    </w:p>
    <w:sectPr w:rsidR="00ED2489" w:rsidRPr="003C5B2F">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71DBF" w14:textId="77777777" w:rsidR="00823603" w:rsidRDefault="00823603" w:rsidP="00823603">
      <w:pPr>
        <w:spacing w:after="0" w:line="240" w:lineRule="auto"/>
      </w:pPr>
      <w:r>
        <w:separator/>
      </w:r>
    </w:p>
  </w:endnote>
  <w:endnote w:type="continuationSeparator" w:id="0">
    <w:p w14:paraId="76F772A8" w14:textId="77777777" w:rsidR="00823603" w:rsidRDefault="00823603" w:rsidP="008236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47936296"/>
      <w:docPartObj>
        <w:docPartGallery w:val="Page Numbers (Bottom of Page)"/>
        <w:docPartUnique/>
      </w:docPartObj>
    </w:sdtPr>
    <w:sdtEndPr/>
    <w:sdtContent>
      <w:sdt>
        <w:sdtPr>
          <w:id w:val="1728636285"/>
          <w:docPartObj>
            <w:docPartGallery w:val="Page Numbers (Top of Page)"/>
            <w:docPartUnique/>
          </w:docPartObj>
        </w:sdtPr>
        <w:sdtEndPr/>
        <w:sdtContent>
          <w:p w14:paraId="38F23C6E" w14:textId="29C900BC" w:rsidR="00626EA2" w:rsidRDefault="00626EA2">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B7263B6" w14:textId="77777777" w:rsidR="00626EA2" w:rsidRDefault="00626EA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3D13F" w14:textId="77777777" w:rsidR="00823603" w:rsidRDefault="00823603" w:rsidP="00823603">
      <w:pPr>
        <w:spacing w:after="0" w:line="240" w:lineRule="auto"/>
      </w:pPr>
      <w:r>
        <w:separator/>
      </w:r>
    </w:p>
  </w:footnote>
  <w:footnote w:type="continuationSeparator" w:id="0">
    <w:p w14:paraId="719E6F27" w14:textId="77777777" w:rsidR="00823603" w:rsidRDefault="00823603" w:rsidP="008236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921975"/>
    <w:multiLevelType w:val="hybridMultilevel"/>
    <w:tmpl w:val="94A6186C"/>
    <w:lvl w:ilvl="0" w:tplc="B6F0B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DC84B22"/>
    <w:multiLevelType w:val="hybridMultilevel"/>
    <w:tmpl w:val="319EC7F0"/>
    <w:lvl w:ilvl="0" w:tplc="B6F0B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6D05AF7"/>
    <w:multiLevelType w:val="hybridMultilevel"/>
    <w:tmpl w:val="F86C0A40"/>
    <w:lvl w:ilvl="0" w:tplc="B6F0B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8E7FD7"/>
    <w:multiLevelType w:val="hybridMultilevel"/>
    <w:tmpl w:val="5322C4AE"/>
    <w:lvl w:ilvl="0" w:tplc="B6F0B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659231B"/>
    <w:multiLevelType w:val="hybridMultilevel"/>
    <w:tmpl w:val="DD185BB4"/>
    <w:lvl w:ilvl="0" w:tplc="B6F0B00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D474CF"/>
    <w:multiLevelType w:val="hybridMultilevel"/>
    <w:tmpl w:val="D136C590"/>
    <w:lvl w:ilvl="0" w:tplc="B6F0B00E">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99089738">
    <w:abstractNumId w:val="4"/>
  </w:num>
  <w:num w:numId="2" w16cid:durableId="1882356268">
    <w:abstractNumId w:val="3"/>
  </w:num>
  <w:num w:numId="3" w16cid:durableId="564684293">
    <w:abstractNumId w:val="0"/>
  </w:num>
  <w:num w:numId="4" w16cid:durableId="192770951">
    <w:abstractNumId w:val="2"/>
  </w:num>
  <w:num w:numId="5" w16cid:durableId="1183711324">
    <w:abstractNumId w:val="5"/>
  </w:num>
  <w:num w:numId="6" w16cid:durableId="174195016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ocumentProtection w:edit="readOnly"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7F67"/>
    <w:rsid w:val="00087BB5"/>
    <w:rsid w:val="00090E13"/>
    <w:rsid w:val="000E3293"/>
    <w:rsid w:val="000E75A2"/>
    <w:rsid w:val="001B392B"/>
    <w:rsid w:val="001B7F67"/>
    <w:rsid w:val="001C5D00"/>
    <w:rsid w:val="001F6E56"/>
    <w:rsid w:val="00201DAF"/>
    <w:rsid w:val="00206995"/>
    <w:rsid w:val="00223D03"/>
    <w:rsid w:val="00354281"/>
    <w:rsid w:val="00354C01"/>
    <w:rsid w:val="00383B17"/>
    <w:rsid w:val="003C5B2F"/>
    <w:rsid w:val="00405A3F"/>
    <w:rsid w:val="004329C9"/>
    <w:rsid w:val="00482B5A"/>
    <w:rsid w:val="004B1A87"/>
    <w:rsid w:val="004B6825"/>
    <w:rsid w:val="004C3391"/>
    <w:rsid w:val="004C66F2"/>
    <w:rsid w:val="005A00B8"/>
    <w:rsid w:val="005B3EA0"/>
    <w:rsid w:val="006036B7"/>
    <w:rsid w:val="00626EA2"/>
    <w:rsid w:val="0065700E"/>
    <w:rsid w:val="007026FE"/>
    <w:rsid w:val="00703248"/>
    <w:rsid w:val="00746058"/>
    <w:rsid w:val="00823603"/>
    <w:rsid w:val="0084644A"/>
    <w:rsid w:val="0085099F"/>
    <w:rsid w:val="00945211"/>
    <w:rsid w:val="00950874"/>
    <w:rsid w:val="00A0582A"/>
    <w:rsid w:val="00A14041"/>
    <w:rsid w:val="00AA156C"/>
    <w:rsid w:val="00AC5FC8"/>
    <w:rsid w:val="00B12635"/>
    <w:rsid w:val="00B13F9C"/>
    <w:rsid w:val="00B34B8A"/>
    <w:rsid w:val="00B74D36"/>
    <w:rsid w:val="00B97D5E"/>
    <w:rsid w:val="00BE3885"/>
    <w:rsid w:val="00C0603E"/>
    <w:rsid w:val="00C13C40"/>
    <w:rsid w:val="00C32AB1"/>
    <w:rsid w:val="00D01C7E"/>
    <w:rsid w:val="00D40646"/>
    <w:rsid w:val="00DB7ADB"/>
    <w:rsid w:val="00DC0050"/>
    <w:rsid w:val="00E45EC1"/>
    <w:rsid w:val="00E9749B"/>
    <w:rsid w:val="00EC20DE"/>
    <w:rsid w:val="00ED2489"/>
    <w:rsid w:val="00F326ED"/>
    <w:rsid w:val="00F525FB"/>
    <w:rsid w:val="00F706CD"/>
    <w:rsid w:val="00FB2AFA"/>
    <w:rsid w:val="00FC1C5F"/>
    <w:rsid w:val="00FC7963"/>
    <w:rsid w:val="00FC79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6747A"/>
  <w15:chartTrackingRefBased/>
  <w15:docId w15:val="{AC781EC3-535A-4F42-9AE1-F7CC3ADFC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E3885"/>
    <w:pPr>
      <w:keepNext/>
      <w:keepLines/>
      <w:spacing w:before="240" w:after="0"/>
      <w:outlineLvl w:val="0"/>
    </w:pPr>
    <w:rPr>
      <w:rFonts w:asciiTheme="majorHAnsi" w:eastAsiaTheme="majorEastAsia" w:hAnsiTheme="majorHAnsi" w:cstheme="majorBidi"/>
      <w:color w:val="3B0687"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B7F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B7F67"/>
    <w:pPr>
      <w:ind w:left="720"/>
      <w:contextualSpacing/>
    </w:pPr>
  </w:style>
  <w:style w:type="paragraph" w:styleId="Title">
    <w:name w:val="Title"/>
    <w:basedOn w:val="Normal"/>
    <w:next w:val="Normal"/>
    <w:link w:val="TitleChar"/>
    <w:uiPriority w:val="10"/>
    <w:qFormat/>
    <w:rsid w:val="00BE388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E3885"/>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BE3885"/>
    <w:rPr>
      <w:rFonts w:asciiTheme="majorHAnsi" w:eastAsiaTheme="majorEastAsia" w:hAnsiTheme="majorHAnsi" w:cstheme="majorBidi"/>
      <w:color w:val="3B0687" w:themeColor="accent1" w:themeShade="BF"/>
      <w:sz w:val="32"/>
      <w:szCs w:val="32"/>
    </w:rPr>
  </w:style>
  <w:style w:type="character" w:styleId="PlaceholderText">
    <w:name w:val="Placeholder Text"/>
    <w:basedOn w:val="DefaultParagraphFont"/>
    <w:uiPriority w:val="99"/>
    <w:semiHidden/>
    <w:rsid w:val="003C5B2F"/>
    <w:rPr>
      <w:color w:val="808080"/>
    </w:rPr>
  </w:style>
  <w:style w:type="character" w:styleId="Hyperlink">
    <w:name w:val="Hyperlink"/>
    <w:basedOn w:val="DefaultParagraphFont"/>
    <w:uiPriority w:val="99"/>
    <w:unhideWhenUsed/>
    <w:rsid w:val="00DC0050"/>
    <w:rPr>
      <w:color w:val="0F61FE" w:themeColor="hyperlink"/>
      <w:u w:val="single"/>
    </w:rPr>
  </w:style>
  <w:style w:type="character" w:styleId="UnresolvedMention">
    <w:name w:val="Unresolved Mention"/>
    <w:basedOn w:val="DefaultParagraphFont"/>
    <w:uiPriority w:val="99"/>
    <w:semiHidden/>
    <w:unhideWhenUsed/>
    <w:rsid w:val="00DC0050"/>
    <w:rPr>
      <w:color w:val="605E5C"/>
      <w:shd w:val="clear" w:color="auto" w:fill="E1DFDD"/>
    </w:rPr>
  </w:style>
  <w:style w:type="character" w:styleId="FollowedHyperlink">
    <w:name w:val="FollowedHyperlink"/>
    <w:basedOn w:val="DefaultParagraphFont"/>
    <w:uiPriority w:val="99"/>
    <w:semiHidden/>
    <w:unhideWhenUsed/>
    <w:rsid w:val="00223D03"/>
    <w:rPr>
      <w:color w:val="7030A0" w:themeColor="followedHyperlink"/>
      <w:u w:val="single"/>
    </w:rPr>
  </w:style>
  <w:style w:type="paragraph" w:styleId="Header">
    <w:name w:val="header"/>
    <w:basedOn w:val="Normal"/>
    <w:link w:val="HeaderChar"/>
    <w:uiPriority w:val="99"/>
    <w:unhideWhenUsed/>
    <w:rsid w:val="008236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3603"/>
  </w:style>
  <w:style w:type="paragraph" w:styleId="Footer">
    <w:name w:val="footer"/>
    <w:basedOn w:val="Normal"/>
    <w:link w:val="FooterChar"/>
    <w:uiPriority w:val="99"/>
    <w:unhideWhenUsed/>
    <w:rsid w:val="008236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3603"/>
  </w:style>
  <w:style w:type="character" w:styleId="CommentReference">
    <w:name w:val="annotation reference"/>
    <w:basedOn w:val="DefaultParagraphFont"/>
    <w:uiPriority w:val="99"/>
    <w:semiHidden/>
    <w:unhideWhenUsed/>
    <w:rsid w:val="005A00B8"/>
    <w:rPr>
      <w:sz w:val="16"/>
      <w:szCs w:val="16"/>
    </w:rPr>
  </w:style>
  <w:style w:type="paragraph" w:styleId="CommentText">
    <w:name w:val="annotation text"/>
    <w:basedOn w:val="Normal"/>
    <w:link w:val="CommentTextChar"/>
    <w:uiPriority w:val="99"/>
    <w:unhideWhenUsed/>
    <w:rsid w:val="005A00B8"/>
    <w:pPr>
      <w:spacing w:line="240" w:lineRule="auto"/>
    </w:pPr>
    <w:rPr>
      <w:sz w:val="20"/>
      <w:szCs w:val="20"/>
    </w:rPr>
  </w:style>
  <w:style w:type="character" w:customStyle="1" w:styleId="CommentTextChar">
    <w:name w:val="Comment Text Char"/>
    <w:basedOn w:val="DefaultParagraphFont"/>
    <w:link w:val="CommentText"/>
    <w:uiPriority w:val="99"/>
    <w:rsid w:val="005A00B8"/>
    <w:rPr>
      <w:sz w:val="20"/>
      <w:szCs w:val="20"/>
    </w:rPr>
  </w:style>
  <w:style w:type="paragraph" w:styleId="CommentSubject">
    <w:name w:val="annotation subject"/>
    <w:basedOn w:val="CommentText"/>
    <w:next w:val="CommentText"/>
    <w:link w:val="CommentSubjectChar"/>
    <w:uiPriority w:val="99"/>
    <w:semiHidden/>
    <w:unhideWhenUsed/>
    <w:rsid w:val="005A00B8"/>
    <w:rPr>
      <w:b/>
      <w:bCs/>
    </w:rPr>
  </w:style>
  <w:style w:type="character" w:customStyle="1" w:styleId="CommentSubjectChar">
    <w:name w:val="Comment Subject Char"/>
    <w:basedOn w:val="CommentTextChar"/>
    <w:link w:val="CommentSubject"/>
    <w:uiPriority w:val="99"/>
    <w:semiHidden/>
    <w:rsid w:val="005A00B8"/>
    <w:rPr>
      <w:b/>
      <w:bCs/>
      <w:sz w:val="20"/>
      <w:szCs w:val="20"/>
    </w:rPr>
  </w:style>
  <w:style w:type="paragraph" w:customStyle="1" w:styleId="EndNoteBibliography">
    <w:name w:val="EndNote Bibliography"/>
    <w:basedOn w:val="Normal"/>
    <w:link w:val="EndNoteBibliographyChar"/>
    <w:rsid w:val="004B6825"/>
    <w:pPr>
      <w:spacing w:line="240" w:lineRule="auto"/>
    </w:pPr>
    <w:rPr>
      <w:rFonts w:ascii="Calibri" w:hAnsi="Calibri" w:cs="Calibri"/>
      <w:noProof/>
      <w:kern w:val="0"/>
      <w14:ligatures w14:val="none"/>
    </w:rPr>
  </w:style>
  <w:style w:type="character" w:customStyle="1" w:styleId="EndNoteBibliographyChar">
    <w:name w:val="EndNote Bibliography Char"/>
    <w:basedOn w:val="DefaultParagraphFont"/>
    <w:link w:val="EndNoteBibliography"/>
    <w:rsid w:val="004B6825"/>
    <w:rPr>
      <w:rFonts w:ascii="Calibri" w:hAnsi="Calibri" w:cs="Calibri"/>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atalogofbia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1093/aje/kwad036" TargetMode="External"/></Relationships>
</file>

<file path=word/theme/theme1.xml><?xml version="1.0" encoding="utf-8"?>
<a:theme xmlns:a="http://schemas.openxmlformats.org/drawingml/2006/main" name="Carelon">
  <a:themeElements>
    <a:clrScheme name="Custom 1">
      <a:dk1>
        <a:srgbClr val="5009B5"/>
      </a:dk1>
      <a:lt1>
        <a:srgbClr val="FFFFFF"/>
      </a:lt1>
      <a:dk2>
        <a:srgbClr val="40286E"/>
      </a:dk2>
      <a:lt2>
        <a:srgbClr val="E1EDFF"/>
      </a:lt2>
      <a:accent1>
        <a:srgbClr val="5009B5"/>
      </a:accent1>
      <a:accent2>
        <a:srgbClr val="794CFF"/>
      </a:accent2>
      <a:accent3>
        <a:srgbClr val="2B1B49"/>
      </a:accent3>
      <a:accent4>
        <a:srgbClr val="F5F5F5"/>
      </a:accent4>
      <a:accent5>
        <a:srgbClr val="00BBBA"/>
      </a:accent5>
      <a:accent6>
        <a:srgbClr val="44B8F3"/>
      </a:accent6>
      <a:hlink>
        <a:srgbClr val="0F61FE"/>
      </a:hlink>
      <a:folHlink>
        <a:srgbClr val="7030A0"/>
      </a:folHlink>
    </a:clrScheme>
    <a:fontScheme name="HealthCore (New)">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7A28E6-554A-4AFF-8C91-BE0FDA0EC2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Pages>
  <Words>2246</Words>
  <Characters>12807</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Hoffman, Sarah</dc:creator>
  <cp:keywords/>
  <dc:description/>
  <cp:lastModifiedBy>Grabner, Michael</cp:lastModifiedBy>
  <cp:revision>4</cp:revision>
  <cp:lastPrinted>2023-11-21T17:28:00Z</cp:lastPrinted>
  <dcterms:created xsi:type="dcterms:W3CDTF">2024-03-30T19:44:00Z</dcterms:created>
  <dcterms:modified xsi:type="dcterms:W3CDTF">2024-05-01T17:37:00Z</dcterms:modified>
</cp:coreProperties>
</file>