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88E" w:rsidRDefault="0026088E" w:rsidP="0026088E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SUPPLEMENTARY MATERIAL</w:t>
      </w:r>
      <w:r>
        <w:rPr>
          <w:rFonts w:ascii="Times New Roman" w:hAnsi="Times New Roman"/>
          <w:sz w:val="24"/>
          <w:szCs w:val="24"/>
        </w:rPr>
        <w:t xml:space="preserve"> 3.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color w:val="000000"/>
          <w:lang w:eastAsia="en-MY"/>
        </w:rPr>
        <w:t>Summary of respondent socio-demographic characteristics.</w:t>
      </w:r>
      <w:bookmarkStart w:id="0" w:name="_GoBack"/>
      <w:bookmarkEnd w:id="0"/>
      <w:proofErr w:type="gram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66"/>
        <w:gridCol w:w="3081"/>
      </w:tblGrid>
      <w:tr w:rsidR="0026088E" w:rsidTr="0026088E"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MY"/>
              </w:rPr>
              <w:t>Characteristic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MY"/>
              </w:rPr>
              <w:t>Category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MY"/>
              </w:rPr>
              <w:t>No. (%) of respondents</w:t>
            </w:r>
          </w:p>
        </w:tc>
      </w:tr>
      <w:tr w:rsidR="0026088E" w:rsidTr="0026088E"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Gender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Female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Male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62 (52)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57 (48)</w:t>
            </w:r>
          </w:p>
        </w:tc>
      </w:tr>
      <w:tr w:rsidR="0026088E" w:rsidTr="0026088E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Age in years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&lt;20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20-29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30-39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40-49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50-59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≥60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3 (3)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14 (12)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31 (26)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30 (25)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24 (20)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16 (14)</w:t>
            </w:r>
          </w:p>
        </w:tc>
      </w:tr>
      <w:tr w:rsidR="0026088E" w:rsidTr="0026088E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 xml:space="preserve">Local to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Juara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?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Yes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No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83 (70)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36 (30)</w:t>
            </w:r>
          </w:p>
        </w:tc>
      </w:tr>
      <w:tr w:rsidR="0026088E" w:rsidTr="0026088E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Education level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None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Primary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Secondary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Higher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7 (6)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57 (49)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41 (34)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13 (11)</w:t>
            </w:r>
          </w:p>
        </w:tc>
      </w:tr>
      <w:tr w:rsidR="0026088E" w:rsidTr="0026088E"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088E" w:rsidRDefault="0026088E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Monthly income in Malaysian ringgit (RM)*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None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&lt;1000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1001-2000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lastRenderedPageBreak/>
              <w:t>2001-4000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4001-7000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&gt;7000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19 (16)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47 (41)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34 (29)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lastRenderedPageBreak/>
              <w:t>10 (9)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4 (3)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2 (2)</w:t>
            </w:r>
          </w:p>
        </w:tc>
      </w:tr>
      <w:tr w:rsidR="0026088E" w:rsidTr="0026088E"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lastRenderedPageBreak/>
              <w:t>Fruit tree ownership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Yes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No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89 (75)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29 (25)</w:t>
            </w:r>
          </w:p>
        </w:tc>
      </w:tr>
      <w:tr w:rsidR="0026088E" w:rsidTr="0026088E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Sell fruits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Yes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No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26 (32)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56 (68)</w:t>
            </w:r>
          </w:p>
        </w:tc>
      </w:tr>
      <w:tr w:rsidR="0026088E" w:rsidTr="0026088E"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088E" w:rsidRDefault="0026088E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Experience raiding by flying foxes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Yes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No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53 (60)</w:t>
            </w:r>
          </w:p>
          <w:p w:rsidR="0026088E" w:rsidRDefault="0026088E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MY"/>
              </w:rPr>
              <w:t>36 (40)</w:t>
            </w:r>
          </w:p>
        </w:tc>
      </w:tr>
    </w:tbl>
    <w:p w:rsidR="001D37A5" w:rsidRDefault="0026088E">
      <w:r>
        <w:rPr>
          <w:rFonts w:ascii="Times New Roman" w:hAnsi="Times New Roman"/>
          <w:color w:val="000000"/>
          <w:sz w:val="24"/>
          <w:szCs w:val="24"/>
          <w:lang w:eastAsia="en-MY"/>
        </w:rPr>
        <w:t>*Respondent income categories were collapsed from six (Q11 in the questionnaire) to two (‘income’, ‘no income’) to facilitate regression analysis.</w:t>
      </w:r>
    </w:p>
    <w:sectPr w:rsidR="001D37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8E"/>
    <w:rsid w:val="001D37A5"/>
    <w:rsid w:val="0026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88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88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Sheema</dc:creator>
  <cp:lastModifiedBy>Sheema</cp:lastModifiedBy>
  <cp:revision>1</cp:revision>
  <dcterms:created xsi:type="dcterms:W3CDTF">2017-04-11T05:46:00Z</dcterms:created>
  <dcterms:modified xsi:type="dcterms:W3CDTF">2017-04-11T05:47:00Z</dcterms:modified>
</cp:coreProperties>
</file>