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155" w:rsidRDefault="004E4D6D">
      <w:r w:rsidRPr="004E4D6D">
        <w:rPr>
          <w:noProof/>
          <w:lang w:eastAsia="de-CH"/>
        </w:rPr>
        <w:drawing>
          <wp:inline distT="0" distB="0" distL="0" distR="0">
            <wp:extent cx="5359400" cy="3013075"/>
            <wp:effectExtent l="0" t="0" r="0" b="0"/>
            <wp:docPr id="1" name="Grafik 1" descr="V:\12_Publikationen\2020\JW_02_Round goby selective barrier\Submission_AquaticSciences\Supp_03_Fig_FlowAndTKE_Barrier_105_80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12_Publikationen\2020\JW_02_Round goby selective barrier\Submission_AquaticSciences\Supp_03_Fig_FlowAndTKE_Barrier_105_80ls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D6D" w:rsidRDefault="004E4D6D" w:rsidP="004E4D6D">
      <w:pPr>
        <w:pStyle w:val="Beschriftung"/>
        <w:spacing w:line="480" w:lineRule="auto"/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</w:pPr>
      <w:r w:rsidRPr="004E4D6D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 xml:space="preserve">Supplementary Material </w:t>
      </w:r>
      <w:r w:rsidR="004A6849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10</w:t>
      </w:r>
      <w:bookmarkStart w:id="0" w:name="_GoBack"/>
      <w:bookmarkEnd w:id="0"/>
      <w:r w:rsidRPr="004E4D6D">
        <w:rPr>
          <w:rFonts w:ascii="Times New Roman" w:hAnsi="Times New Roman" w:cs="Times New Roman"/>
          <w:b/>
          <w:i w:val="0"/>
          <w:color w:val="auto"/>
          <w:sz w:val="22"/>
          <w:szCs w:val="22"/>
          <w:lang w:val="en-GB"/>
        </w:rPr>
        <w:t>:</w:t>
      </w:r>
      <w:r>
        <w:rPr>
          <w:rFonts w:ascii="Times New Roman" w:hAnsi="Times New Roman" w:cs="Times New Roman"/>
          <w:i w:val="0"/>
          <w:color w:val="auto"/>
          <w:sz w:val="22"/>
          <w:szCs w:val="22"/>
          <w:lang w:val="en-GB"/>
        </w:rPr>
        <w:t xml:space="preserve"> 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Flow velocity 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at 105 L/s 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>(</w:t>
      </w:r>
      <w:r w:rsidRPr="0055467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  <w:lang w:val="en-GB"/>
        </w:rPr>
        <w:t>A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) 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>and 80 L/s (</w:t>
      </w:r>
      <w:r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GB"/>
        </w:rPr>
        <w:t>C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) water discharge 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and turbulent kinetic energy 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at 105 L/s 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>(</w:t>
      </w:r>
      <w:r w:rsidRPr="0055467F">
        <w:rPr>
          <w:rFonts w:ascii="Times New Roman" w:hAnsi="Times New Roman" w:cs="Times New Roman"/>
          <w:b/>
          <w:bCs/>
          <w:i w:val="0"/>
          <w:color w:val="000000" w:themeColor="text1"/>
          <w:sz w:val="22"/>
          <w:szCs w:val="22"/>
          <w:lang w:val="en-GB"/>
        </w:rPr>
        <w:t>B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>)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 and 80 L/s (</w:t>
      </w:r>
      <w:r w:rsidRPr="00D56F14">
        <w:rPr>
          <w:rFonts w:ascii="Times New Roman" w:hAnsi="Times New Roman" w:cs="Times New Roman"/>
          <w:b/>
          <w:i w:val="0"/>
          <w:color w:val="000000" w:themeColor="text1"/>
          <w:sz w:val="22"/>
          <w:szCs w:val="22"/>
          <w:lang w:val="en-GB"/>
        </w:rPr>
        <w:t>D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>) water discharge</w:t>
      </w:r>
      <w:r w:rsidRPr="0055467F"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 xml:space="preserve"> over the prototype barrier. Measurement points are indicated by the red spots and the flow direction is shown by the blue arrow labelled F</w:t>
      </w:r>
      <w:r>
        <w:rPr>
          <w:rFonts w:ascii="Times New Roman" w:hAnsi="Times New Roman" w:cs="Times New Roman"/>
          <w:i w:val="0"/>
          <w:color w:val="000000" w:themeColor="text1"/>
          <w:sz w:val="22"/>
          <w:szCs w:val="22"/>
          <w:lang w:val="en-GB"/>
        </w:rPr>
        <w:t>.</w:t>
      </w:r>
    </w:p>
    <w:p w:rsidR="004E4D6D" w:rsidRPr="004E4D6D" w:rsidRDefault="004E4D6D">
      <w:pPr>
        <w:rPr>
          <w:lang w:val="en-GB"/>
        </w:rPr>
      </w:pPr>
    </w:p>
    <w:sectPr w:rsidR="004E4D6D" w:rsidRPr="004E4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6D"/>
    <w:rsid w:val="002B7C83"/>
    <w:rsid w:val="002D51CC"/>
    <w:rsid w:val="004A6849"/>
    <w:rsid w:val="004E4D6D"/>
    <w:rsid w:val="006C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8D8B"/>
  <w15:chartTrackingRefBased/>
  <w15:docId w15:val="{8A1F6A1F-D852-4711-BEE6-355A39FA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E4D6D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Joschka Wiegleb</dc:creator>
  <cp:keywords/>
  <dc:description/>
  <cp:lastModifiedBy>Joschka Wiegleb</cp:lastModifiedBy>
  <cp:revision>3</cp:revision>
  <dcterms:created xsi:type="dcterms:W3CDTF">2021-06-30T07:29:00Z</dcterms:created>
  <dcterms:modified xsi:type="dcterms:W3CDTF">2021-07-13T09:00:00Z</dcterms:modified>
</cp:coreProperties>
</file>