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13EC" w14:textId="77777777" w:rsidR="00FB312C" w:rsidRDefault="00FB312C" w:rsidP="00FB312C">
      <w:pPr>
        <w:jc w:val="left"/>
      </w:pPr>
      <w:r w:rsidRPr="00610117">
        <w:rPr>
          <w:b/>
          <w:bCs/>
        </w:rPr>
        <w:t>T</w:t>
      </w:r>
      <w:r>
        <w:rPr>
          <w:b/>
          <w:bCs/>
        </w:rPr>
        <w:t>itle:</w:t>
      </w:r>
      <w:r>
        <w:t xml:space="preserve"> Diatom-salinity thresholds in an experimental setting reinforce the need for stricter water quality guidelines in South Australia</w:t>
      </w:r>
    </w:p>
    <w:p w14:paraId="45F3F177" w14:textId="77777777" w:rsidR="00FB312C" w:rsidRDefault="00FB312C" w:rsidP="00FB312C">
      <w:pPr>
        <w:spacing w:line="240" w:lineRule="auto"/>
      </w:pPr>
      <w:r>
        <w:rPr>
          <w:b/>
          <w:bCs/>
        </w:rPr>
        <w:t xml:space="preserve">Authors: </w:t>
      </w:r>
      <w:r>
        <w:t xml:space="preserve">Frost, Charles; University of Adelaide; Geography; Environment and Population; Adelaide, SA; </w:t>
      </w:r>
      <w:hyperlink r:id="rId5" w:history="1">
        <w:r w:rsidRPr="005F09CF">
          <w:rPr>
            <w:rStyle w:val="Hyperlink"/>
          </w:rPr>
          <w:t>charles.frost@adelaide.edu.au</w:t>
        </w:r>
      </w:hyperlink>
      <w:r>
        <w:t>; ORCID 0000-0003-4419-7936</w:t>
      </w:r>
    </w:p>
    <w:p w14:paraId="3A834CEE" w14:textId="77777777" w:rsidR="00FB312C" w:rsidRDefault="00FB312C" w:rsidP="00FB312C">
      <w:pPr>
        <w:spacing w:line="240" w:lineRule="auto"/>
      </w:pPr>
      <w:r>
        <w:t xml:space="preserve">Tibby, John; University of Adelaide; Geography; Environment and Population; Adelaide, SA; </w:t>
      </w:r>
      <w:hyperlink r:id="rId6" w:history="1">
        <w:r w:rsidRPr="005F09CF">
          <w:rPr>
            <w:rStyle w:val="Hyperlink"/>
          </w:rPr>
          <w:t>john.tibby@adelaide.edu.au</w:t>
        </w:r>
      </w:hyperlink>
      <w:r>
        <w:t>; ORCID 0000-0002-5897-2932</w:t>
      </w:r>
    </w:p>
    <w:p w14:paraId="5A2B131C" w14:textId="77777777" w:rsidR="00FB312C" w:rsidRPr="00990C86" w:rsidRDefault="00FB312C" w:rsidP="00FB312C">
      <w:proofErr w:type="spellStart"/>
      <w:r>
        <w:t>Goonan</w:t>
      </w:r>
      <w:proofErr w:type="spellEnd"/>
      <w:r>
        <w:t>, Peter; Environment Protection Authority, South Australia; Adelaide, SA</w:t>
      </w:r>
    </w:p>
    <w:p w14:paraId="41891268" w14:textId="77777777" w:rsidR="00FB312C" w:rsidRDefault="00FB312C" w:rsidP="00FB312C">
      <w:pPr>
        <w:spacing w:line="240" w:lineRule="auto"/>
        <w:jc w:val="center"/>
        <w:rPr>
          <w:rFonts w:ascii="Arial" w:hAnsi="Arial" w:cs="Arial"/>
          <w:b/>
          <w:bCs/>
          <w:sz w:val="32"/>
          <w:szCs w:val="34"/>
          <w:u w:val="single"/>
        </w:rPr>
      </w:pPr>
    </w:p>
    <w:p w14:paraId="4293F593" w14:textId="77777777" w:rsidR="00FB312C" w:rsidRDefault="00FB312C" w:rsidP="00FB312C">
      <w:pPr>
        <w:spacing w:line="240" w:lineRule="auto"/>
        <w:rPr>
          <w:rFonts w:ascii="Arial" w:hAnsi="Arial" w:cs="Arial"/>
          <w:b/>
          <w:bCs/>
          <w:sz w:val="32"/>
          <w:szCs w:val="34"/>
          <w:u w:val="single"/>
        </w:rPr>
      </w:pPr>
    </w:p>
    <w:p w14:paraId="4140E16B" w14:textId="6A8DA96F" w:rsidR="00FB312C" w:rsidRPr="00361725" w:rsidRDefault="00FB312C" w:rsidP="00FB312C">
      <w:pPr>
        <w:spacing w:line="240" w:lineRule="auto"/>
        <w:jc w:val="center"/>
        <w:rPr>
          <w:rFonts w:ascii="Arial" w:hAnsi="Arial" w:cs="Arial"/>
          <w:sz w:val="32"/>
          <w:szCs w:val="34"/>
        </w:rPr>
      </w:pPr>
      <w:r w:rsidRPr="00361725">
        <w:rPr>
          <w:rFonts w:ascii="Arial" w:hAnsi="Arial" w:cs="Arial"/>
          <w:sz w:val="32"/>
          <w:szCs w:val="34"/>
        </w:rPr>
        <w:t xml:space="preserve">Supplementary information </w:t>
      </w:r>
      <w:r w:rsidR="007B4DFC">
        <w:rPr>
          <w:rFonts w:ascii="Arial" w:hAnsi="Arial" w:cs="Arial"/>
          <w:sz w:val="32"/>
          <w:szCs w:val="34"/>
        </w:rPr>
        <w:t>2</w:t>
      </w:r>
    </w:p>
    <w:p w14:paraId="2829D388" w14:textId="77777777" w:rsidR="00FB312C" w:rsidRDefault="00FB312C" w:rsidP="00FB312C"/>
    <w:p w14:paraId="3BADBAE1" w14:textId="77777777" w:rsidR="00FB312C" w:rsidRDefault="00FB312C">
      <w:pPr>
        <w:spacing w:after="0" w:line="240" w:lineRule="auto"/>
        <w:jc w:val="left"/>
      </w:pPr>
      <w:r>
        <w:br w:type="page"/>
      </w:r>
    </w:p>
    <w:p w14:paraId="7A343189" w14:textId="67A4E338" w:rsidR="00FB312C" w:rsidRDefault="00FB312C" w:rsidP="00FB312C">
      <w:r>
        <w:lastRenderedPageBreak/>
        <w:t>Spearmen’s correlations between the five key variables EC, TP, TN, pH, and temperature (</w:t>
      </w:r>
      <w:r w:rsidRPr="001211EF">
        <w:rPr>
          <w:rFonts w:cs="Times New Roman"/>
        </w:rPr>
        <w:t>°</w:t>
      </w:r>
      <w:r>
        <w:t>C)</w:t>
      </w:r>
    </w:p>
    <w:p w14:paraId="3F5D3D98" w14:textId="77777777" w:rsidR="00FB312C" w:rsidRDefault="00FB312C" w:rsidP="00FB312C">
      <w:r>
        <w:rPr>
          <w:noProof/>
        </w:rPr>
        <w:drawing>
          <wp:anchor distT="0" distB="0" distL="114300" distR="114300" simplePos="0" relativeHeight="251663360" behindDoc="0" locked="0" layoutInCell="1" allowOverlap="1" wp14:anchorId="5AD0EB5C" wp14:editId="1BE2173E">
            <wp:simplePos x="0" y="0"/>
            <wp:positionH relativeFrom="column">
              <wp:posOffset>259715</wp:posOffset>
            </wp:positionH>
            <wp:positionV relativeFrom="paragraph">
              <wp:posOffset>412115</wp:posOffset>
            </wp:positionV>
            <wp:extent cx="8800465" cy="5483860"/>
            <wp:effectExtent l="12700" t="12700" r="13335" b="15240"/>
            <wp:wrapTopAndBottom/>
            <wp:docPr id="4" name="Picture 4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0465" cy="5483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BBED8" w14:textId="7710CE8D" w:rsidR="00FB312C" w:rsidRDefault="00FB312C">
      <w:pPr>
        <w:spacing w:after="0" w:line="240" w:lineRule="auto"/>
        <w:jc w:val="left"/>
      </w:pPr>
    </w:p>
    <w:p w14:paraId="234E2510" w14:textId="43C9CD0A" w:rsidR="00FB312C" w:rsidRDefault="00FB312C" w:rsidP="00FB312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7A40E88" wp14:editId="6BCE6EEA">
            <wp:simplePos x="0" y="0"/>
            <wp:positionH relativeFrom="column">
              <wp:posOffset>12700</wp:posOffset>
            </wp:positionH>
            <wp:positionV relativeFrom="paragraph">
              <wp:posOffset>342545</wp:posOffset>
            </wp:positionV>
            <wp:extent cx="9779000" cy="3254375"/>
            <wp:effectExtent l="12700" t="12700" r="1270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3254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Diatom assemblages from five samples in Railway Dam. Diatoms in the graph have relative abundances </w:t>
      </w:r>
      <w:r w:rsidRPr="00274B11">
        <w:t>≥</w:t>
      </w:r>
      <w:r>
        <w:t>1%</w:t>
      </w:r>
    </w:p>
    <w:p w14:paraId="07F0A1E5" w14:textId="77777777" w:rsidR="00FB312C" w:rsidRPr="00D91896" w:rsidRDefault="00FB312C" w:rsidP="00FB312C"/>
    <w:p w14:paraId="357F81D1" w14:textId="3FEF6F33" w:rsidR="00FB312C" w:rsidRPr="00275FF4" w:rsidRDefault="00FB312C" w:rsidP="00FB312C">
      <w:pPr>
        <w:sectPr w:rsidR="00FB312C" w:rsidRPr="00275FF4" w:rsidSect="00757EE5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Achnanthes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subexigua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Hustedt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1934;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Achnanthidium minutissimum,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) Czarnecki 1994;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Amphora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libyca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Enhrenberg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1841;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Amphora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pediculus,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1875;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Bacillaria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paxillifera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O.F.Müller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T.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Marsson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190</w:t>
      </w:r>
      <w:r w:rsidRPr="005125B2">
        <w:rPr>
          <w:rFonts w:eastAsia="Times New Roman" w:cs="Times New Roman"/>
          <w:color w:val="000000"/>
          <w:sz w:val="20"/>
          <w:szCs w:val="20"/>
          <w:lang w:eastAsia="ja-JP"/>
        </w:rPr>
        <w:t xml:space="preserve">1;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Caloneis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cf. hyaline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Hustedt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1937;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Cocconeis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placentula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Ehrenberg 1838;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Diatom tenuis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C.Agardh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1812;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Eolimna minima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) 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1998;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Epithemia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adnata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color w:val="000000"/>
          <w:szCs w:val="24"/>
          <w:lang w:eastAsia="ja-JP"/>
        </w:rPr>
        <w:t xml:space="preserve">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Brébission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1833;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Epithemia sorex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1844;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Eunotia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exigua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Brébission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ex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Rabenhorst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1864;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Frustulia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vulgaris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(Thwaites) De Toni 1891;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Gomphonema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affine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1844;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Gomphonema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angustatum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Rabenhorst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1864;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Gomphonema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gracile, Ehrenberg 1838;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Halamphora veneta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Levkov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2009;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Hippodonta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capitata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(Ehrenberg) 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Metzeltin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&amp; Witkowski 1996;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Muelleria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gibbula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(Cleve) Spaulding &amp; Stoermer 1997;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Navicula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cryptotenella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1985;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Navicula veneta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1844;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Nitzschia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acicularis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W.Smith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1853;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Nitzschia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agnita</w:t>
      </w:r>
      <w:proofErr w:type="spellEnd"/>
      <w:r w:rsidRPr="005125B2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Hustedt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1957;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Nitzschia frustulum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1880;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Nitzschia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gracilis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Hantzsch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1860;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Nitzschia incognita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Legler &amp;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Krasske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1941;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Nitzschia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lacuum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1980;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Nitzschia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liebetruthii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Rabenhorst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1864;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Nitzschia linearis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W.Smith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1853;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Nitzschia palea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W.Smith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1856;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Nitzschia paleacea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1881;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Nitzschia recta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Rabenhorst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1862;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Nitzschia sigma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) Smith 1853;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Placoneis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elginensis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(W. Gregory) E.J. Cox 1988;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Planothidium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frequentissimum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) 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1999;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Planothidium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lanceolatum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Brébisson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ex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) 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1999</w:t>
      </w:r>
      <w:r w:rsidRPr="005125B2">
        <w:rPr>
          <w:rFonts w:eastAsia="Times New Roman" w:cs="Times New Roman"/>
          <w:color w:val="000000"/>
          <w:sz w:val="20"/>
          <w:szCs w:val="20"/>
          <w:lang w:eastAsia="ja-JP"/>
        </w:rPr>
        <w:t xml:space="preserve">;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Pseudofallacia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tenera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Hustedt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Y.Liu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,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Kociolek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&amp;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Q.Wang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2012;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Rhoicosphenia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abbreviata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C.Agardh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) Lange-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Bertalot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1980;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Rhopalodia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brebissonii</w:t>
      </w:r>
      <w:proofErr w:type="spellEnd"/>
      <w:r w:rsidRPr="005125B2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Krammer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1987;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Rhopalodia gibba</w:t>
      </w:r>
      <w:r w:rsidRPr="005125B2">
        <w:rPr>
          <w:rFonts w:eastAsia="Times New Roman" w:cs="Times New Roman"/>
          <w:color w:val="000000"/>
          <w:sz w:val="20"/>
          <w:szCs w:val="20"/>
          <w:lang w:eastAsia="ja-JP"/>
        </w:rPr>
        <w:t>,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eastAsia="ja-JP"/>
        </w:rPr>
        <w:t>c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Sellaphora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pupula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Mereschkovsky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1902;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Sellaphora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seminulum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D.G.Mann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1989;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Stauroneis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smithii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Grunow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1860;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Staurosirella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pinnata 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(Ehrenberg)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D.M.Williams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&amp; Round 1988;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Surirella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angusta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1844;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proofErr w:type="spellStart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Tryblionella</w:t>
      </w:r>
      <w:proofErr w:type="spellEnd"/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apiculate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W.Gregory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1857</w:t>
      </w:r>
      <w:r w:rsidRPr="005125B2">
        <w:rPr>
          <w:rFonts w:eastAsia="Times New Roman" w:cs="Times New Roman"/>
          <w:color w:val="000000"/>
          <w:sz w:val="20"/>
          <w:szCs w:val="20"/>
          <w:lang w:eastAsia="ja-JP"/>
        </w:rPr>
        <w:t>;</w:t>
      </w:r>
      <w:r w:rsidRPr="005125B2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 xml:space="preserve"> </w:t>
      </w:r>
      <w:r w:rsidRPr="00FD58B6">
        <w:rPr>
          <w:rFonts w:eastAsia="Times New Roman" w:cs="Times New Roman"/>
          <w:i/>
          <w:iCs/>
          <w:color w:val="000000"/>
          <w:sz w:val="20"/>
          <w:szCs w:val="20"/>
          <w:lang w:eastAsia="ja-JP"/>
        </w:rPr>
        <w:t>Ulnaria acus</w:t>
      </w:r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, (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Kützing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) </w:t>
      </w:r>
      <w:proofErr w:type="spellStart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>Aboal</w:t>
      </w:r>
      <w:proofErr w:type="spellEnd"/>
      <w:r w:rsidRPr="00FD58B6">
        <w:rPr>
          <w:rFonts w:eastAsia="Times New Roman" w:cs="Times New Roman"/>
          <w:color w:val="000000"/>
          <w:sz w:val="20"/>
          <w:szCs w:val="20"/>
          <w:lang w:eastAsia="ja-JP"/>
        </w:rPr>
        <w:t xml:space="preserve"> 200</w:t>
      </w:r>
      <w:r>
        <w:rPr>
          <w:rFonts w:eastAsia="Times New Roman" w:cs="Times New Roman"/>
          <w:color w:val="000000"/>
          <w:sz w:val="20"/>
          <w:szCs w:val="20"/>
          <w:lang w:eastAsia="ja-JP"/>
        </w:rPr>
        <w:t>3</w:t>
      </w:r>
    </w:p>
    <w:p w14:paraId="5D2D90C0" w14:textId="1A777084" w:rsidR="00FB312C" w:rsidRPr="00FB312C" w:rsidRDefault="00FB312C" w:rsidP="00FB312C">
      <w:r w:rsidRPr="00FB312C">
        <w:lastRenderedPageBreak/>
        <w:t>PCA results and interpretation</w:t>
      </w:r>
    </w:p>
    <w:p w14:paraId="38170D7C" w14:textId="77777777" w:rsidR="00FB312C" w:rsidRDefault="00FB312C" w:rsidP="00FB312C">
      <w:pPr>
        <w:rPr>
          <w:lang w:eastAsia="ja-JP"/>
        </w:rPr>
      </w:pPr>
      <w:r>
        <w:t>PCA of water quality</w:t>
      </w:r>
      <w:r w:rsidRPr="009B676F">
        <w:t xml:space="preserve"> </w:t>
      </w:r>
      <w:r>
        <w:t>between all treatments and all study weeks that water samples were collected in (</w:t>
      </w:r>
      <w:proofErr w:type="gramStart"/>
      <w:r>
        <w:t>i.e.</w:t>
      </w:r>
      <w:proofErr w:type="gramEnd"/>
      <w:r>
        <w:t xml:space="preserve"> week 1, 3, and 6).</w:t>
      </w:r>
    </w:p>
    <w:p w14:paraId="676D31ED" w14:textId="77777777" w:rsidR="00FB312C" w:rsidRDefault="00FB312C" w:rsidP="00FB312C">
      <w:pPr>
        <w:rPr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835634" wp14:editId="298EEF78">
            <wp:simplePos x="0" y="0"/>
            <wp:positionH relativeFrom="column">
              <wp:posOffset>836930</wp:posOffset>
            </wp:positionH>
            <wp:positionV relativeFrom="paragraph">
              <wp:posOffset>199390</wp:posOffset>
            </wp:positionV>
            <wp:extent cx="5081270" cy="4876165"/>
            <wp:effectExtent l="0" t="0" r="0" b="635"/>
            <wp:wrapTopAndBottom/>
            <wp:docPr id="69" name="Picture 69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Chart, rad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270" cy="487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12FCE" w14:textId="77777777" w:rsidR="00FB312C" w:rsidRDefault="00FB312C" w:rsidP="00FB312C">
      <w:pPr>
        <w:rPr>
          <w:lang w:eastAsia="ja-JP"/>
        </w:rPr>
      </w:pPr>
    </w:p>
    <w:p w14:paraId="0B33E275" w14:textId="561413C1" w:rsidR="00FB312C" w:rsidRDefault="00FB312C" w:rsidP="00FB312C">
      <w:r>
        <w:rPr>
          <w:lang w:eastAsia="ja-JP"/>
        </w:rPr>
        <w:t>PCA</w:t>
      </w:r>
      <w:r>
        <w:t xml:space="preserve"> illustrates that most treatments and sampling weeks are plotted closely along PC1 (which explains 97.3% of variation). There is a distinct trend of sampling weeks clustering together, however, that variation is based mostly along PC2 (1.6% variance explained), and treatments are plotted randomly and inconsistently within those weekly groups. There are two expectations to these trends; 1) the water quality for treatment 1 in week 1 was plotted differently compared to other treatments; and 2) there were substantial distances along PC1 between the data points of treatments 5 and 6 from week 3 and all other treatments from any sampling week. Raw water quality data (supplementary 2) show that pH in treatment 1 was lower than other treatments, and treatments 5 and 6 had significantly higher values in TP and TN, indicating potential sources for dissimilarity in this PCA. Significance testings of these variables, however, show no variation between all treatments. </w:t>
      </w:r>
    </w:p>
    <w:p w14:paraId="5B46B2F2" w14:textId="424BD3F7" w:rsidR="00FB312C" w:rsidRDefault="00FB312C" w:rsidP="00FB312C"/>
    <w:p w14:paraId="720F93B4" w14:textId="5AA24C96" w:rsidR="00FB312C" w:rsidRDefault="00FB312C" w:rsidP="00FB312C"/>
    <w:p w14:paraId="1F60FB6C" w14:textId="669A2B69" w:rsidR="00FB312C" w:rsidRDefault="00FB312C" w:rsidP="00FB312C"/>
    <w:p w14:paraId="10F88467" w14:textId="77777777" w:rsidR="00FB312C" w:rsidRPr="002813B2" w:rsidRDefault="00FB312C" w:rsidP="00FB312C">
      <w:pPr>
        <w:spacing w:line="240" w:lineRule="auto"/>
        <w:rPr>
          <w:b/>
          <w:bCs/>
        </w:rPr>
      </w:pPr>
      <w:r>
        <w:lastRenderedPageBreak/>
        <w:t>Schematic of the mesocosm design. Recirculating pumps were submerged in the return tanks. Note the random placing of treatment channels (three per treatment).</w:t>
      </w:r>
    </w:p>
    <w:p w14:paraId="4380386E" w14:textId="2E9D1B82" w:rsidR="00FB312C" w:rsidRDefault="00FB312C" w:rsidP="00FB312C"/>
    <w:p w14:paraId="19DEAAE3" w14:textId="5C351EBF" w:rsidR="00E97171" w:rsidRDefault="00FB312C">
      <w:r>
        <w:rPr>
          <w:noProof/>
        </w:rPr>
        <w:drawing>
          <wp:anchor distT="0" distB="0" distL="114300" distR="114300" simplePos="0" relativeHeight="251665408" behindDoc="0" locked="0" layoutInCell="1" allowOverlap="1" wp14:anchorId="09E7AB61" wp14:editId="28CB4687">
            <wp:simplePos x="0" y="0"/>
            <wp:positionH relativeFrom="column">
              <wp:posOffset>222885</wp:posOffset>
            </wp:positionH>
            <wp:positionV relativeFrom="paragraph">
              <wp:posOffset>203928</wp:posOffset>
            </wp:positionV>
            <wp:extent cx="6036945" cy="7125335"/>
            <wp:effectExtent l="0" t="0" r="0" b="0"/>
            <wp:wrapTopAndBottom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712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171" w:rsidSect="00FB312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1F9F"/>
    <w:multiLevelType w:val="multilevel"/>
    <w:tmpl w:val="A0628264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ascii="Arial" w:hAnsi="Arial" w:cs="Arial" w:hint="default"/>
        <w:b/>
        <w:bCs/>
        <w:sz w:val="28"/>
        <w:szCs w:val="28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55C461E"/>
    <w:multiLevelType w:val="multilevel"/>
    <w:tmpl w:val="66589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04308691">
    <w:abstractNumId w:val="0"/>
  </w:num>
  <w:num w:numId="2" w16cid:durableId="31681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2C"/>
    <w:rsid w:val="00016670"/>
    <w:rsid w:val="000909E5"/>
    <w:rsid w:val="00095492"/>
    <w:rsid w:val="0015226F"/>
    <w:rsid w:val="0017026E"/>
    <w:rsid w:val="00194D52"/>
    <w:rsid w:val="001A47F4"/>
    <w:rsid w:val="001C3327"/>
    <w:rsid w:val="001F69FA"/>
    <w:rsid w:val="001F7B18"/>
    <w:rsid w:val="0020176F"/>
    <w:rsid w:val="002472FF"/>
    <w:rsid w:val="0024732A"/>
    <w:rsid w:val="00271EFA"/>
    <w:rsid w:val="0028505F"/>
    <w:rsid w:val="002A647F"/>
    <w:rsid w:val="002C6B0F"/>
    <w:rsid w:val="002D43D8"/>
    <w:rsid w:val="002D5715"/>
    <w:rsid w:val="002F38A2"/>
    <w:rsid w:val="00301056"/>
    <w:rsid w:val="00303439"/>
    <w:rsid w:val="00303AE3"/>
    <w:rsid w:val="00306D66"/>
    <w:rsid w:val="00345D92"/>
    <w:rsid w:val="00350F8D"/>
    <w:rsid w:val="003B0779"/>
    <w:rsid w:val="003C577F"/>
    <w:rsid w:val="003C7800"/>
    <w:rsid w:val="0041145F"/>
    <w:rsid w:val="004119A3"/>
    <w:rsid w:val="00452BA7"/>
    <w:rsid w:val="00461D20"/>
    <w:rsid w:val="004E2B3C"/>
    <w:rsid w:val="00503764"/>
    <w:rsid w:val="00513773"/>
    <w:rsid w:val="00516203"/>
    <w:rsid w:val="00516E17"/>
    <w:rsid w:val="00546C8B"/>
    <w:rsid w:val="0056420F"/>
    <w:rsid w:val="005951B2"/>
    <w:rsid w:val="005A498D"/>
    <w:rsid w:val="005B7A6F"/>
    <w:rsid w:val="005D0870"/>
    <w:rsid w:val="006744CE"/>
    <w:rsid w:val="00691515"/>
    <w:rsid w:val="006C0FC3"/>
    <w:rsid w:val="00714F4B"/>
    <w:rsid w:val="0073040A"/>
    <w:rsid w:val="00733430"/>
    <w:rsid w:val="00752818"/>
    <w:rsid w:val="00755313"/>
    <w:rsid w:val="007714F6"/>
    <w:rsid w:val="00791863"/>
    <w:rsid w:val="007B4DFC"/>
    <w:rsid w:val="007F0523"/>
    <w:rsid w:val="00817C1E"/>
    <w:rsid w:val="00847825"/>
    <w:rsid w:val="0085392E"/>
    <w:rsid w:val="0087081F"/>
    <w:rsid w:val="008A6DEF"/>
    <w:rsid w:val="00921E61"/>
    <w:rsid w:val="009527F8"/>
    <w:rsid w:val="009B4A1F"/>
    <w:rsid w:val="00AB75A9"/>
    <w:rsid w:val="00AC3E5B"/>
    <w:rsid w:val="00AD1995"/>
    <w:rsid w:val="00BA4C0E"/>
    <w:rsid w:val="00BA6CDE"/>
    <w:rsid w:val="00C02C07"/>
    <w:rsid w:val="00C10A2D"/>
    <w:rsid w:val="00C32C31"/>
    <w:rsid w:val="00C45C82"/>
    <w:rsid w:val="00C67A63"/>
    <w:rsid w:val="00C769CF"/>
    <w:rsid w:val="00C859E9"/>
    <w:rsid w:val="00CA65B5"/>
    <w:rsid w:val="00CB61F0"/>
    <w:rsid w:val="00CD7F6B"/>
    <w:rsid w:val="00CE053C"/>
    <w:rsid w:val="00CF0314"/>
    <w:rsid w:val="00D14A67"/>
    <w:rsid w:val="00D619DE"/>
    <w:rsid w:val="00D8799E"/>
    <w:rsid w:val="00DC7653"/>
    <w:rsid w:val="00DF5734"/>
    <w:rsid w:val="00E217CE"/>
    <w:rsid w:val="00E23338"/>
    <w:rsid w:val="00E50555"/>
    <w:rsid w:val="00E53DDA"/>
    <w:rsid w:val="00EB54F1"/>
    <w:rsid w:val="00F0472E"/>
    <w:rsid w:val="00F2734B"/>
    <w:rsid w:val="00F32AA0"/>
    <w:rsid w:val="00FB312C"/>
    <w:rsid w:val="00FD081C"/>
    <w:rsid w:val="00F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B8E2E"/>
  <w15:chartTrackingRefBased/>
  <w15:docId w15:val="{D081F8F4-512D-BB4F-950D-B077A4D6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color w:val="000000" w:themeColor="text1"/>
        <w:sz w:val="24"/>
        <w:szCs w:val="30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12C"/>
    <w:pPr>
      <w:spacing w:after="12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6E17"/>
    <w:pPr>
      <w:keepNext/>
      <w:keepLines/>
      <w:numPr>
        <w:numId w:val="1"/>
      </w:numPr>
      <w:spacing w:after="40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E17"/>
    <w:pPr>
      <w:keepNext/>
      <w:keepLines/>
      <w:numPr>
        <w:ilvl w:val="1"/>
        <w:numId w:val="1"/>
      </w:numPr>
      <w:spacing w:before="300" w:after="240" w:line="240" w:lineRule="auto"/>
      <w:outlineLvl w:val="1"/>
    </w:pPr>
    <w:rPr>
      <w:rFonts w:ascii="Arial" w:eastAsiaTheme="majorEastAsia" w:hAnsi="Arial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081F"/>
    <w:pPr>
      <w:keepNext/>
      <w:keepLines/>
      <w:numPr>
        <w:ilvl w:val="2"/>
        <w:numId w:val="2"/>
      </w:numPr>
      <w:spacing w:before="200" w:after="200" w:line="240" w:lineRule="auto"/>
      <w:ind w:left="454" w:firstLine="0"/>
      <w:outlineLvl w:val="2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6E17"/>
    <w:rPr>
      <w:rFonts w:ascii="Arial" w:eastAsiaTheme="majorEastAsia" w:hAnsi="Arial" w:cstheme="majorBidi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16E17"/>
    <w:rPr>
      <w:rFonts w:ascii="Arial" w:eastAsiaTheme="majorEastAsia" w:hAnsi="Arial" w:cstheme="majorBidi"/>
      <w:b/>
      <w:sz w:val="28"/>
      <w:szCs w:val="3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7081F"/>
    <w:rPr>
      <w:rFonts w:eastAsiaTheme="majorEastAsia" w:cstheme="majorBidi"/>
    </w:rPr>
  </w:style>
  <w:style w:type="paragraph" w:styleId="TOC2">
    <w:name w:val="toc 2"/>
    <w:basedOn w:val="Normal"/>
    <w:next w:val="Normal"/>
    <w:autoRedefine/>
    <w:uiPriority w:val="39"/>
    <w:unhideWhenUsed/>
    <w:rsid w:val="00C859E9"/>
    <w:pPr>
      <w:tabs>
        <w:tab w:val="right" w:leader="dot" w:pos="9010"/>
      </w:tabs>
      <w:spacing w:after="0"/>
      <w:ind w:left="238"/>
    </w:pPr>
    <w:rPr>
      <w:rFonts w:ascii="Arial" w:hAnsi="Arial"/>
      <w:sz w:val="22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C859E9"/>
    <w:pPr>
      <w:tabs>
        <w:tab w:val="right" w:leader="dot" w:pos="9010"/>
      </w:tabs>
      <w:spacing w:after="0"/>
    </w:pPr>
    <w:rPr>
      <w:rFonts w:ascii="Arial" w:hAnsi="Arial"/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859E9"/>
    <w:pPr>
      <w:spacing w:after="0"/>
      <w:ind w:left="482"/>
    </w:pPr>
    <w:rPr>
      <w:rFonts w:ascii="Arial" w:hAnsi="Arial"/>
      <w:i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16E17"/>
    <w:pPr>
      <w:spacing w:after="0" w:line="276" w:lineRule="auto"/>
      <w:ind w:left="482" w:hanging="482"/>
    </w:pPr>
    <w:rPr>
      <w:rFonts w:ascii="Arial" w:hAnsi="Arial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D5715"/>
    <w:pPr>
      <w:spacing w:after="0" w:line="240" w:lineRule="auto"/>
    </w:pPr>
    <w:rPr>
      <w:rFonts w:cstheme="minorBidi"/>
      <w:i/>
      <w:iCs/>
      <w:sz w:val="22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FB3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.tibby@adelaide.edu.a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harles.frost@adelaide.edu.a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Hugo Frost</dc:creator>
  <cp:keywords/>
  <dc:description/>
  <cp:lastModifiedBy>Charles Hugo Frost</cp:lastModifiedBy>
  <cp:revision>3</cp:revision>
  <dcterms:created xsi:type="dcterms:W3CDTF">2022-10-15T00:51:00Z</dcterms:created>
  <dcterms:modified xsi:type="dcterms:W3CDTF">2023-01-20T03:14:00Z</dcterms:modified>
</cp:coreProperties>
</file>