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5F455" w14:textId="682674A3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DA4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0042F5">
        <w:rPr>
          <w:rFonts w:ascii="Times New Roman" w:hAnsi="Times New Roman" w:cs="Times New Roman"/>
          <w:b/>
          <w:bCs/>
          <w:sz w:val="24"/>
          <w:szCs w:val="24"/>
        </w:rPr>
        <w:t>material</w:t>
      </w:r>
      <w:r w:rsidR="00190DA4" w:rsidRPr="00190DA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BB51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90D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90DA4">
        <w:rPr>
          <w:rFonts w:ascii="Times New Roman" w:hAnsi="Times New Roman" w:cs="Times New Roman"/>
          <w:sz w:val="24"/>
          <w:szCs w:val="24"/>
        </w:rPr>
        <w:t>Materials and methods for phylogeny and phylogeography analyses</w:t>
      </w:r>
    </w:p>
    <w:p w14:paraId="2E6B322D" w14:textId="77777777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170C542" w14:textId="77777777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0DA4">
        <w:rPr>
          <w:rFonts w:ascii="Times New Roman" w:hAnsi="Times New Roman" w:cs="Times New Roman"/>
          <w:i/>
          <w:iCs/>
          <w:sz w:val="24"/>
          <w:szCs w:val="24"/>
        </w:rPr>
        <w:t>Taxon sampling</w:t>
      </w:r>
    </w:p>
    <w:p w14:paraId="3E4C57CF" w14:textId="50C8B22D" w:rsidR="00372C60" w:rsidRPr="00190DA4" w:rsidRDefault="006E1095" w:rsidP="00372C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1095">
        <w:rPr>
          <w:rFonts w:ascii="Times New Roman" w:hAnsi="Times New Roman" w:cs="Times New Roman"/>
          <w:sz w:val="24"/>
          <w:szCs w:val="24"/>
        </w:rPr>
        <w:t xml:space="preserve">A small sample of foot tissue was collected according </w:t>
      </w:r>
      <w:r w:rsidRPr="00E30844">
        <w:rPr>
          <w:rFonts w:ascii="Times New Roman" w:hAnsi="Times New Roman" w:cs="Times New Roman"/>
          <w:sz w:val="24"/>
          <w:szCs w:val="24"/>
        </w:rPr>
        <w:t>to Naimo et al. (1998)</w:t>
      </w:r>
      <w:r w:rsidR="00372C60" w:rsidRPr="00E30844">
        <w:rPr>
          <w:rFonts w:ascii="Times New Roman" w:hAnsi="Times New Roman" w:cs="Times New Roman"/>
          <w:sz w:val="24"/>
          <w:szCs w:val="24"/>
        </w:rPr>
        <w:t xml:space="preserve"> from a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total of 150 specimens belonging to </w:t>
      </w:r>
      <w:r w:rsidR="00372C60" w:rsidRPr="00190DA4">
        <w:rPr>
          <w:rFonts w:ascii="Times New Roman" w:hAnsi="Times New Roman" w:cs="Times New Roman"/>
          <w:i/>
          <w:iCs/>
          <w:sz w:val="24"/>
          <w:szCs w:val="24"/>
        </w:rPr>
        <w:t>Sinanodonta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genus were collected from several locations for DNA extraction, sequencing and subsequent phylogenetic and phylogeographic analyses (Supp</w:t>
      </w:r>
      <w:r w:rsidR="00892732">
        <w:rPr>
          <w:rFonts w:ascii="Times New Roman" w:hAnsi="Times New Roman" w:cs="Times New Roman"/>
          <w:sz w:val="24"/>
          <w:szCs w:val="24"/>
        </w:rPr>
        <w:t>lementary material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892732">
        <w:rPr>
          <w:rFonts w:ascii="Times New Roman" w:hAnsi="Times New Roman" w:cs="Times New Roman"/>
          <w:sz w:val="24"/>
          <w:szCs w:val="24"/>
        </w:rPr>
        <w:t>S2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1D16A15" w14:textId="77777777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0DA4">
        <w:rPr>
          <w:rFonts w:ascii="Times New Roman" w:hAnsi="Times New Roman" w:cs="Times New Roman"/>
          <w:i/>
          <w:iCs/>
          <w:sz w:val="24"/>
          <w:szCs w:val="24"/>
        </w:rPr>
        <w:t>DNA extraction, amplification, and sequencing</w:t>
      </w:r>
    </w:p>
    <w:p w14:paraId="29DF5EDA" w14:textId="369C59C1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DA4">
        <w:rPr>
          <w:rFonts w:ascii="Times New Roman" w:hAnsi="Times New Roman" w:cs="Times New Roman"/>
          <w:sz w:val="24"/>
          <w:szCs w:val="24"/>
        </w:rPr>
        <w:t xml:space="preserve">Genomic DNA was extracted using a standard </w:t>
      </w:r>
      <w:r w:rsidR="00855620" w:rsidRPr="00190DA4">
        <w:rPr>
          <w:rFonts w:ascii="Times New Roman" w:hAnsi="Times New Roman" w:cs="Times New Roman"/>
          <w:sz w:val="24"/>
          <w:szCs w:val="24"/>
        </w:rPr>
        <w:t>high</w:t>
      </w:r>
      <w:r w:rsidR="00855620">
        <w:rPr>
          <w:rFonts w:ascii="Times New Roman" w:hAnsi="Times New Roman" w:cs="Times New Roman"/>
          <w:sz w:val="24"/>
          <w:szCs w:val="24"/>
        </w:rPr>
        <w:t>-</w:t>
      </w:r>
      <w:r w:rsidRPr="00190DA4">
        <w:rPr>
          <w:rFonts w:ascii="Times New Roman" w:hAnsi="Times New Roman" w:cs="Times New Roman"/>
          <w:sz w:val="24"/>
          <w:szCs w:val="24"/>
        </w:rPr>
        <w:t xml:space="preserve">salt </w:t>
      </w:r>
      <w:r w:rsidRPr="00E30844">
        <w:rPr>
          <w:rFonts w:ascii="Times New Roman" w:hAnsi="Times New Roman" w:cs="Times New Roman"/>
          <w:sz w:val="24"/>
          <w:szCs w:val="24"/>
        </w:rPr>
        <w:t>protocol (Sambrook et al., 1989).</w:t>
      </w:r>
      <w:r w:rsidRPr="00190DA4">
        <w:rPr>
          <w:rFonts w:ascii="Times New Roman" w:hAnsi="Times New Roman" w:cs="Times New Roman"/>
          <w:sz w:val="24"/>
          <w:szCs w:val="24"/>
        </w:rPr>
        <w:t xml:space="preserve"> For each sampled population, 1 to 10 (mean = 4.8) specimens were sequenced for F-type COI. PCR conditions (using the primer set LCO22me2 + HCO700dy2</w:t>
      </w:r>
      <w:r w:rsidRPr="00E30844">
        <w:rPr>
          <w:rFonts w:ascii="Times New Roman" w:hAnsi="Times New Roman" w:cs="Times New Roman"/>
          <w:sz w:val="24"/>
          <w:szCs w:val="24"/>
        </w:rPr>
        <w:t>; Walker et al., 2006, 2007)</w:t>
      </w:r>
      <w:r w:rsidRPr="00190DA4">
        <w:rPr>
          <w:rFonts w:ascii="Times New Roman" w:hAnsi="Times New Roman" w:cs="Times New Roman"/>
          <w:sz w:val="24"/>
          <w:szCs w:val="24"/>
        </w:rPr>
        <w:t xml:space="preserve"> were described </w:t>
      </w:r>
      <w:r w:rsidRPr="00E30844">
        <w:rPr>
          <w:rFonts w:ascii="Times New Roman" w:hAnsi="Times New Roman" w:cs="Times New Roman"/>
          <w:sz w:val="24"/>
          <w:szCs w:val="24"/>
        </w:rPr>
        <w:t>in Froufe et al. (201</w:t>
      </w:r>
      <w:r w:rsidR="00E30844" w:rsidRPr="00E30844">
        <w:rPr>
          <w:rFonts w:ascii="Times New Roman" w:hAnsi="Times New Roman" w:cs="Times New Roman"/>
          <w:sz w:val="24"/>
          <w:szCs w:val="24"/>
        </w:rPr>
        <w:t>4</w:t>
      </w:r>
      <w:r w:rsidRPr="00E30844">
        <w:rPr>
          <w:rFonts w:ascii="Times New Roman" w:hAnsi="Times New Roman" w:cs="Times New Roman"/>
          <w:sz w:val="24"/>
          <w:szCs w:val="24"/>
        </w:rPr>
        <w:t>) with</w:t>
      </w:r>
      <w:r w:rsidRPr="00190DA4">
        <w:rPr>
          <w:rFonts w:ascii="Times New Roman" w:hAnsi="Times New Roman" w:cs="Times New Roman"/>
          <w:sz w:val="24"/>
          <w:szCs w:val="24"/>
        </w:rPr>
        <w:t xml:space="preserve"> an annealing temperature of 50 ºC. Amplified DNA templates were purified and sequenced using the same primers. </w:t>
      </w:r>
    </w:p>
    <w:p w14:paraId="7946A603" w14:textId="77777777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BB29C" w14:textId="77777777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0DA4">
        <w:rPr>
          <w:rFonts w:ascii="Times New Roman" w:hAnsi="Times New Roman" w:cs="Times New Roman"/>
          <w:i/>
          <w:iCs/>
          <w:sz w:val="24"/>
          <w:szCs w:val="24"/>
        </w:rPr>
        <w:t>Phylogenetic analyses, and species delineation</w:t>
      </w:r>
    </w:p>
    <w:p w14:paraId="26DFC558" w14:textId="3548997E" w:rsidR="00372C60" w:rsidRPr="00190DA4" w:rsidRDefault="00372C60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DA4">
        <w:rPr>
          <w:rFonts w:ascii="Times New Roman" w:hAnsi="Times New Roman" w:cs="Times New Roman"/>
          <w:sz w:val="24"/>
          <w:szCs w:val="24"/>
        </w:rPr>
        <w:t xml:space="preserve">A COI dataset was constructed using MAFFT software (version 7.304, Katoh and </w:t>
      </w:r>
      <w:proofErr w:type="spellStart"/>
      <w:r w:rsidRPr="00190DA4">
        <w:rPr>
          <w:rFonts w:ascii="Times New Roman" w:hAnsi="Times New Roman" w:cs="Times New Roman"/>
          <w:sz w:val="24"/>
          <w:szCs w:val="24"/>
        </w:rPr>
        <w:t>Standley</w:t>
      </w:r>
      <w:proofErr w:type="spellEnd"/>
      <w:r w:rsidRPr="00190DA4">
        <w:rPr>
          <w:rFonts w:ascii="Times New Roman" w:hAnsi="Times New Roman" w:cs="Times New Roman"/>
          <w:sz w:val="24"/>
          <w:szCs w:val="24"/>
        </w:rPr>
        <w:t xml:space="preserve"> 2013) with all newly sequenced individuals (n = 150) and all (n = 402) previously available sequences belonging to the </w:t>
      </w:r>
      <w:r w:rsidRPr="00190DA4">
        <w:rPr>
          <w:rFonts w:ascii="Times New Roman" w:hAnsi="Times New Roman" w:cs="Times New Roman"/>
          <w:i/>
          <w:iCs/>
          <w:sz w:val="24"/>
          <w:szCs w:val="24"/>
        </w:rPr>
        <w:t xml:space="preserve">Sinanodonta </w:t>
      </w:r>
      <w:r w:rsidRPr="00190DA4">
        <w:rPr>
          <w:rFonts w:ascii="Times New Roman" w:hAnsi="Times New Roman" w:cs="Times New Roman"/>
          <w:sz w:val="24"/>
          <w:szCs w:val="24"/>
        </w:rPr>
        <w:t>genus (Sup</w:t>
      </w:r>
      <w:r w:rsidR="00C21642">
        <w:rPr>
          <w:rFonts w:ascii="Times New Roman" w:hAnsi="Times New Roman" w:cs="Times New Roman"/>
          <w:sz w:val="24"/>
          <w:szCs w:val="24"/>
        </w:rPr>
        <w:t>plementary</w:t>
      </w:r>
      <w:r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material</w:t>
      </w:r>
      <w:r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S2</w:t>
      </w:r>
      <w:r w:rsidRPr="00190DA4">
        <w:rPr>
          <w:rFonts w:ascii="Times New Roman" w:hAnsi="Times New Roman" w:cs="Times New Roman"/>
          <w:sz w:val="24"/>
          <w:szCs w:val="24"/>
        </w:rPr>
        <w:t xml:space="preserve">). Publicly available sequences of </w:t>
      </w:r>
      <w:proofErr w:type="spellStart"/>
      <w:r w:rsidRPr="00190DA4">
        <w:rPr>
          <w:rFonts w:ascii="Times New Roman" w:hAnsi="Times New Roman" w:cs="Times New Roman"/>
          <w:i/>
          <w:iCs/>
          <w:sz w:val="24"/>
          <w:szCs w:val="24"/>
        </w:rPr>
        <w:t>Margaritifera</w:t>
      </w:r>
      <w:proofErr w:type="spellEnd"/>
      <w:r w:rsidRPr="00190D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0DA4">
        <w:rPr>
          <w:rFonts w:ascii="Times New Roman" w:hAnsi="Times New Roman" w:cs="Times New Roman"/>
          <w:i/>
          <w:iCs/>
          <w:sz w:val="24"/>
          <w:szCs w:val="24"/>
        </w:rPr>
        <w:t>middendorffi</w:t>
      </w:r>
      <w:proofErr w:type="spellEnd"/>
      <w:r w:rsidRPr="00190D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0DA4">
        <w:rPr>
          <w:rFonts w:ascii="Times New Roman" w:hAnsi="Times New Roman" w:cs="Times New Roman"/>
          <w:i/>
          <w:iCs/>
          <w:sz w:val="24"/>
          <w:szCs w:val="24"/>
        </w:rPr>
        <w:t>Beringiana</w:t>
      </w:r>
      <w:proofErr w:type="spellEnd"/>
      <w:r w:rsidRPr="00190DA4">
        <w:rPr>
          <w:rFonts w:ascii="Times New Roman" w:hAnsi="Times New Roman" w:cs="Times New Roman"/>
          <w:i/>
          <w:iCs/>
          <w:sz w:val="24"/>
          <w:szCs w:val="24"/>
        </w:rPr>
        <w:t xml:space="preserve"> japonica</w:t>
      </w:r>
      <w:r w:rsidRPr="00190DA4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190DA4">
        <w:rPr>
          <w:rFonts w:ascii="Times New Roman" w:hAnsi="Times New Roman" w:cs="Times New Roman"/>
          <w:i/>
          <w:iCs/>
          <w:sz w:val="24"/>
          <w:szCs w:val="24"/>
        </w:rPr>
        <w:t>Beringiana</w:t>
      </w:r>
      <w:proofErr w:type="spellEnd"/>
      <w:r w:rsidRPr="00190D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0DA4">
        <w:rPr>
          <w:rFonts w:ascii="Times New Roman" w:hAnsi="Times New Roman" w:cs="Times New Roman"/>
          <w:i/>
          <w:iCs/>
          <w:sz w:val="24"/>
          <w:szCs w:val="24"/>
        </w:rPr>
        <w:t>beringiana</w:t>
      </w:r>
      <w:proofErr w:type="spellEnd"/>
      <w:r w:rsidRPr="00190D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0DA4">
        <w:rPr>
          <w:rFonts w:ascii="Times New Roman" w:hAnsi="Times New Roman" w:cs="Times New Roman"/>
          <w:sz w:val="24"/>
          <w:szCs w:val="24"/>
        </w:rPr>
        <w:t>were selected as the outgroup (</w:t>
      </w:r>
      <w:r w:rsidR="00C21642" w:rsidRPr="00190DA4">
        <w:rPr>
          <w:rFonts w:ascii="Times New Roman" w:hAnsi="Times New Roman" w:cs="Times New Roman"/>
          <w:sz w:val="24"/>
          <w:szCs w:val="24"/>
        </w:rPr>
        <w:t>Sup</w:t>
      </w:r>
      <w:r w:rsidR="00C21642">
        <w:rPr>
          <w:rFonts w:ascii="Times New Roman" w:hAnsi="Times New Roman" w:cs="Times New Roman"/>
          <w:sz w:val="24"/>
          <w:szCs w:val="24"/>
        </w:rPr>
        <w:t>plementary</w:t>
      </w:r>
      <w:r w:rsidR="00C21642"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material</w:t>
      </w:r>
      <w:r w:rsidR="00C21642"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S2</w:t>
      </w:r>
      <w:r w:rsidRPr="00190DA4">
        <w:rPr>
          <w:rFonts w:ascii="Times New Roman" w:hAnsi="Times New Roman" w:cs="Times New Roman"/>
          <w:sz w:val="24"/>
          <w:szCs w:val="24"/>
        </w:rPr>
        <w:t xml:space="preserve">). The COI dataset was then reduced to haplotypes (see </w:t>
      </w:r>
      <w:r w:rsidR="00C21642" w:rsidRPr="00190DA4">
        <w:rPr>
          <w:rFonts w:ascii="Times New Roman" w:hAnsi="Times New Roman" w:cs="Times New Roman"/>
          <w:sz w:val="24"/>
          <w:szCs w:val="24"/>
        </w:rPr>
        <w:t>Sup</w:t>
      </w:r>
      <w:r w:rsidR="00C21642">
        <w:rPr>
          <w:rFonts w:ascii="Times New Roman" w:hAnsi="Times New Roman" w:cs="Times New Roman"/>
          <w:sz w:val="24"/>
          <w:szCs w:val="24"/>
        </w:rPr>
        <w:t>plementary</w:t>
      </w:r>
      <w:r w:rsidR="00C21642"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material</w:t>
      </w:r>
      <w:r w:rsidR="00C21642"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="00C21642">
        <w:rPr>
          <w:rFonts w:ascii="Times New Roman" w:hAnsi="Times New Roman" w:cs="Times New Roman"/>
          <w:sz w:val="24"/>
          <w:szCs w:val="24"/>
        </w:rPr>
        <w:t>S2</w:t>
      </w:r>
      <w:r w:rsidRPr="00190DA4">
        <w:rPr>
          <w:rFonts w:ascii="Times New Roman" w:hAnsi="Times New Roman" w:cs="Times New Roman"/>
          <w:sz w:val="24"/>
          <w:szCs w:val="24"/>
        </w:rPr>
        <w:t xml:space="preserve"> for haplotype codes) and analysed using Maximum Likelihood (ML) and Bayesian Inference (BI) methods in IQ-</w:t>
      </w:r>
      <w:r w:rsidRPr="00E4612F">
        <w:rPr>
          <w:rFonts w:ascii="Times New Roman" w:hAnsi="Times New Roman" w:cs="Times New Roman"/>
          <w:sz w:val="24"/>
          <w:szCs w:val="24"/>
        </w:rPr>
        <w:t>TREE v 2.2.0 (Minh et al., 2020) and</w:t>
      </w:r>
      <w:r w:rsidRPr="00190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DA4">
        <w:rPr>
          <w:rFonts w:ascii="Times New Roman" w:hAnsi="Times New Roman" w:cs="Times New Roman"/>
          <w:sz w:val="24"/>
          <w:szCs w:val="24"/>
        </w:rPr>
        <w:t>MrBayes</w:t>
      </w:r>
      <w:proofErr w:type="spellEnd"/>
      <w:r w:rsidRPr="00190DA4">
        <w:rPr>
          <w:rFonts w:ascii="Times New Roman" w:hAnsi="Times New Roman" w:cs="Times New Roman"/>
          <w:sz w:val="24"/>
          <w:szCs w:val="24"/>
        </w:rPr>
        <w:t xml:space="preserve"> 3.2.</w:t>
      </w:r>
      <w:r w:rsidRPr="00E4612F">
        <w:rPr>
          <w:rFonts w:ascii="Times New Roman" w:hAnsi="Times New Roman" w:cs="Times New Roman"/>
          <w:sz w:val="24"/>
          <w:szCs w:val="24"/>
        </w:rPr>
        <w:t>7a (</w:t>
      </w:r>
      <w:proofErr w:type="spellStart"/>
      <w:r w:rsidRPr="00E4612F">
        <w:rPr>
          <w:rFonts w:ascii="Times New Roman" w:hAnsi="Times New Roman" w:cs="Times New Roman"/>
          <w:sz w:val="24"/>
          <w:szCs w:val="24"/>
        </w:rPr>
        <w:t>Ronquist</w:t>
      </w:r>
      <w:proofErr w:type="spellEnd"/>
      <w:r w:rsidRPr="00E4612F">
        <w:rPr>
          <w:rFonts w:ascii="Times New Roman" w:hAnsi="Times New Roman" w:cs="Times New Roman"/>
          <w:sz w:val="24"/>
          <w:szCs w:val="24"/>
        </w:rPr>
        <w:t xml:space="preserve"> et al., 2012),</w:t>
      </w:r>
      <w:r w:rsidRPr="00190DA4">
        <w:rPr>
          <w:rFonts w:ascii="Times New Roman" w:hAnsi="Times New Roman" w:cs="Times New Roman"/>
          <w:sz w:val="24"/>
          <w:szCs w:val="24"/>
        </w:rPr>
        <w:t xml:space="preserve"> respectively. For the BI analyses, the best-fit models of nucleotide substitution and partition schemes were selected using </w:t>
      </w:r>
      <w:proofErr w:type="spellStart"/>
      <w:r w:rsidRPr="00190DA4">
        <w:rPr>
          <w:rFonts w:ascii="Times New Roman" w:hAnsi="Times New Roman" w:cs="Times New Roman"/>
          <w:sz w:val="24"/>
          <w:szCs w:val="24"/>
        </w:rPr>
        <w:t>PartitionFinder</w:t>
      </w:r>
      <w:proofErr w:type="spellEnd"/>
      <w:r w:rsidRPr="00190DA4">
        <w:rPr>
          <w:rFonts w:ascii="Times New Roman" w:hAnsi="Times New Roman" w:cs="Times New Roman"/>
          <w:sz w:val="24"/>
          <w:szCs w:val="24"/>
        </w:rPr>
        <w:t xml:space="preserve"> 2 </w:t>
      </w:r>
      <w:r w:rsidRPr="00E4612F">
        <w:rPr>
          <w:rFonts w:ascii="Times New Roman" w:hAnsi="Times New Roman" w:cs="Times New Roman"/>
          <w:sz w:val="24"/>
          <w:szCs w:val="24"/>
        </w:rPr>
        <w:t>(Lanfear et al., 2016) under</w:t>
      </w:r>
      <w:r w:rsidRPr="00190DA4">
        <w:rPr>
          <w:rFonts w:ascii="Times New Roman" w:hAnsi="Times New Roman" w:cs="Times New Roman"/>
          <w:sz w:val="24"/>
          <w:szCs w:val="24"/>
        </w:rPr>
        <w:t xml:space="preserve"> the Bayesian Information Criterion. The BI analyses were started with </w:t>
      </w:r>
      <w:r w:rsidR="00A234FC" w:rsidRPr="00190DA4">
        <w:rPr>
          <w:rFonts w:ascii="Times New Roman" w:hAnsi="Times New Roman" w:cs="Times New Roman"/>
          <w:sz w:val="24"/>
          <w:szCs w:val="24"/>
        </w:rPr>
        <w:t>program</w:t>
      </w:r>
      <w:r w:rsidR="00A234FC">
        <w:rPr>
          <w:rFonts w:ascii="Times New Roman" w:hAnsi="Times New Roman" w:cs="Times New Roman"/>
          <w:sz w:val="24"/>
          <w:szCs w:val="24"/>
        </w:rPr>
        <w:t>-</w:t>
      </w:r>
      <w:r w:rsidRPr="00190DA4">
        <w:rPr>
          <w:rFonts w:ascii="Times New Roman" w:hAnsi="Times New Roman" w:cs="Times New Roman"/>
          <w:sz w:val="24"/>
          <w:szCs w:val="24"/>
        </w:rPr>
        <w:t>generated trees and four Markov chains with default incremental heating. Two independent runs of 20×10</w:t>
      </w:r>
      <w:r w:rsidRPr="00190DA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90DA4">
        <w:rPr>
          <w:rFonts w:ascii="Times New Roman" w:hAnsi="Times New Roman" w:cs="Times New Roman"/>
          <w:sz w:val="24"/>
          <w:szCs w:val="24"/>
        </w:rPr>
        <w:t xml:space="preserve"> generations were sampled at 1,000 generation intervals, resulting in a total of 20,000 trees. Burn-in was determined by convergence of log-likelihood and parameter values using Tracer 1.7.</w:t>
      </w:r>
      <w:r w:rsidRPr="00E4612F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Pr="00E4612F">
        <w:rPr>
          <w:rFonts w:ascii="Times New Roman" w:hAnsi="Times New Roman" w:cs="Times New Roman"/>
          <w:sz w:val="24"/>
          <w:szCs w:val="24"/>
        </w:rPr>
        <w:t>Rambaut</w:t>
      </w:r>
      <w:proofErr w:type="spellEnd"/>
      <w:r w:rsidRPr="00E4612F">
        <w:rPr>
          <w:rFonts w:ascii="Times New Roman" w:hAnsi="Times New Roman" w:cs="Times New Roman"/>
          <w:sz w:val="24"/>
          <w:szCs w:val="24"/>
        </w:rPr>
        <w:t xml:space="preserve"> et al., 2018).</w:t>
      </w:r>
      <w:r w:rsidRPr="00190DA4">
        <w:rPr>
          <w:rFonts w:ascii="Times New Roman" w:hAnsi="Times New Roman" w:cs="Times New Roman"/>
          <w:sz w:val="24"/>
          <w:szCs w:val="24"/>
        </w:rPr>
        <w:t xml:space="preserve"> For ML phylogenetic analyses, best-fit models of nucleotide substitution and partitioning schemes </w:t>
      </w:r>
      <w:r w:rsidRPr="00190DA4">
        <w:rPr>
          <w:rFonts w:ascii="Times New Roman" w:hAnsi="Times New Roman" w:cs="Times New Roman"/>
          <w:sz w:val="24"/>
          <w:szCs w:val="24"/>
        </w:rPr>
        <w:lastRenderedPageBreak/>
        <w:t xml:space="preserve">were selected using </w:t>
      </w:r>
      <w:proofErr w:type="spellStart"/>
      <w:r w:rsidRPr="00190DA4">
        <w:rPr>
          <w:rFonts w:ascii="Times New Roman" w:hAnsi="Times New Roman" w:cs="Times New Roman"/>
          <w:sz w:val="24"/>
          <w:szCs w:val="24"/>
        </w:rPr>
        <w:t>ModelFinder</w:t>
      </w:r>
      <w:proofErr w:type="spellEnd"/>
      <w:r w:rsidRPr="00190DA4">
        <w:rPr>
          <w:rFonts w:ascii="Times New Roman" w:hAnsi="Times New Roman" w:cs="Times New Roman"/>
          <w:sz w:val="24"/>
          <w:szCs w:val="24"/>
        </w:rPr>
        <w:t xml:space="preserve"> </w:t>
      </w:r>
      <w:r w:rsidRPr="00E461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612F">
        <w:rPr>
          <w:rFonts w:ascii="Times New Roman" w:hAnsi="Times New Roman" w:cs="Times New Roman"/>
          <w:sz w:val="24"/>
          <w:szCs w:val="24"/>
        </w:rPr>
        <w:t>Kalyaanamoorthy</w:t>
      </w:r>
      <w:proofErr w:type="spellEnd"/>
      <w:r w:rsidRPr="00E4612F">
        <w:rPr>
          <w:rFonts w:ascii="Times New Roman" w:hAnsi="Times New Roman" w:cs="Times New Roman"/>
          <w:sz w:val="24"/>
          <w:szCs w:val="24"/>
        </w:rPr>
        <w:t xml:space="preserve"> et al., 2017).</w:t>
      </w:r>
      <w:r w:rsidRPr="00190DA4">
        <w:rPr>
          <w:rFonts w:ascii="Times New Roman" w:hAnsi="Times New Roman" w:cs="Times New Roman"/>
          <w:sz w:val="24"/>
          <w:szCs w:val="24"/>
        </w:rPr>
        <w:t xml:space="preserve"> Maximum </w:t>
      </w:r>
      <w:r w:rsidR="00A234FC">
        <w:rPr>
          <w:rFonts w:ascii="Times New Roman" w:hAnsi="Times New Roman" w:cs="Times New Roman"/>
          <w:sz w:val="24"/>
          <w:szCs w:val="24"/>
        </w:rPr>
        <w:t>L</w:t>
      </w:r>
      <w:r w:rsidRPr="00190DA4">
        <w:rPr>
          <w:rFonts w:ascii="Times New Roman" w:hAnsi="Times New Roman" w:cs="Times New Roman"/>
          <w:sz w:val="24"/>
          <w:szCs w:val="24"/>
        </w:rPr>
        <w:t>ikelihood analyses were then performed with an initial tree search, followed by 10 independent runs and 10,000 ultrafast bootstrap replicates.</w:t>
      </w:r>
    </w:p>
    <w:p w14:paraId="71A27D0F" w14:textId="2EDFA76A" w:rsidR="00372C60" w:rsidRPr="00E4612F" w:rsidRDefault="00081EE7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DA4">
        <w:rPr>
          <w:rFonts w:ascii="Times New Roman" w:hAnsi="Times New Roman" w:cs="Times New Roman"/>
          <w:sz w:val="24"/>
          <w:szCs w:val="24"/>
        </w:rPr>
        <w:t>T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hree different methods were applied to determine the number of molecular operational taxonomic units (MOTUs). For the Barcode Index Number (BIN) system implemented </w:t>
      </w:r>
      <w:r w:rsidR="00372C60" w:rsidRPr="0026751D">
        <w:rPr>
          <w:rFonts w:ascii="Times New Roman" w:hAnsi="Times New Roman" w:cs="Times New Roman"/>
          <w:sz w:val="24"/>
          <w:szCs w:val="24"/>
        </w:rPr>
        <w:t>in BOLD (</w:t>
      </w:r>
      <w:proofErr w:type="spellStart"/>
      <w:r w:rsidR="00372C60" w:rsidRPr="0026751D">
        <w:rPr>
          <w:rFonts w:ascii="Times New Roman" w:hAnsi="Times New Roman" w:cs="Times New Roman"/>
          <w:sz w:val="24"/>
          <w:szCs w:val="24"/>
        </w:rPr>
        <w:t>Ratnasingham</w:t>
      </w:r>
      <w:proofErr w:type="spellEnd"/>
      <w:r w:rsidR="00372C60" w:rsidRPr="0026751D">
        <w:rPr>
          <w:rFonts w:ascii="Times New Roman" w:hAnsi="Times New Roman" w:cs="Times New Roman"/>
          <w:sz w:val="24"/>
          <w:szCs w:val="24"/>
        </w:rPr>
        <w:t xml:space="preserve"> and Hebert, 2013), the COI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dataset without the outgroup was analysed using the Cluster Sequences tool implemented in BOLD 4 (http://v4.boldsystems</w:t>
      </w:r>
      <w:r w:rsidR="00372C60" w:rsidRPr="00E4612F">
        <w:rPr>
          <w:rFonts w:ascii="Times New Roman" w:hAnsi="Times New Roman" w:cs="Times New Roman"/>
          <w:sz w:val="24"/>
          <w:szCs w:val="24"/>
        </w:rPr>
        <w:t>.org) (</w:t>
      </w:r>
      <w:proofErr w:type="spellStart"/>
      <w:r w:rsidR="00372C60" w:rsidRPr="00E4612F">
        <w:rPr>
          <w:rFonts w:ascii="Times New Roman" w:hAnsi="Times New Roman" w:cs="Times New Roman"/>
          <w:sz w:val="24"/>
          <w:szCs w:val="24"/>
        </w:rPr>
        <w:t>Ratnasingham</w:t>
      </w:r>
      <w:proofErr w:type="spellEnd"/>
      <w:r w:rsidR="00372C60" w:rsidRPr="00E4612F">
        <w:rPr>
          <w:rFonts w:ascii="Times New Roman" w:hAnsi="Times New Roman" w:cs="Times New Roman"/>
          <w:sz w:val="24"/>
          <w:szCs w:val="24"/>
        </w:rPr>
        <w:t xml:space="preserve"> and Hebert, 2013).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Assemble Species by Automatic Partitioning (</w:t>
      </w:r>
      <w:r w:rsidR="00372C60" w:rsidRPr="00E4612F">
        <w:rPr>
          <w:rFonts w:ascii="Times New Roman" w:hAnsi="Times New Roman" w:cs="Times New Roman"/>
          <w:sz w:val="24"/>
          <w:szCs w:val="24"/>
        </w:rPr>
        <w:t>ASAP) (</w:t>
      </w:r>
      <w:proofErr w:type="spellStart"/>
      <w:r w:rsidR="00372C60" w:rsidRPr="00E4612F">
        <w:rPr>
          <w:rFonts w:ascii="Times New Roman" w:hAnsi="Times New Roman" w:cs="Times New Roman"/>
          <w:sz w:val="24"/>
          <w:szCs w:val="24"/>
        </w:rPr>
        <w:t>Puillandre</w:t>
      </w:r>
      <w:proofErr w:type="spellEnd"/>
      <w:r w:rsidR="00372C60" w:rsidRPr="00E4612F">
        <w:rPr>
          <w:rFonts w:ascii="Times New Roman" w:hAnsi="Times New Roman" w:cs="Times New Roman"/>
          <w:sz w:val="24"/>
          <w:szCs w:val="24"/>
        </w:rPr>
        <w:t xml:space="preserve"> et al., 202</w:t>
      </w:r>
      <w:r w:rsidR="00E4612F" w:rsidRPr="00E4612F">
        <w:rPr>
          <w:rFonts w:ascii="Times New Roman" w:hAnsi="Times New Roman" w:cs="Times New Roman"/>
          <w:sz w:val="24"/>
          <w:szCs w:val="24"/>
        </w:rPr>
        <w:t>1</w:t>
      </w:r>
      <w:r w:rsidR="00372C60" w:rsidRPr="00E4612F">
        <w:rPr>
          <w:rFonts w:ascii="Times New Roman" w:hAnsi="Times New Roman" w:cs="Times New Roman"/>
          <w:sz w:val="24"/>
          <w:szCs w:val="24"/>
        </w:rPr>
        <w:t>) was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applied to the COI dataset without the outgroup using its online version (https://bioinfo.mnhn.fr/abi/public/asap/) with the default settings and the Kimura 2-parameter (K2P) distance matrix </w:t>
      </w:r>
      <w:r w:rsidR="00372C60" w:rsidRPr="00E461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72C60" w:rsidRPr="00E4612F">
        <w:rPr>
          <w:rFonts w:ascii="Times New Roman" w:hAnsi="Times New Roman" w:cs="Times New Roman"/>
          <w:sz w:val="24"/>
          <w:szCs w:val="24"/>
        </w:rPr>
        <w:t>Puillandre</w:t>
      </w:r>
      <w:proofErr w:type="spellEnd"/>
      <w:r w:rsidR="00372C60" w:rsidRPr="00E4612F">
        <w:rPr>
          <w:rFonts w:ascii="Times New Roman" w:hAnsi="Times New Roman" w:cs="Times New Roman"/>
          <w:sz w:val="24"/>
          <w:szCs w:val="24"/>
        </w:rPr>
        <w:t xml:space="preserve"> et al., 2021). The third method used haplotype network reconstructions in TCS 1.21 (Clement et al., 2000) with a statistical parsimony limit of 95%. </w:t>
      </w:r>
    </w:p>
    <w:p w14:paraId="01A49C38" w14:textId="6DC4DAED" w:rsidR="00372C60" w:rsidRPr="00190DA4" w:rsidRDefault="00081EE7" w:rsidP="00372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12F">
        <w:rPr>
          <w:rFonts w:ascii="Times New Roman" w:hAnsi="Times New Roman" w:cs="Times New Roman"/>
          <w:sz w:val="24"/>
          <w:szCs w:val="24"/>
        </w:rPr>
        <w:t xml:space="preserve">The COI haplotype networks presented also used TCS 1.21 </w:t>
      </w:r>
      <w:r w:rsidR="00A234FC" w:rsidRPr="00E4612F">
        <w:rPr>
          <w:rFonts w:ascii="Times New Roman" w:hAnsi="Times New Roman" w:cs="Times New Roman"/>
          <w:sz w:val="24"/>
          <w:szCs w:val="24"/>
        </w:rPr>
        <w:t>with</w:t>
      </w:r>
      <w:r w:rsidRPr="00E4612F">
        <w:rPr>
          <w:rFonts w:ascii="Times New Roman" w:hAnsi="Times New Roman" w:cs="Times New Roman"/>
          <w:sz w:val="24"/>
          <w:szCs w:val="24"/>
        </w:rPr>
        <w:t xml:space="preserve"> the same parameters</w:t>
      </w:r>
      <w:r w:rsidRPr="00190DA4">
        <w:rPr>
          <w:rFonts w:ascii="Times New Roman" w:hAnsi="Times New Roman" w:cs="Times New Roman"/>
          <w:sz w:val="24"/>
          <w:szCs w:val="24"/>
        </w:rPr>
        <w:t xml:space="preserve"> as above. 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Sequence divergence (uncorrected </w:t>
      </w:r>
      <w:r w:rsidR="00372C60" w:rsidRPr="00190DA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-distance) was estimated using </w:t>
      </w:r>
      <w:r w:rsidR="00372C60" w:rsidRPr="0026751D">
        <w:rPr>
          <w:rFonts w:ascii="Times New Roman" w:hAnsi="Times New Roman" w:cs="Times New Roman"/>
          <w:sz w:val="24"/>
          <w:szCs w:val="24"/>
        </w:rPr>
        <w:t>MEGA X (Kumar et al., 2018).</w:t>
      </w:r>
      <w:r w:rsidR="00372C60" w:rsidRPr="00190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9B5E3" w14:textId="77777777" w:rsidR="00372C60" w:rsidRDefault="00372C60" w:rsidP="00372C60">
      <w:pPr>
        <w:rPr>
          <w:rFonts w:ascii="Times New Roman" w:hAnsi="Times New Roman" w:cs="Times New Roman"/>
          <w:sz w:val="24"/>
          <w:szCs w:val="24"/>
        </w:rPr>
      </w:pPr>
    </w:p>
    <w:p w14:paraId="446F8A96" w14:textId="7ACA11DB" w:rsidR="00E20594" w:rsidRPr="00E20594" w:rsidRDefault="00E20594" w:rsidP="00E2059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059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47F8906" w14:textId="77777777" w:rsidR="0026751D" w:rsidRDefault="0026751D" w:rsidP="00E205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Clement, M., D. Posada &amp; K. A. Crandall, 2000. TCS: a computer program to estimate gene genealogies. Molecular Ecology 9: 1657–1659. </w:t>
      </w:r>
      <w:hyperlink r:id="rId6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https://doi.org/10.1046/j.1365-294x.2000.01020.x</w:t>
        </w:r>
      </w:hyperlink>
    </w:p>
    <w:p w14:paraId="5BB89D98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Froufe, E., Sobral, C., Teixeira, A., Sousa, R.,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Varandas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S.C., Aldridge, D., Lopes-Lima,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M., 2014. Genetic diversity of the pan-European freshwater mussel </w:t>
      </w:r>
      <w:r w:rsidRPr="00CE0667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Anodonta </w:t>
      </w:r>
      <w:proofErr w:type="spellStart"/>
      <w:r w:rsidRPr="00CE0667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anatina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(Bivalvia: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Unionoida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) based on CO1: new phylogenetic insights and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implications for conservation.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Aquat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Conserv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. Mar.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Freshw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Ecosyst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. 24, 561–574. </w:t>
      </w:r>
      <w:hyperlink r:id="rId7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http://dx.doi.org/10.1002/aqc.2456</w:t>
        </w:r>
      </w:hyperlink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5482B825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Kalyaanamoorthy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S., Minh, B.Q., Wong, T.K.F., von Haeseler, A., Jermiin, L.S., 2017.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ModelFinder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: fast model selection for accurate phylogenetic estimates. Nat. Methods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14, 587–589. </w:t>
      </w:r>
      <w:hyperlink r:id="rId8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https://doi.org/10.1038/nmeth.4285</w:t>
        </w:r>
      </w:hyperlink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35DF3ACF" w14:textId="77777777" w:rsidR="0026751D" w:rsidRDefault="0026751D" w:rsidP="00E205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6751D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 xml:space="preserve">Kumar, S., Stecher, G., Li, M., </w:t>
      </w:r>
      <w:proofErr w:type="spellStart"/>
      <w:r w:rsidRPr="0026751D">
        <w:rPr>
          <w:rFonts w:ascii="Times New Roman" w:eastAsia="Times New Roman" w:hAnsi="Times New Roman" w:cs="Times New Roman"/>
          <w:sz w:val="24"/>
          <w:szCs w:val="24"/>
          <w:lang w:eastAsia="ko-KR"/>
        </w:rPr>
        <w:t>Knyaz</w:t>
      </w:r>
      <w:proofErr w:type="spellEnd"/>
      <w:r w:rsidRPr="0026751D">
        <w:rPr>
          <w:rFonts w:ascii="Times New Roman" w:eastAsia="Times New Roman" w:hAnsi="Times New Roman" w:cs="Times New Roman"/>
          <w:sz w:val="24"/>
          <w:szCs w:val="24"/>
          <w:lang w:eastAsia="ko-KR"/>
        </w:rPr>
        <w:t>, C., &amp; Tamura, K. (2018). MEGA X: molecular evolutionary genetics analysis across computing platforms. Molecular biology and evolution, 35(6), 1547.</w:t>
      </w:r>
    </w:p>
    <w:p w14:paraId="4FDFE918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Lanfear, R., Frandsen, P.B., Wright, A.M.,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Senfeld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T., Calcott, B., 2016.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PartitionFinder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2: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New methods for selecting partitioned models of evolution for molecular and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morphological phylogenetic analyses. Mol. Biol.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Evol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. 34, 772–773. </w:t>
      </w:r>
      <w:hyperlink r:id="rId9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https://doi.org/10.1093/molbev/msw260</w:t>
        </w:r>
      </w:hyperlink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5BFE2C03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Minh, B.Q., Schmidt, H.A.,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Chernomor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O., Schrempf, D., Woodhams, M.D., von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Haeseler, A., Lanfear, R., 2020. IQ-TREE 2: New models and efficient methods for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phylogenetic inference in the genomic era. Mol. Biol.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Evol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 37, 1530–1534. https://doi.org/10.1093/molbev/msaa015.</w:t>
      </w:r>
    </w:p>
    <w:p w14:paraId="40EB5751" w14:textId="77777777" w:rsidR="0026751D" w:rsidRDefault="0026751D" w:rsidP="00E3084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Naimo, T.J., Damschen, E.D., Rada, R.G., Monroe, E.M., 1998. Nonlethal evaluation of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the physiological health of unionid mussels: methods for biopsy and glycogen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analysis. J. North Am.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Benthol</w:t>
      </w:r>
      <w:proofErr w:type="spellEnd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. Soc. 17, 121–128.</w:t>
      </w:r>
    </w:p>
    <w:p w14:paraId="47C9F0C0" w14:textId="77777777" w:rsidR="0026751D" w:rsidRDefault="0026751D" w:rsidP="00E20594">
      <w:pPr>
        <w:spacing w:line="360" w:lineRule="auto"/>
        <w:jc w:val="both"/>
        <w:rPr>
          <w:rFonts w:ascii="Times New Roman" w:hAnsi="Times New Roman"/>
          <w:color w:val="000000" w:themeColor="text1"/>
          <w:sz w:val="24"/>
        </w:rPr>
      </w:pPr>
      <w:proofErr w:type="spellStart"/>
      <w:r w:rsidRPr="00E56796">
        <w:rPr>
          <w:rFonts w:ascii="Times New Roman" w:hAnsi="Times New Roman"/>
          <w:color w:val="000000" w:themeColor="text1"/>
          <w:sz w:val="24"/>
        </w:rPr>
        <w:t>Puillandre</w:t>
      </w:r>
      <w:proofErr w:type="spellEnd"/>
      <w:r w:rsidRPr="00E56796">
        <w:rPr>
          <w:rFonts w:ascii="Times New Roman" w:hAnsi="Times New Roman"/>
          <w:color w:val="000000" w:themeColor="text1"/>
          <w:sz w:val="24"/>
        </w:rPr>
        <w:t xml:space="preserve">, N., S. Brouillet &amp; G. Achaz, 2021. ASAP: assemble species by automatic partitioning. Molecular Ecology Resources 21: 609–620. </w:t>
      </w:r>
      <w:hyperlink r:id="rId10" w:history="1">
        <w:r w:rsidRPr="00A001B0">
          <w:rPr>
            <w:rStyle w:val="Hyperlink"/>
            <w:rFonts w:ascii="Times New Roman" w:hAnsi="Times New Roman"/>
            <w:sz w:val="24"/>
          </w:rPr>
          <w:t>https://doi.org/10.1111/1755-0998.13281</w:t>
        </w:r>
      </w:hyperlink>
    </w:p>
    <w:p w14:paraId="2925BF2E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Rambaut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A., Drummond, A.J., Xie, D., Baele, G.,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Suchard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M.A., Susko, E., 2018.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Posterior summarization in Bayesian phylogenetics using Tracer 1.7. Syst. Biol. 67,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901–904. </w:t>
      </w:r>
      <w:hyperlink r:id="rId11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https://doi.org/10.1093/sysbio/syy032</w:t>
        </w:r>
      </w:hyperlink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282421DA" w14:textId="77777777" w:rsidR="0026751D" w:rsidRDefault="0026751D" w:rsidP="00E205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Ratnasingham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S. &amp; P. D. N. Hebert, 2013. A DNA-Based registry for all animal species: the Barcode Index Number (BIN) system.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PLoS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ONE 8: e66213. </w:t>
      </w:r>
      <w:hyperlink r:id="rId12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https://doi.org/10.1371/journal.pone.0066213</w:t>
        </w:r>
      </w:hyperlink>
    </w:p>
    <w:p w14:paraId="0D336F61" w14:textId="77777777" w:rsidR="0026751D" w:rsidRDefault="0026751D" w:rsidP="00E461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Ronquist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F.,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Teslenko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M., van der Mark, P., Ayres, D.L., Darling, A., Hohna, S.,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Larget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B., Liu, L.,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Suchard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M.A., Huelsenbeck, J.P., Hohna, S.,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Larget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, B., Liu, L.,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Suchard</w:t>
      </w:r>
      <w:proofErr w:type="spellEnd"/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M.A., Huelsenbeck, J.P., 2012. MrBayes 3.2: efficient 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Bayesian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phylogenetic inference and model choice across a large model space. Syst. Biol. 61,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539–542. </w:t>
      </w:r>
      <w:hyperlink r:id="rId13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https://doi.org/10.1093/sysbio/sys029</w:t>
        </w:r>
      </w:hyperlink>
      <w:r w:rsidRPr="00E4612F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0944A526" w14:textId="77777777" w:rsidR="0026751D" w:rsidRDefault="0026751D" w:rsidP="00E3084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>Sambrook, J., Fritsch, E.F., Maniatis, T., 1989. Molecular Cloning: a Laboratory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Manual. Cold Harbor Spring Press, New York.</w:t>
      </w:r>
    </w:p>
    <w:p w14:paraId="29804C2B" w14:textId="77777777" w:rsidR="0026751D" w:rsidRDefault="0026751D" w:rsidP="00E3084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Walker, J.M., Bogan, A.E., Bonfiglio, E.A., Campbell, D.C., Christian, A.D., Curole, J.P.,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Harris, J.L., Wojtecki, R.J., Hoeh, W.R., 2007. Primers for amplifying the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hypervariable, male-transmitted COII-COI junction region in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amblemine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freshwater mussels (Bivalvia: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Unionoidea</w:t>
      </w:r>
      <w:proofErr w:type="spellEnd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: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Ambleminae</w:t>
      </w:r>
      <w:proofErr w:type="spellEnd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): primer note. Mol.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Ecol. Notes 7, 489–491. </w:t>
      </w:r>
      <w:hyperlink r:id="rId14" w:history="1">
        <w:r w:rsidRPr="00A001B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http://dx.doi.org/10.1111/j.1471-8286.2006.01630.x</w:t>
        </w:r>
      </w:hyperlink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39F6CB4A" w14:textId="77777777" w:rsidR="0026751D" w:rsidRPr="00E30844" w:rsidRDefault="0026751D" w:rsidP="00E3084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Walker, J.M., Curole, J.P., Wade, D.E., Chapman, E.G., Bogan, A.E., Watters, G.T., Hoeh,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W.R., 2006. Taxonomic Distribution and Phylogenetic Utility of Gender-Associated Mitochondrial Genomes in the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Unionoida</w:t>
      </w:r>
      <w:proofErr w:type="spellEnd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(Bivalvia). </w:t>
      </w:r>
      <w:proofErr w:type="spellStart"/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Malacologia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E30844">
        <w:rPr>
          <w:rFonts w:ascii="Times New Roman" w:eastAsia="Times New Roman" w:hAnsi="Times New Roman" w:cs="Times New Roman"/>
          <w:sz w:val="24"/>
          <w:szCs w:val="24"/>
          <w:lang w:eastAsia="ko-KR"/>
        </w:rPr>
        <w:t>48, 265–282.</w:t>
      </w:r>
    </w:p>
    <w:sectPr w:rsidR="0026751D" w:rsidRPr="00E30844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ADB3C" w14:textId="77777777" w:rsidR="00875048" w:rsidRDefault="00875048" w:rsidP="00BB51BC">
      <w:pPr>
        <w:spacing w:after="0" w:line="240" w:lineRule="auto"/>
      </w:pPr>
      <w:r>
        <w:separator/>
      </w:r>
    </w:p>
  </w:endnote>
  <w:endnote w:type="continuationSeparator" w:id="0">
    <w:p w14:paraId="054D934D" w14:textId="77777777" w:rsidR="00875048" w:rsidRDefault="00875048" w:rsidP="00BB5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8252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F1BD7" w14:textId="331DFE62" w:rsidR="00C25578" w:rsidRDefault="00C255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E0D825" w14:textId="77777777" w:rsidR="00C25578" w:rsidRDefault="00C25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A8577" w14:textId="77777777" w:rsidR="00875048" w:rsidRDefault="00875048" w:rsidP="00BB51BC">
      <w:pPr>
        <w:spacing w:after="0" w:line="240" w:lineRule="auto"/>
      </w:pPr>
      <w:r>
        <w:separator/>
      </w:r>
    </w:p>
  </w:footnote>
  <w:footnote w:type="continuationSeparator" w:id="0">
    <w:p w14:paraId="327761E7" w14:textId="77777777" w:rsidR="00875048" w:rsidRDefault="00875048" w:rsidP="00BB5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D319" w14:textId="77777777" w:rsidR="00BB51BC" w:rsidRPr="00651561" w:rsidRDefault="00BB51BC" w:rsidP="00BB51BC">
    <w:pPr>
      <w:spacing w:line="240" w:lineRule="auto"/>
      <w:jc w:val="both"/>
      <w:rPr>
        <w:rFonts w:ascii="Times New Roman" w:eastAsia="Malgun Gothic" w:hAnsi="Times New Roman" w:cs="Times New Roman"/>
        <w:b/>
        <w:sz w:val="20"/>
        <w:szCs w:val="20"/>
        <w:lang w:eastAsia="ko-KR"/>
      </w:rPr>
    </w:pPr>
    <w:r w:rsidRPr="00651561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 xml:space="preserve">Review of the globally invasive freshwater mussels in the genus </w:t>
    </w:r>
    <w:r w:rsidRPr="00651561">
      <w:rPr>
        <w:rFonts w:ascii="Times New Roman" w:eastAsia="Malgun Gothic" w:hAnsi="Times New Roman" w:cs="Times New Roman"/>
        <w:b/>
        <w:i/>
        <w:iCs/>
        <w:sz w:val="20"/>
        <w:szCs w:val="20"/>
        <w:lang w:eastAsia="ko-KR"/>
      </w:rPr>
      <w:t xml:space="preserve">Sinanodonta </w:t>
    </w:r>
    <w:r w:rsidRPr="00651561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>Modell, 1945</w:t>
    </w:r>
  </w:p>
  <w:p w14:paraId="4BDC3475" w14:textId="77777777" w:rsidR="00BB51BC" w:rsidRPr="00651561" w:rsidRDefault="00BB51BC" w:rsidP="00BB51BC">
    <w:pPr>
      <w:spacing w:line="240" w:lineRule="auto"/>
      <w:jc w:val="both"/>
      <w:rPr>
        <w:rFonts w:ascii="Times New Roman" w:eastAsia="Malgun Gothic" w:hAnsi="Times New Roman" w:cs="Times New Roman"/>
        <w:sz w:val="16"/>
        <w:szCs w:val="16"/>
        <w:lang w:eastAsia="ko-KR"/>
      </w:rPr>
    </w:pPr>
    <w:r w:rsidRPr="00651561">
      <w:rPr>
        <w:rFonts w:ascii="Times New Roman" w:eastAsia="Malgun Gothic" w:hAnsi="Times New Roman" w:cs="Times New Roman"/>
        <w:sz w:val="16"/>
        <w:szCs w:val="16"/>
        <w:lang w:eastAsia="ko-KR"/>
      </w:rPr>
      <w:t>Karel Douda, Alexandra Zieritz, Barbora Vodáková, Maria Urbańska, Ivan N. Bolotov, Jana Marková, Elsa Froufe, Arthur E. Bogan, Manuel Lopes-Lima</w:t>
    </w:r>
  </w:p>
  <w:p w14:paraId="172453A5" w14:textId="77777777" w:rsidR="00BB51BC" w:rsidRDefault="00BB51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C3sDQxMzM1MjGwMDBS0lEKTi0uzszPAymwrAUA9/ZXDywAAAA="/>
  </w:docVars>
  <w:rsids>
    <w:rsidRoot w:val="00372C60"/>
    <w:rsid w:val="000042F5"/>
    <w:rsid w:val="00081EE7"/>
    <w:rsid w:val="00190DA4"/>
    <w:rsid w:val="002156C8"/>
    <w:rsid w:val="0026751D"/>
    <w:rsid w:val="00273B7A"/>
    <w:rsid w:val="00372C60"/>
    <w:rsid w:val="00443353"/>
    <w:rsid w:val="004B2B87"/>
    <w:rsid w:val="004F6DF2"/>
    <w:rsid w:val="00600E52"/>
    <w:rsid w:val="0063451B"/>
    <w:rsid w:val="006E1095"/>
    <w:rsid w:val="00724592"/>
    <w:rsid w:val="00855620"/>
    <w:rsid w:val="00875048"/>
    <w:rsid w:val="00892732"/>
    <w:rsid w:val="00987077"/>
    <w:rsid w:val="00A16271"/>
    <w:rsid w:val="00A234FC"/>
    <w:rsid w:val="00BB51BC"/>
    <w:rsid w:val="00C21642"/>
    <w:rsid w:val="00C25578"/>
    <w:rsid w:val="00CE0667"/>
    <w:rsid w:val="00E20594"/>
    <w:rsid w:val="00E30844"/>
    <w:rsid w:val="00E4612F"/>
    <w:rsid w:val="00EC72D2"/>
    <w:rsid w:val="00F3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967299"/>
  <w15:chartTrackingRefBased/>
  <w15:docId w15:val="{A5D349CA-3797-4EF0-9884-9BA620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C60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4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4FC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4FC"/>
    <w:rPr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4FC"/>
    <w:rPr>
      <w:rFonts w:ascii="Segoe UI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rsid w:val="004F6DF2"/>
    <w:pPr>
      <w:spacing w:after="0" w:line="240" w:lineRule="auto"/>
    </w:pPr>
    <w:rPr>
      <w:kern w:val="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5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1BC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5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1BC"/>
    <w:rPr>
      <w:kern w:val="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30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nmeth.4285" TargetMode="External"/><Relationship Id="rId13" Type="http://schemas.openxmlformats.org/officeDocument/2006/relationships/hyperlink" Target="https://doi.org/10.1093/sysbio/sys02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002/aqc.2456" TargetMode="External"/><Relationship Id="rId12" Type="http://schemas.openxmlformats.org/officeDocument/2006/relationships/hyperlink" Target="https://doi.org/10.1371/journal.pone.006621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doi.org/10.1046/j.1365-294x.2000.01020.x" TargetMode="External"/><Relationship Id="rId11" Type="http://schemas.openxmlformats.org/officeDocument/2006/relationships/hyperlink" Target="https://doi.org/10.1093/sysbio/syy032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doi.org/10.1111/1755-0998.1328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93/molbev/msw260" TargetMode="External"/><Relationship Id="rId14" Type="http://schemas.openxmlformats.org/officeDocument/2006/relationships/hyperlink" Target="http://dx.doi.org/10.1111/j.1471-8286.2006.01630.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6296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Lima</dc:creator>
  <cp:keywords/>
  <dc:description/>
  <cp:lastModifiedBy>Douda Karel</cp:lastModifiedBy>
  <cp:revision>2</cp:revision>
  <dcterms:created xsi:type="dcterms:W3CDTF">2023-12-01T08:12:00Z</dcterms:created>
  <dcterms:modified xsi:type="dcterms:W3CDTF">2023-12-01T08:12:00Z</dcterms:modified>
</cp:coreProperties>
</file>