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66F" w:rsidRDefault="00A9466F" w:rsidP="00A9466F">
      <w:pPr>
        <w:autoSpaceDE w:val="0"/>
        <w:autoSpaceDN w:val="0"/>
        <w:adjustRightInd w:val="0"/>
        <w:spacing w:after="0" w:line="276" w:lineRule="auto"/>
        <w:jc w:val="both"/>
        <w:rPr>
          <w:u w:val="single"/>
          <w:lang w:val="en-GB"/>
        </w:rPr>
      </w:pPr>
      <w:bookmarkStart w:id="0" w:name="_GoBack"/>
      <w:r w:rsidRPr="00256530">
        <w:rPr>
          <w:u w:val="single"/>
          <w:lang w:val="en-GB"/>
        </w:rPr>
        <w:t>Supplementary</w:t>
      </w:r>
    </w:p>
    <w:p w:rsidR="00A9466F" w:rsidRDefault="00A9466F" w:rsidP="00A9466F">
      <w:pPr>
        <w:autoSpaceDE w:val="0"/>
        <w:autoSpaceDN w:val="0"/>
        <w:adjustRightInd w:val="0"/>
        <w:spacing w:after="0" w:line="276" w:lineRule="auto"/>
        <w:jc w:val="both"/>
        <w:rPr>
          <w:u w:val="single"/>
          <w:lang w:val="en-GB"/>
        </w:rPr>
      </w:pPr>
    </w:p>
    <w:p w:rsidR="00A9466F" w:rsidRDefault="00A9466F" w:rsidP="00A9466F">
      <w:pPr>
        <w:spacing w:line="276" w:lineRule="auto"/>
        <w:rPr>
          <w:color w:val="2F5496" w:themeColor="accent5" w:themeShade="BF"/>
          <w:lang w:val="en-GB"/>
        </w:rPr>
      </w:pPr>
      <w:r>
        <w:rPr>
          <w:noProof/>
          <w:color w:val="2F5496" w:themeColor="accent5" w:themeShade="BF"/>
          <w:lang w:eastAsia="en-IN"/>
        </w:rPr>
        <w:drawing>
          <wp:inline distT="0" distB="0" distL="0" distR="0" wp14:anchorId="17409521" wp14:editId="23A5CA5D">
            <wp:extent cx="4112407" cy="3848582"/>
            <wp:effectExtent l="0" t="0" r="254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.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467" cy="385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66F" w:rsidRDefault="00A9466F" w:rsidP="00A9466F">
      <w:pPr>
        <w:spacing w:after="0" w:line="276" w:lineRule="auto"/>
        <w:rPr>
          <w:color w:val="2F5496" w:themeColor="accent5" w:themeShade="BF"/>
          <w:lang w:val="en-GB"/>
        </w:rPr>
      </w:pPr>
      <w:r w:rsidRPr="00365061">
        <w:rPr>
          <w:b/>
          <w:color w:val="2F5496" w:themeColor="accent5" w:themeShade="BF"/>
          <w:lang w:val="en-GB"/>
        </w:rPr>
        <w:t>Fig.S1</w:t>
      </w:r>
      <w:r w:rsidRPr="00EA6208">
        <w:rPr>
          <w:color w:val="2F5496" w:themeColor="accent5" w:themeShade="BF"/>
          <w:lang w:val="en-GB"/>
        </w:rPr>
        <w:t xml:space="preserve"> (NH</w:t>
      </w:r>
      <w:r w:rsidRPr="005B3E42">
        <w:rPr>
          <w:color w:val="2F5496" w:themeColor="accent5" w:themeShade="BF"/>
          <w:vertAlign w:val="subscript"/>
          <w:lang w:val="en-GB"/>
        </w:rPr>
        <w:t>4</w:t>
      </w:r>
      <w:r w:rsidRPr="00EA6208">
        <w:rPr>
          <w:color w:val="2F5496" w:themeColor="accent5" w:themeShade="BF"/>
          <w:lang w:val="en-GB"/>
        </w:rPr>
        <w:t>+NO</w:t>
      </w:r>
      <w:r w:rsidRPr="005B3E42">
        <w:rPr>
          <w:color w:val="2F5496" w:themeColor="accent5" w:themeShade="BF"/>
          <w:vertAlign w:val="subscript"/>
          <w:lang w:val="en-GB"/>
        </w:rPr>
        <w:t>2</w:t>
      </w:r>
      <w:r w:rsidRPr="00EA6208">
        <w:rPr>
          <w:color w:val="2F5496" w:themeColor="accent5" w:themeShade="BF"/>
          <w:lang w:val="en-GB"/>
        </w:rPr>
        <w:t>)-N- concentration as a function of PO</w:t>
      </w:r>
      <w:r w:rsidRPr="005B3E42">
        <w:rPr>
          <w:color w:val="2F5496" w:themeColor="accent5" w:themeShade="BF"/>
          <w:vertAlign w:val="subscript"/>
          <w:lang w:val="en-GB"/>
        </w:rPr>
        <w:t>4</w:t>
      </w:r>
      <w:r w:rsidRPr="00EA6208">
        <w:rPr>
          <w:color w:val="2F5496" w:themeColor="accent5" w:themeShade="BF"/>
          <w:lang w:val="en-GB"/>
        </w:rPr>
        <w:t>-P concentration</w:t>
      </w:r>
      <w:r>
        <w:rPr>
          <w:color w:val="2F5496" w:themeColor="accent5" w:themeShade="BF"/>
          <w:lang w:val="en-GB"/>
        </w:rPr>
        <w:t>.</w:t>
      </w:r>
    </w:p>
    <w:p w:rsidR="00A9466F" w:rsidRPr="005C33FD" w:rsidRDefault="00A9466F" w:rsidP="00A9466F">
      <w:pPr>
        <w:spacing w:after="0" w:line="276" w:lineRule="auto"/>
        <w:rPr>
          <w:color w:val="2F5496" w:themeColor="accent5" w:themeShade="BF"/>
          <w:lang w:val="en-GB"/>
        </w:rPr>
      </w:pPr>
    </w:p>
    <w:p w:rsidR="00A9466F" w:rsidRDefault="00A9466F" w:rsidP="00A9466F">
      <w:pPr>
        <w:tabs>
          <w:tab w:val="left" w:pos="1763"/>
        </w:tabs>
        <w:jc w:val="both"/>
        <w:rPr>
          <w:color w:val="2F5496" w:themeColor="accent5" w:themeShade="BF"/>
          <w:lang w:val="en-GB"/>
        </w:rPr>
      </w:pPr>
      <w:r w:rsidRPr="00470EE9">
        <w:rPr>
          <w:noProof/>
          <w:lang w:eastAsia="en-IN"/>
        </w:rPr>
        <w:lastRenderedPageBreak/>
        <w:drawing>
          <wp:inline distT="0" distB="0" distL="0" distR="0" wp14:anchorId="2A510E2E" wp14:editId="0299BDA0">
            <wp:extent cx="5760720" cy="4875530"/>
            <wp:effectExtent l="0" t="0" r="0" b="127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.4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7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66F" w:rsidRDefault="00A9466F" w:rsidP="00A9466F">
      <w:pPr>
        <w:tabs>
          <w:tab w:val="left" w:pos="1763"/>
        </w:tabs>
        <w:spacing w:after="0" w:line="276" w:lineRule="auto"/>
        <w:jc w:val="both"/>
        <w:rPr>
          <w:color w:val="2F5496" w:themeColor="accent5" w:themeShade="BF"/>
          <w:lang w:val="en-GB"/>
        </w:rPr>
      </w:pPr>
      <w:r w:rsidRPr="00EF74F1">
        <w:rPr>
          <w:b/>
          <w:color w:val="2F5496" w:themeColor="accent5" w:themeShade="BF"/>
          <w:lang w:val="en-GB"/>
        </w:rPr>
        <w:t xml:space="preserve">Fig. </w:t>
      </w:r>
      <w:r>
        <w:rPr>
          <w:b/>
          <w:color w:val="2F5496" w:themeColor="accent5" w:themeShade="BF"/>
          <w:lang w:val="en-GB"/>
        </w:rPr>
        <w:t>S2</w:t>
      </w:r>
      <w:r w:rsidRPr="00EF74F1">
        <w:rPr>
          <w:color w:val="2F5496" w:themeColor="accent5" w:themeShade="BF"/>
          <w:lang w:val="en-GB"/>
        </w:rPr>
        <w:t xml:space="preserve"> Relative biovolume of phytoplankton groups by WFD status and month analysed by microscopy. The median stenoecy coefficient </w:t>
      </w:r>
      <w:r w:rsidRPr="00EF74F1">
        <w:rPr>
          <w:color w:val="2F5496" w:themeColor="accent5" w:themeShade="BF"/>
          <w:lang w:val="en-GB"/>
        </w:rPr>
        <w:fldChar w:fldCharType="begin" w:fldLock="1"/>
      </w:r>
      <w:r w:rsidRPr="00EF74F1">
        <w:rPr>
          <w:color w:val="2F5496" w:themeColor="accent5" w:themeShade="BF"/>
          <w:lang w:val="en-GB"/>
        </w:rPr>
        <w:instrText>ADDIN CSL_CITATION {"citationItems":[{"id":"ITEM-1","itemData":{"author":[{"dropping-particle":"","family":"Laplace-Treyture","given":"C.","non-dropping-particle":"","parse-names":false,"suffix":""},{"dropping-particle":"","family":"Feret","given":"T.","non-dropping-particle":"","parse-names":false,"suffix":""}],"container-title":"Ecological Indicators","id":"ITEM-1","issued":{"date-parts":[["2016"]]},"page":"686-698","title":"Performance of the Performance of the Phytoplankton Index for Lakes (IPLAC): A multimetric phytoplankton index to assess the ecological status of water bodies in France.","type":"article-journal","volume":"69"},"uris":["http://www.mendeley.com/documents/?uuid=9313c15c-618f-4082-af9e-c9009efb1de3"]}],"mendeley":{"formattedCitation":"(Laplace-Treyture &amp; Feret, 2016)","manualFormatting":"Laplace-Treyture &amp; Feret (2016: 695, Appendix B)","plainTextFormattedCitation":"(Laplace-Treyture &amp; Feret, 2016)","previouslyFormattedCitation":"(Laplace-Treyture &amp; Feret, 2016)"},"properties":{"noteIndex":0},"schema":"https://github.com/citation-style-language/schema/raw/master/csl-citation.json"}</w:instrText>
      </w:r>
      <w:r w:rsidRPr="00EF74F1">
        <w:rPr>
          <w:color w:val="2F5496" w:themeColor="accent5" w:themeShade="BF"/>
          <w:lang w:val="en-GB"/>
        </w:rPr>
        <w:fldChar w:fldCharType="separate"/>
      </w:r>
      <w:r w:rsidRPr="00EF74F1">
        <w:rPr>
          <w:noProof/>
          <w:color w:val="2F5496" w:themeColor="accent5" w:themeShade="BF"/>
          <w:lang w:val="en-GB"/>
        </w:rPr>
        <w:t>Laplace-Treyture &amp; Feret (2016: 695, Appendix B)</w:t>
      </w:r>
      <w:r w:rsidRPr="00EF74F1">
        <w:rPr>
          <w:color w:val="2F5496" w:themeColor="accent5" w:themeShade="BF"/>
          <w:lang w:val="en-GB"/>
        </w:rPr>
        <w:fldChar w:fldCharType="end"/>
      </w:r>
      <w:r w:rsidRPr="00EF74F1">
        <w:rPr>
          <w:color w:val="2F5496" w:themeColor="accent5" w:themeShade="BF"/>
          <w:lang w:val="en-GB"/>
        </w:rPr>
        <w:t xml:space="preserve"> of the species for each group is shown in the colour code. Grey bars represent missing data for this coefficient. Other groups = charophytes, cyanobacteria, dinophytes, haptophytes, </w:t>
      </w:r>
      <w:r w:rsidRPr="00563C5D">
        <w:rPr>
          <w:color w:val="2F5496" w:themeColor="accent5" w:themeShade="BF"/>
          <w:lang w:val="en-GB"/>
        </w:rPr>
        <w:t>heterokontophytes (other than diatoms)</w:t>
      </w:r>
      <w:r w:rsidRPr="00EF74F1">
        <w:rPr>
          <w:color w:val="2F5496" w:themeColor="accent5" w:themeShade="BF"/>
          <w:lang w:val="en-GB"/>
        </w:rPr>
        <w:t xml:space="preserve"> and ochrophytes.</w:t>
      </w:r>
    </w:p>
    <w:p w:rsidR="00A9466F" w:rsidRDefault="00A9466F" w:rsidP="00A9466F">
      <w:pPr>
        <w:tabs>
          <w:tab w:val="left" w:pos="1763"/>
        </w:tabs>
        <w:spacing w:after="0" w:line="276" w:lineRule="auto"/>
        <w:jc w:val="both"/>
        <w:rPr>
          <w:color w:val="2F5496" w:themeColor="accent5" w:themeShade="BF"/>
          <w:lang w:val="en-GB"/>
        </w:rPr>
      </w:pPr>
    </w:p>
    <w:p w:rsidR="00A9466F" w:rsidRPr="00A84A2E" w:rsidRDefault="00A9466F" w:rsidP="00A9466F">
      <w:pPr>
        <w:tabs>
          <w:tab w:val="left" w:pos="1763"/>
        </w:tabs>
        <w:spacing w:line="276" w:lineRule="auto"/>
        <w:jc w:val="both"/>
        <w:rPr>
          <w:color w:val="2F5496" w:themeColor="accent5" w:themeShade="BF"/>
          <w:lang w:val="en-GB"/>
        </w:rPr>
      </w:pPr>
      <w:r>
        <w:rPr>
          <w:noProof/>
          <w:color w:val="2F5496" w:themeColor="accent5" w:themeShade="BF"/>
          <w:lang w:eastAsia="en-IN"/>
        </w:rPr>
        <w:lastRenderedPageBreak/>
        <w:drawing>
          <wp:inline distT="0" distB="0" distL="0" distR="0" wp14:anchorId="5F0C5E77" wp14:editId="7890F60A">
            <wp:extent cx="5760720" cy="451675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10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1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66F" w:rsidRPr="00B732D6" w:rsidRDefault="00A9466F" w:rsidP="00A9466F">
      <w:pPr>
        <w:spacing w:after="0" w:line="276" w:lineRule="auto"/>
        <w:jc w:val="both"/>
        <w:rPr>
          <w:color w:val="2F5496" w:themeColor="accent5" w:themeShade="BF"/>
          <w:lang w:val="en-GB"/>
        </w:rPr>
      </w:pPr>
      <w:r w:rsidRPr="00DD6BE8">
        <w:rPr>
          <w:b/>
          <w:color w:val="2F5496" w:themeColor="accent5" w:themeShade="BF"/>
          <w:lang w:val="en-US"/>
        </w:rPr>
        <w:t>Fig.</w:t>
      </w:r>
      <w:r>
        <w:rPr>
          <w:b/>
          <w:color w:val="2F5496" w:themeColor="accent5" w:themeShade="BF"/>
          <w:lang w:val="en-US"/>
        </w:rPr>
        <w:t>S3</w:t>
      </w:r>
      <w:r>
        <w:rPr>
          <w:color w:val="2F5496" w:themeColor="accent5" w:themeShade="BF"/>
          <w:lang w:val="en-US"/>
        </w:rPr>
        <w:t xml:space="preserve"> Chl</w:t>
      </w:r>
      <w:r w:rsidRPr="00DD6BE8">
        <w:rPr>
          <w:i/>
          <w:color w:val="2F5496" w:themeColor="accent5" w:themeShade="BF"/>
          <w:lang w:val="en-US"/>
        </w:rPr>
        <w:t>a</w:t>
      </w:r>
      <w:r>
        <w:rPr>
          <w:color w:val="2F5496" w:themeColor="accent5" w:themeShade="BF"/>
          <w:lang w:val="en-US"/>
        </w:rPr>
        <w:t xml:space="preserve"> concentration (bars, right axis) and SiO</w:t>
      </w:r>
      <w:r w:rsidRPr="009603CB">
        <w:rPr>
          <w:color w:val="2F5496" w:themeColor="accent5" w:themeShade="BF"/>
          <w:vertAlign w:val="subscript"/>
          <w:lang w:val="en-US"/>
        </w:rPr>
        <w:t>2</w:t>
      </w:r>
      <w:r>
        <w:rPr>
          <w:color w:val="2F5496" w:themeColor="accent5" w:themeShade="BF"/>
          <w:lang w:val="en-US"/>
        </w:rPr>
        <w:t xml:space="preserve"> (line, left axis) concentration for all samples. </w:t>
      </w:r>
      <w:r>
        <w:rPr>
          <w:color w:val="2F5496" w:themeColor="accent5" w:themeShade="BF"/>
          <w:lang w:val="en-GB"/>
        </w:rPr>
        <w:t xml:space="preserve">The </w:t>
      </w:r>
      <w:r w:rsidRPr="009C2C14">
        <w:rPr>
          <w:color w:val="2F5496" w:themeColor="accent5" w:themeShade="BF"/>
          <w:lang w:val="en-GB"/>
        </w:rPr>
        <w:t>bars under the stations represent WFD status</w:t>
      </w:r>
      <w:r>
        <w:rPr>
          <w:color w:val="2F5496" w:themeColor="accent5" w:themeShade="BF"/>
          <w:lang w:val="en-GB"/>
        </w:rPr>
        <w:t>.</w:t>
      </w:r>
    </w:p>
    <w:p w:rsidR="00A9466F" w:rsidRDefault="00A9466F" w:rsidP="00A9466F">
      <w:pPr>
        <w:tabs>
          <w:tab w:val="left" w:pos="1763"/>
        </w:tabs>
        <w:spacing w:line="276" w:lineRule="auto"/>
        <w:jc w:val="both"/>
        <w:rPr>
          <w:color w:val="2F5496" w:themeColor="accent5" w:themeShade="BF"/>
          <w:lang w:val="en-GB"/>
        </w:rPr>
      </w:pPr>
    </w:p>
    <w:p w:rsidR="00A9466F" w:rsidRDefault="00A9466F" w:rsidP="00A9466F">
      <w:pPr>
        <w:tabs>
          <w:tab w:val="left" w:pos="1763"/>
        </w:tabs>
        <w:jc w:val="both"/>
        <w:rPr>
          <w:color w:val="2F5496" w:themeColor="accent5" w:themeShade="BF"/>
          <w:lang w:val="en-GB"/>
        </w:rPr>
      </w:pPr>
      <w:r>
        <w:rPr>
          <w:noProof/>
          <w:color w:val="2F5496" w:themeColor="accent5" w:themeShade="BF"/>
          <w:lang w:eastAsia="en-IN"/>
        </w:rPr>
        <w:lastRenderedPageBreak/>
        <w:drawing>
          <wp:inline distT="0" distB="0" distL="0" distR="0" wp14:anchorId="6C3BC34F" wp14:editId="4BC09A45">
            <wp:extent cx="5760720" cy="5244465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.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4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66F" w:rsidRPr="001878A1" w:rsidRDefault="00A9466F" w:rsidP="00A9466F">
      <w:pPr>
        <w:spacing w:after="0" w:line="276" w:lineRule="auto"/>
        <w:jc w:val="both"/>
        <w:rPr>
          <w:color w:val="2F5496" w:themeColor="accent5" w:themeShade="BF"/>
          <w:lang w:val="en-GB"/>
        </w:rPr>
      </w:pPr>
      <w:r w:rsidRPr="00A2456A">
        <w:rPr>
          <w:b/>
          <w:color w:val="2F5496" w:themeColor="accent5" w:themeShade="BF"/>
          <w:lang w:val="en-GB"/>
        </w:rPr>
        <w:t>Fig.</w:t>
      </w:r>
      <w:r>
        <w:rPr>
          <w:b/>
          <w:color w:val="2F5496" w:themeColor="accent5" w:themeShade="BF"/>
          <w:lang w:val="en-GB"/>
        </w:rPr>
        <w:t>S4</w:t>
      </w:r>
      <w:r w:rsidRPr="00CA6546">
        <w:rPr>
          <w:color w:val="2F5496" w:themeColor="accent5" w:themeShade="BF"/>
          <w:lang w:val="en-GB"/>
        </w:rPr>
        <w:t xml:space="preserve"> </w:t>
      </w:r>
      <w:r>
        <w:rPr>
          <w:color w:val="2F5496" w:themeColor="accent5" w:themeShade="BF"/>
          <w:lang w:val="en-GB"/>
        </w:rPr>
        <w:t>A</w:t>
      </w:r>
      <w:r w:rsidRPr="00CA6546">
        <w:rPr>
          <w:color w:val="2F5496" w:themeColor="accent5" w:themeShade="BF"/>
          <w:lang w:val="en-GB"/>
        </w:rPr>
        <w:t xml:space="preserve">) </w:t>
      </w:r>
      <w:r>
        <w:rPr>
          <w:color w:val="2F5496" w:themeColor="accent5" w:themeShade="BF"/>
          <w:lang w:val="en-GB"/>
        </w:rPr>
        <w:t>Chl</w:t>
      </w:r>
      <w:r w:rsidRPr="00F55C6D">
        <w:rPr>
          <w:i/>
          <w:color w:val="2F5496" w:themeColor="accent5" w:themeShade="BF"/>
          <w:lang w:val="en-GB"/>
        </w:rPr>
        <w:t>a</w:t>
      </w:r>
      <w:r>
        <w:rPr>
          <w:color w:val="2F5496" w:themeColor="accent5" w:themeShade="BF"/>
          <w:lang w:val="en-GB"/>
        </w:rPr>
        <w:t xml:space="preserve"> concentration (bars, right axis) and </w:t>
      </w:r>
      <w:r w:rsidRPr="00CA6546">
        <w:rPr>
          <w:color w:val="2F5496" w:themeColor="accent5" w:themeShade="BF"/>
          <w:lang w:val="en-GB"/>
        </w:rPr>
        <w:t>Si</w:t>
      </w:r>
      <w:r>
        <w:rPr>
          <w:color w:val="2F5496" w:themeColor="accent5" w:themeShade="BF"/>
          <w:lang w:val="en-GB"/>
        </w:rPr>
        <w:t>O</w:t>
      </w:r>
      <w:r w:rsidRPr="005B3E42">
        <w:rPr>
          <w:color w:val="2F5496" w:themeColor="accent5" w:themeShade="BF"/>
          <w:vertAlign w:val="subscript"/>
          <w:lang w:val="en-GB"/>
        </w:rPr>
        <w:t>2</w:t>
      </w:r>
      <w:r w:rsidRPr="00CA6546">
        <w:rPr>
          <w:color w:val="2F5496" w:themeColor="accent5" w:themeShade="BF"/>
          <w:lang w:val="en-GB"/>
        </w:rPr>
        <w:t>/</w:t>
      </w:r>
      <w:r>
        <w:rPr>
          <w:color w:val="2F5496" w:themeColor="accent5" w:themeShade="BF"/>
          <w:lang w:val="en-GB"/>
        </w:rPr>
        <w:t>DIN-N</w:t>
      </w:r>
      <w:r w:rsidRPr="00CA6546">
        <w:rPr>
          <w:color w:val="2F5496" w:themeColor="accent5" w:themeShade="BF"/>
          <w:lang w:val="en-GB"/>
        </w:rPr>
        <w:t xml:space="preserve"> ratio</w:t>
      </w:r>
      <w:r>
        <w:rPr>
          <w:color w:val="2F5496" w:themeColor="accent5" w:themeShade="BF"/>
          <w:lang w:val="en-GB"/>
        </w:rPr>
        <w:t xml:space="preserve"> (black line, left axis) </w:t>
      </w:r>
      <w:r w:rsidRPr="00CA6546">
        <w:rPr>
          <w:color w:val="2F5496" w:themeColor="accent5" w:themeShade="BF"/>
          <w:lang w:val="en-GB"/>
        </w:rPr>
        <w:t xml:space="preserve">and </w:t>
      </w:r>
      <w:r>
        <w:rPr>
          <w:color w:val="2F5496" w:themeColor="accent5" w:themeShade="BF"/>
          <w:lang w:val="en-GB"/>
        </w:rPr>
        <w:t>Redfield Si/ DIN-N ratio (black dotted line); B) Chl</w:t>
      </w:r>
      <w:r w:rsidRPr="00A17A96">
        <w:rPr>
          <w:i/>
          <w:color w:val="2F5496" w:themeColor="accent5" w:themeShade="BF"/>
          <w:lang w:val="en-GB"/>
        </w:rPr>
        <w:t>a</w:t>
      </w:r>
      <w:r>
        <w:rPr>
          <w:color w:val="2F5496" w:themeColor="accent5" w:themeShade="BF"/>
          <w:lang w:val="en-GB"/>
        </w:rPr>
        <w:t xml:space="preserve"> concentration (bars, right axis) and </w:t>
      </w:r>
      <w:r w:rsidRPr="009D1DE6">
        <w:rPr>
          <w:color w:val="2F5496" w:themeColor="accent5" w:themeShade="BF"/>
          <w:lang w:val="en-GB"/>
        </w:rPr>
        <w:t>Si</w:t>
      </w:r>
      <w:r>
        <w:rPr>
          <w:color w:val="2F5496" w:themeColor="accent5" w:themeShade="BF"/>
          <w:lang w:val="en-GB"/>
        </w:rPr>
        <w:t>O</w:t>
      </w:r>
      <w:r w:rsidRPr="005B3E42">
        <w:rPr>
          <w:color w:val="2F5496" w:themeColor="accent5" w:themeShade="BF"/>
          <w:vertAlign w:val="subscript"/>
          <w:lang w:val="en-GB"/>
        </w:rPr>
        <w:t>2</w:t>
      </w:r>
      <w:r w:rsidRPr="009D1DE6">
        <w:rPr>
          <w:color w:val="2F5496" w:themeColor="accent5" w:themeShade="BF"/>
          <w:lang w:val="en-GB"/>
        </w:rPr>
        <w:t>/PO</w:t>
      </w:r>
      <w:r w:rsidRPr="00672415">
        <w:rPr>
          <w:color w:val="2F5496" w:themeColor="accent5" w:themeShade="BF"/>
          <w:vertAlign w:val="subscript"/>
          <w:lang w:val="en-GB"/>
        </w:rPr>
        <w:t>4</w:t>
      </w:r>
      <w:r w:rsidRPr="009D1DE6">
        <w:rPr>
          <w:color w:val="2F5496" w:themeColor="accent5" w:themeShade="BF"/>
          <w:lang w:val="en-GB"/>
        </w:rPr>
        <w:t>-P ratio</w:t>
      </w:r>
      <w:r>
        <w:rPr>
          <w:color w:val="2F5496" w:themeColor="accent5" w:themeShade="BF"/>
          <w:lang w:val="en-GB"/>
        </w:rPr>
        <w:t xml:space="preserve"> (black line, left axis)</w:t>
      </w:r>
      <w:r w:rsidRPr="009D1DE6">
        <w:rPr>
          <w:color w:val="2F5496" w:themeColor="accent5" w:themeShade="BF"/>
          <w:lang w:val="en-GB"/>
        </w:rPr>
        <w:t xml:space="preserve"> and </w:t>
      </w:r>
      <w:r>
        <w:rPr>
          <w:color w:val="2F5496" w:themeColor="accent5" w:themeShade="BF"/>
          <w:lang w:val="en-GB"/>
        </w:rPr>
        <w:t>Redfield Si/P ratio (black dotted line)</w:t>
      </w:r>
      <w:r>
        <w:rPr>
          <w:color w:val="2F5496" w:themeColor="accent5" w:themeShade="BF"/>
          <w:lang w:val="en-US"/>
        </w:rPr>
        <w:t>.</w:t>
      </w:r>
      <w:r w:rsidRPr="00B87E37">
        <w:rPr>
          <w:color w:val="2F5496" w:themeColor="accent5" w:themeShade="BF"/>
          <w:lang w:val="en-GB"/>
        </w:rPr>
        <w:t xml:space="preserve"> </w:t>
      </w:r>
      <w:r>
        <w:rPr>
          <w:color w:val="2F5496" w:themeColor="accent5" w:themeShade="BF"/>
          <w:lang w:val="en-GB"/>
        </w:rPr>
        <w:t xml:space="preserve">The </w:t>
      </w:r>
      <w:r w:rsidRPr="009C2C14">
        <w:rPr>
          <w:color w:val="2F5496" w:themeColor="accent5" w:themeShade="BF"/>
          <w:lang w:val="en-GB"/>
        </w:rPr>
        <w:t>bars under the stations represent WFD status</w:t>
      </w:r>
      <w:r>
        <w:rPr>
          <w:color w:val="2F5496" w:themeColor="accent5" w:themeShade="BF"/>
          <w:lang w:val="en-GB"/>
        </w:rPr>
        <w:t>.</w:t>
      </w:r>
    </w:p>
    <w:bookmarkEnd w:id="0"/>
    <w:p w:rsidR="000550B0" w:rsidRDefault="000550B0"/>
    <w:sectPr w:rsidR="000550B0" w:rsidSect="00A9466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3985629"/>
      <w:docPartObj>
        <w:docPartGallery w:val="Page Numbers (Bottom of Page)"/>
        <w:docPartUnique/>
      </w:docPartObj>
    </w:sdtPr>
    <w:sdtEndPr/>
    <w:sdtContent>
      <w:p w:rsidR="00893030" w:rsidRDefault="00A9466F">
        <w:pPr>
          <w:pStyle w:val="Footer"/>
        </w:pPr>
        <w:r>
          <w:fldChar w:fldCharType="begin"/>
        </w:r>
        <w:r>
          <w:instrText xml:space="preserve">PAGE   </w:instrText>
        </w:r>
        <w:r>
          <w:instrText>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893030" w:rsidRDefault="00A9466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66F"/>
    <w:rsid w:val="00006A5E"/>
    <w:rsid w:val="000109DA"/>
    <w:rsid w:val="00015E83"/>
    <w:rsid w:val="000300CB"/>
    <w:rsid w:val="000550B0"/>
    <w:rsid w:val="00083895"/>
    <w:rsid w:val="000C7517"/>
    <w:rsid w:val="000D3347"/>
    <w:rsid w:val="000E000F"/>
    <w:rsid w:val="000F528D"/>
    <w:rsid w:val="001107C6"/>
    <w:rsid w:val="00114CB8"/>
    <w:rsid w:val="001357C7"/>
    <w:rsid w:val="0017185C"/>
    <w:rsid w:val="00174B8D"/>
    <w:rsid w:val="001A274D"/>
    <w:rsid w:val="001C4FAB"/>
    <w:rsid w:val="001D6276"/>
    <w:rsid w:val="001E7AE4"/>
    <w:rsid w:val="001F0A0A"/>
    <w:rsid w:val="001F3981"/>
    <w:rsid w:val="0022163C"/>
    <w:rsid w:val="00287522"/>
    <w:rsid w:val="002A7920"/>
    <w:rsid w:val="002B771C"/>
    <w:rsid w:val="002C6198"/>
    <w:rsid w:val="002E55C7"/>
    <w:rsid w:val="00316132"/>
    <w:rsid w:val="00316BD1"/>
    <w:rsid w:val="00325117"/>
    <w:rsid w:val="003435F4"/>
    <w:rsid w:val="00371A5F"/>
    <w:rsid w:val="00376A47"/>
    <w:rsid w:val="00387020"/>
    <w:rsid w:val="00392996"/>
    <w:rsid w:val="003C4D1E"/>
    <w:rsid w:val="003C6599"/>
    <w:rsid w:val="004428B5"/>
    <w:rsid w:val="00450F68"/>
    <w:rsid w:val="00475848"/>
    <w:rsid w:val="004D6988"/>
    <w:rsid w:val="004F23D9"/>
    <w:rsid w:val="005004E9"/>
    <w:rsid w:val="00521B54"/>
    <w:rsid w:val="005412C3"/>
    <w:rsid w:val="00574697"/>
    <w:rsid w:val="0058223B"/>
    <w:rsid w:val="00592BE3"/>
    <w:rsid w:val="005972BA"/>
    <w:rsid w:val="005B08E7"/>
    <w:rsid w:val="005F0CA3"/>
    <w:rsid w:val="006A4543"/>
    <w:rsid w:val="006E1E80"/>
    <w:rsid w:val="0072424B"/>
    <w:rsid w:val="00731CE6"/>
    <w:rsid w:val="00782E54"/>
    <w:rsid w:val="00791601"/>
    <w:rsid w:val="007C796B"/>
    <w:rsid w:val="007D597A"/>
    <w:rsid w:val="007D6272"/>
    <w:rsid w:val="007D770A"/>
    <w:rsid w:val="007E2037"/>
    <w:rsid w:val="007E2241"/>
    <w:rsid w:val="007F16BE"/>
    <w:rsid w:val="00831B52"/>
    <w:rsid w:val="008739EB"/>
    <w:rsid w:val="00887BC4"/>
    <w:rsid w:val="008C47B9"/>
    <w:rsid w:val="008D05E4"/>
    <w:rsid w:val="00943E33"/>
    <w:rsid w:val="00951E1B"/>
    <w:rsid w:val="00965E9B"/>
    <w:rsid w:val="00994611"/>
    <w:rsid w:val="00A30C07"/>
    <w:rsid w:val="00A61742"/>
    <w:rsid w:val="00A9466F"/>
    <w:rsid w:val="00A962B3"/>
    <w:rsid w:val="00AC0E51"/>
    <w:rsid w:val="00AD5745"/>
    <w:rsid w:val="00AE1B72"/>
    <w:rsid w:val="00B4302B"/>
    <w:rsid w:val="00B87CAD"/>
    <w:rsid w:val="00BC35B7"/>
    <w:rsid w:val="00BE2A13"/>
    <w:rsid w:val="00C322CD"/>
    <w:rsid w:val="00C332A3"/>
    <w:rsid w:val="00C941CD"/>
    <w:rsid w:val="00CC05A5"/>
    <w:rsid w:val="00CF62AC"/>
    <w:rsid w:val="00D10E42"/>
    <w:rsid w:val="00D46C9F"/>
    <w:rsid w:val="00D878BB"/>
    <w:rsid w:val="00E2166F"/>
    <w:rsid w:val="00E27766"/>
    <w:rsid w:val="00E36EF8"/>
    <w:rsid w:val="00E42A27"/>
    <w:rsid w:val="00E44C99"/>
    <w:rsid w:val="00E818B3"/>
    <w:rsid w:val="00E86AAB"/>
    <w:rsid w:val="00E921CA"/>
    <w:rsid w:val="00F136E8"/>
    <w:rsid w:val="00F13734"/>
    <w:rsid w:val="00F24991"/>
    <w:rsid w:val="00F4023C"/>
    <w:rsid w:val="00F60767"/>
    <w:rsid w:val="00F924F5"/>
    <w:rsid w:val="00FA2D0A"/>
    <w:rsid w:val="00FC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BD2D42-1982-4EDD-84B6-1D3AB6B6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9466F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A9466F"/>
    <w:rPr>
      <w:rFonts w:ascii="Times New Roman" w:hAnsi="Times New Roman" w:cs="Times New Roman"/>
      <w:sz w:val="24"/>
      <w:lang w:val="fr-FR"/>
    </w:rPr>
  </w:style>
  <w:style w:type="character" w:styleId="LineNumber">
    <w:name w:val="line number"/>
    <w:basedOn w:val="DefaultParagraphFont"/>
    <w:uiPriority w:val="99"/>
    <w:semiHidden/>
    <w:unhideWhenUsed/>
    <w:rsid w:val="00A94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Sneka  Ravichandran</dc:creator>
  <cp:keywords/>
  <dc:description/>
  <cp:lastModifiedBy>Sneka  Ravichandran</cp:lastModifiedBy>
  <cp:revision>1</cp:revision>
  <dcterms:created xsi:type="dcterms:W3CDTF">2025-02-24T08:16:00Z</dcterms:created>
  <dcterms:modified xsi:type="dcterms:W3CDTF">2025-02-24T08:16:00Z</dcterms:modified>
</cp:coreProperties>
</file>