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2C2" w:rsidRPr="00851855" w:rsidRDefault="003F02C2" w:rsidP="003F02C2">
      <w:pPr>
        <w:spacing w:line="240" w:lineRule="auto"/>
        <w:jc w:val="both"/>
        <w:rPr>
          <w:rFonts w:ascii="Times New Roman" w:hAnsi="Times New Roman" w:cs="Times New Roman"/>
          <w:color w:val="000000" w:themeColor="text1"/>
          <w:sz w:val="20"/>
          <w:szCs w:val="20"/>
        </w:rPr>
      </w:pPr>
      <w:r w:rsidRPr="00851855">
        <w:rPr>
          <w:rFonts w:ascii="Times New Roman" w:hAnsi="Times New Roman" w:cs="Times New Roman"/>
          <w:b/>
          <w:color w:val="000000" w:themeColor="text1"/>
        </w:rPr>
        <w:t>Table IS1.</w:t>
      </w:r>
      <w:r w:rsidRPr="00851855">
        <w:rPr>
          <w:rFonts w:ascii="Times New Roman" w:hAnsi="Times New Roman" w:cs="Times New Roman"/>
          <w:color w:val="000000" w:themeColor="text1"/>
        </w:rPr>
        <w:t xml:space="preserve"> Abund</w:t>
      </w:r>
      <w:bookmarkStart w:id="0" w:name="_GoBack"/>
      <w:bookmarkEnd w:id="0"/>
      <w:r w:rsidRPr="00851855">
        <w:rPr>
          <w:rFonts w:ascii="Times New Roman" w:hAnsi="Times New Roman" w:cs="Times New Roman"/>
          <w:color w:val="000000" w:themeColor="text1"/>
        </w:rPr>
        <w:t>ance by species and digestive tracts extracted (TD) and analyzed by station and sampling (M1, M2) in the Combeima River sub-basin, Tolima, Colombia.</w:t>
      </w:r>
    </w:p>
    <w:tbl>
      <w:tblPr>
        <w:tblW w:w="13949" w:type="dxa"/>
        <w:tblLayout w:type="fixed"/>
        <w:tblLook w:val="0400" w:firstRow="0" w:lastRow="0" w:firstColumn="0" w:lastColumn="0" w:noHBand="0" w:noVBand="1"/>
      </w:tblPr>
      <w:tblGrid>
        <w:gridCol w:w="2831"/>
        <w:gridCol w:w="2194"/>
        <w:gridCol w:w="252"/>
        <w:gridCol w:w="407"/>
        <w:gridCol w:w="363"/>
        <w:gridCol w:w="407"/>
        <w:gridCol w:w="363"/>
        <w:gridCol w:w="407"/>
        <w:gridCol w:w="474"/>
        <w:gridCol w:w="407"/>
        <w:gridCol w:w="506"/>
        <w:gridCol w:w="434"/>
        <w:gridCol w:w="252"/>
        <w:gridCol w:w="407"/>
        <w:gridCol w:w="285"/>
        <w:gridCol w:w="480"/>
        <w:gridCol w:w="363"/>
        <w:gridCol w:w="407"/>
        <w:gridCol w:w="474"/>
        <w:gridCol w:w="407"/>
        <w:gridCol w:w="474"/>
        <w:gridCol w:w="407"/>
        <w:gridCol w:w="474"/>
        <w:gridCol w:w="474"/>
      </w:tblGrid>
      <w:tr w:rsidR="003F02C2" w:rsidRPr="00851855" w:rsidTr="00B02517">
        <w:trPr>
          <w:trHeight w:val="300"/>
          <w:tblHeader/>
        </w:trPr>
        <w:tc>
          <w:tcPr>
            <w:tcW w:w="2831" w:type="dxa"/>
            <w:vMerge w:val="restart"/>
            <w:tcBorders>
              <w:top w:val="single" w:sz="4" w:space="0" w:color="000000"/>
              <w:left w:val="nil"/>
              <w:bottom w:val="single" w:sz="4" w:space="0" w:color="000000"/>
              <w:right w:val="nil"/>
            </w:tcBorders>
            <w:vAlign w:val="center"/>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Scientific Name</w:t>
            </w:r>
          </w:p>
        </w:tc>
        <w:tc>
          <w:tcPr>
            <w:tcW w:w="2194" w:type="dxa"/>
            <w:vMerge w:val="restart"/>
            <w:tcBorders>
              <w:top w:val="single" w:sz="4" w:space="0" w:color="000000"/>
              <w:left w:val="nil"/>
              <w:bottom w:val="single" w:sz="4" w:space="0" w:color="000000"/>
              <w:right w:val="nil"/>
            </w:tcBorders>
            <w:vAlign w:val="center"/>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Author</w:t>
            </w:r>
          </w:p>
        </w:tc>
        <w:tc>
          <w:tcPr>
            <w:tcW w:w="4020" w:type="dxa"/>
            <w:gridSpan w:val="10"/>
            <w:tcBorders>
              <w:top w:val="single" w:sz="4" w:space="0" w:color="000000"/>
              <w:left w:val="nil"/>
              <w:bottom w:val="nil"/>
              <w:right w:val="nil"/>
            </w:tcBorders>
            <w:shd w:val="clear" w:color="auto" w:fill="D0CECE"/>
            <w:vAlign w:val="bottom"/>
          </w:tcPr>
          <w:p w:rsidR="003F02C2" w:rsidRPr="00851855" w:rsidRDefault="003F02C2" w:rsidP="00B02517">
            <w:pPr>
              <w:spacing w:line="240" w:lineRule="auto"/>
              <w:jc w:val="center"/>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Sampling 1</w:t>
            </w:r>
          </w:p>
        </w:tc>
        <w:tc>
          <w:tcPr>
            <w:tcW w:w="3956" w:type="dxa"/>
            <w:gridSpan w:val="10"/>
            <w:tcBorders>
              <w:top w:val="single" w:sz="4" w:space="0" w:color="000000"/>
              <w:left w:val="nil"/>
              <w:bottom w:val="nil"/>
              <w:right w:val="nil"/>
            </w:tcBorders>
            <w:vAlign w:val="bottom"/>
          </w:tcPr>
          <w:p w:rsidR="003F02C2" w:rsidRPr="00851855" w:rsidRDefault="003F02C2" w:rsidP="00B02517">
            <w:pPr>
              <w:spacing w:line="240" w:lineRule="auto"/>
              <w:jc w:val="center"/>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Sampling 2</w:t>
            </w:r>
          </w:p>
        </w:tc>
        <w:tc>
          <w:tcPr>
            <w:tcW w:w="948" w:type="dxa"/>
            <w:gridSpan w:val="2"/>
            <w:vMerge w:val="restart"/>
            <w:tcBorders>
              <w:top w:val="single" w:sz="4" w:space="0" w:color="000000"/>
              <w:left w:val="nil"/>
              <w:bottom w:val="nil"/>
              <w:right w:val="nil"/>
            </w:tcBorders>
            <w:vAlign w:val="center"/>
          </w:tcPr>
          <w:p w:rsidR="003F02C2" w:rsidRPr="00851855" w:rsidRDefault="003F02C2" w:rsidP="00B02517">
            <w:pPr>
              <w:spacing w:line="240" w:lineRule="auto"/>
              <w:jc w:val="center"/>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Total</w:t>
            </w:r>
          </w:p>
        </w:tc>
      </w:tr>
      <w:tr w:rsidR="003F02C2" w:rsidRPr="00851855" w:rsidTr="00B02517">
        <w:trPr>
          <w:trHeight w:val="300"/>
          <w:tblHeader/>
        </w:trPr>
        <w:tc>
          <w:tcPr>
            <w:tcW w:w="2831" w:type="dxa"/>
            <w:vMerge/>
            <w:tcBorders>
              <w:top w:val="single" w:sz="4" w:space="0" w:color="000000"/>
              <w:left w:val="nil"/>
              <w:bottom w:val="single" w:sz="4" w:space="0" w:color="000000"/>
              <w:right w:val="nil"/>
            </w:tcBorders>
            <w:vAlign w:val="center"/>
          </w:tcPr>
          <w:p w:rsidR="003F02C2" w:rsidRPr="00851855" w:rsidRDefault="003F02C2" w:rsidP="00B02517">
            <w:pPr>
              <w:widowControl w:val="0"/>
              <w:pBdr>
                <w:top w:val="nil"/>
                <w:left w:val="nil"/>
                <w:bottom w:val="nil"/>
                <w:right w:val="nil"/>
                <w:between w:val="nil"/>
              </w:pBdr>
              <w:rPr>
                <w:rFonts w:ascii="Times New Roman" w:hAnsi="Times New Roman" w:cs="Times New Roman"/>
                <w:b/>
                <w:color w:val="000000" w:themeColor="text1"/>
                <w:sz w:val="20"/>
                <w:szCs w:val="20"/>
              </w:rPr>
            </w:pPr>
          </w:p>
        </w:tc>
        <w:tc>
          <w:tcPr>
            <w:tcW w:w="2194" w:type="dxa"/>
            <w:vMerge/>
            <w:tcBorders>
              <w:top w:val="single" w:sz="4" w:space="0" w:color="000000"/>
              <w:left w:val="nil"/>
              <w:bottom w:val="single" w:sz="4" w:space="0" w:color="000000"/>
              <w:right w:val="nil"/>
            </w:tcBorders>
            <w:vAlign w:val="center"/>
          </w:tcPr>
          <w:p w:rsidR="003F02C2" w:rsidRPr="00851855" w:rsidRDefault="003F02C2" w:rsidP="00B02517">
            <w:pPr>
              <w:widowControl w:val="0"/>
              <w:pBdr>
                <w:top w:val="nil"/>
                <w:left w:val="nil"/>
                <w:bottom w:val="nil"/>
                <w:right w:val="nil"/>
                <w:between w:val="nil"/>
              </w:pBdr>
              <w:rPr>
                <w:rFonts w:ascii="Times New Roman" w:hAnsi="Times New Roman" w:cs="Times New Roman"/>
                <w:b/>
                <w:color w:val="000000" w:themeColor="text1"/>
                <w:sz w:val="20"/>
                <w:szCs w:val="20"/>
              </w:rPr>
            </w:pPr>
          </w:p>
        </w:tc>
        <w:tc>
          <w:tcPr>
            <w:tcW w:w="659" w:type="dxa"/>
            <w:gridSpan w:val="2"/>
            <w:tcBorders>
              <w:top w:val="nil"/>
              <w:left w:val="nil"/>
              <w:bottom w:val="nil"/>
              <w:right w:val="nil"/>
            </w:tcBorders>
            <w:shd w:val="clear" w:color="auto" w:fill="D0CECE"/>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770" w:type="dxa"/>
            <w:gridSpan w:val="2"/>
            <w:tcBorders>
              <w:top w:val="nil"/>
              <w:left w:val="nil"/>
              <w:bottom w:val="nil"/>
              <w:right w:val="nil"/>
            </w:tcBorders>
            <w:shd w:val="clear" w:color="auto" w:fill="D0CECE"/>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770" w:type="dxa"/>
            <w:gridSpan w:val="2"/>
            <w:tcBorders>
              <w:top w:val="nil"/>
              <w:left w:val="nil"/>
              <w:bottom w:val="nil"/>
              <w:right w:val="nil"/>
            </w:tcBorders>
            <w:shd w:val="clear" w:color="auto" w:fill="D0CECE"/>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940" w:type="dxa"/>
            <w:gridSpan w:val="2"/>
            <w:tcBorders>
              <w:top w:val="nil"/>
              <w:left w:val="nil"/>
              <w:bottom w:val="nil"/>
              <w:right w:val="nil"/>
            </w:tcBorders>
            <w:shd w:val="clear" w:color="auto" w:fill="D0CECE"/>
            <w:vAlign w:val="bottom"/>
          </w:tcPr>
          <w:p w:rsidR="003F02C2" w:rsidRPr="00851855" w:rsidRDefault="003F02C2" w:rsidP="00B02517">
            <w:pPr>
              <w:spacing w:line="240" w:lineRule="auto"/>
              <w:jc w:val="center"/>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Subtotal</w:t>
            </w:r>
          </w:p>
        </w:tc>
        <w:tc>
          <w:tcPr>
            <w:tcW w:w="659" w:type="dxa"/>
            <w:gridSpan w:val="2"/>
            <w:tcBorders>
              <w:top w:val="nil"/>
              <w:left w:val="nil"/>
              <w:bottom w:val="nil"/>
              <w:right w:val="nil"/>
            </w:tcBorders>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765" w:type="dxa"/>
            <w:gridSpan w:val="2"/>
            <w:tcBorders>
              <w:top w:val="nil"/>
              <w:left w:val="nil"/>
              <w:bottom w:val="nil"/>
              <w:right w:val="nil"/>
            </w:tcBorders>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770" w:type="dxa"/>
            <w:gridSpan w:val="2"/>
            <w:tcBorders>
              <w:top w:val="nil"/>
              <w:left w:val="nil"/>
              <w:bottom w:val="nil"/>
              <w:right w:val="nil"/>
            </w:tcBorders>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881" w:type="dxa"/>
            <w:gridSpan w:val="2"/>
            <w:tcBorders>
              <w:top w:val="nil"/>
              <w:left w:val="nil"/>
              <w:bottom w:val="nil"/>
              <w:right w:val="nil"/>
            </w:tcBorders>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881" w:type="dxa"/>
            <w:gridSpan w:val="2"/>
            <w:tcBorders>
              <w:top w:val="nil"/>
              <w:left w:val="nil"/>
              <w:bottom w:val="nil"/>
              <w:right w:val="nil"/>
            </w:tcBorders>
            <w:vAlign w:val="bottom"/>
          </w:tcPr>
          <w:p w:rsidR="003F02C2" w:rsidRPr="00851855" w:rsidRDefault="003F02C2" w:rsidP="00B02517">
            <w:pPr>
              <w:spacing w:line="240" w:lineRule="auto"/>
              <w:jc w:val="center"/>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Subtotal</w:t>
            </w:r>
          </w:p>
        </w:tc>
        <w:tc>
          <w:tcPr>
            <w:tcW w:w="948" w:type="dxa"/>
            <w:gridSpan w:val="2"/>
            <w:vMerge/>
            <w:tcBorders>
              <w:top w:val="single" w:sz="4" w:space="0" w:color="000000"/>
              <w:left w:val="nil"/>
              <w:bottom w:val="nil"/>
              <w:right w:val="nil"/>
            </w:tcBorders>
            <w:vAlign w:val="center"/>
          </w:tcPr>
          <w:p w:rsidR="003F02C2" w:rsidRPr="00851855" w:rsidRDefault="003F02C2" w:rsidP="00B02517">
            <w:pPr>
              <w:widowControl w:val="0"/>
              <w:pBdr>
                <w:top w:val="nil"/>
                <w:left w:val="nil"/>
                <w:bottom w:val="nil"/>
                <w:right w:val="nil"/>
                <w:between w:val="nil"/>
              </w:pBdr>
              <w:rPr>
                <w:rFonts w:ascii="Times New Roman" w:hAnsi="Times New Roman" w:cs="Times New Roman"/>
                <w:color w:val="000000" w:themeColor="text1"/>
                <w:sz w:val="20"/>
                <w:szCs w:val="20"/>
              </w:rPr>
            </w:pPr>
          </w:p>
        </w:tc>
      </w:tr>
      <w:tr w:rsidR="003F02C2" w:rsidRPr="00851855" w:rsidTr="00B02517">
        <w:trPr>
          <w:trHeight w:val="300"/>
          <w:tblHeader/>
        </w:trPr>
        <w:tc>
          <w:tcPr>
            <w:tcW w:w="2831" w:type="dxa"/>
            <w:vMerge/>
            <w:tcBorders>
              <w:top w:val="single" w:sz="4" w:space="0" w:color="000000"/>
              <w:left w:val="nil"/>
              <w:bottom w:val="single" w:sz="4" w:space="0" w:color="000000"/>
              <w:right w:val="nil"/>
            </w:tcBorders>
            <w:vAlign w:val="center"/>
          </w:tcPr>
          <w:p w:rsidR="003F02C2" w:rsidRPr="00851855" w:rsidRDefault="003F02C2" w:rsidP="00B02517">
            <w:pPr>
              <w:widowControl w:val="0"/>
              <w:pBdr>
                <w:top w:val="nil"/>
                <w:left w:val="nil"/>
                <w:bottom w:val="nil"/>
                <w:right w:val="nil"/>
                <w:between w:val="nil"/>
              </w:pBdr>
              <w:rPr>
                <w:rFonts w:ascii="Times New Roman" w:hAnsi="Times New Roman" w:cs="Times New Roman"/>
                <w:color w:val="000000" w:themeColor="text1"/>
                <w:sz w:val="20"/>
                <w:szCs w:val="20"/>
              </w:rPr>
            </w:pPr>
          </w:p>
        </w:tc>
        <w:tc>
          <w:tcPr>
            <w:tcW w:w="2194" w:type="dxa"/>
            <w:vMerge/>
            <w:tcBorders>
              <w:top w:val="single" w:sz="4" w:space="0" w:color="000000"/>
              <w:left w:val="nil"/>
              <w:bottom w:val="single" w:sz="4" w:space="0" w:color="000000"/>
              <w:right w:val="nil"/>
            </w:tcBorders>
            <w:vAlign w:val="center"/>
          </w:tcPr>
          <w:p w:rsidR="003F02C2" w:rsidRPr="00851855" w:rsidRDefault="003F02C2" w:rsidP="00B02517">
            <w:pPr>
              <w:widowControl w:val="0"/>
              <w:pBdr>
                <w:top w:val="nil"/>
                <w:left w:val="nil"/>
                <w:bottom w:val="nil"/>
                <w:right w:val="nil"/>
                <w:between w:val="nil"/>
              </w:pBdr>
              <w:rPr>
                <w:rFonts w:ascii="Times New Roman" w:hAnsi="Times New Roman" w:cs="Times New Roman"/>
                <w:color w:val="000000" w:themeColor="text1"/>
                <w:sz w:val="20"/>
                <w:szCs w:val="20"/>
              </w:rPr>
            </w:pPr>
          </w:p>
        </w:tc>
        <w:tc>
          <w:tcPr>
            <w:tcW w:w="252"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363"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363"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474"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506"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w:t>
            </w:r>
          </w:p>
        </w:tc>
        <w:tc>
          <w:tcPr>
            <w:tcW w:w="434" w:type="dxa"/>
            <w:tcBorders>
              <w:top w:val="nil"/>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TD</w:t>
            </w:r>
          </w:p>
        </w:tc>
        <w:tc>
          <w:tcPr>
            <w:tcW w:w="252"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285"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80"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363"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474"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474"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07"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c>
          <w:tcPr>
            <w:tcW w:w="474"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w:t>
            </w:r>
          </w:p>
        </w:tc>
        <w:tc>
          <w:tcPr>
            <w:tcW w:w="474" w:type="dxa"/>
            <w:tcBorders>
              <w:top w:val="nil"/>
              <w:left w:val="nil"/>
              <w:bottom w:val="single" w:sz="4" w:space="0" w:color="000000"/>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TD</w:t>
            </w:r>
          </w:p>
        </w:tc>
      </w:tr>
      <w:tr w:rsidR="003F02C2" w:rsidRPr="00851855" w:rsidTr="00B02517">
        <w:trPr>
          <w:trHeight w:val="78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Creagrutus cf. dulima</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Albornoz-Garzón, Conde-Saldaña, García-Melo, Taphorn &amp; Villa-Navarro 2018</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19</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128</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147</w:t>
            </w:r>
          </w:p>
        </w:tc>
        <w:tc>
          <w:tcPr>
            <w:tcW w:w="434" w:type="dxa"/>
            <w:tcBorders>
              <w:top w:val="nil"/>
              <w:left w:val="nil"/>
              <w:bottom w:val="nil"/>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15</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32</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44</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76</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17</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223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32</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Creagrutus cf. magdalenae</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Eigenmann 1913</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3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252"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r>
      <w:tr w:rsidR="003F02C2" w:rsidRPr="00851855" w:rsidTr="00B02517">
        <w:trPr>
          <w:trHeight w:val="1035"/>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Hemibrycon iqueima</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García-Melo, Albornoz</w:t>
            </w:r>
            <w:r w:rsidRPr="00851855">
              <w:rPr>
                <w:rFonts w:ascii="Times New Roman" w:eastAsia="Cambria Math" w:hAnsi="Times New Roman" w:cs="Times New Roman"/>
                <w:color w:val="000000" w:themeColor="text1"/>
                <w:sz w:val="18"/>
                <w:szCs w:val="18"/>
                <w:lang w:val="es-CO"/>
              </w:rPr>
              <w:t>‐</w:t>
            </w:r>
            <w:r w:rsidRPr="00851855">
              <w:rPr>
                <w:rFonts w:ascii="Times New Roman" w:hAnsi="Times New Roman" w:cs="Times New Roman"/>
                <w:color w:val="000000" w:themeColor="text1"/>
                <w:sz w:val="18"/>
                <w:szCs w:val="18"/>
                <w:lang w:val="es-CO"/>
              </w:rPr>
              <w:t>Garzón, García</w:t>
            </w:r>
            <w:r w:rsidRPr="00851855">
              <w:rPr>
                <w:rFonts w:ascii="Times New Roman" w:eastAsia="Cambria Math" w:hAnsi="Times New Roman" w:cs="Times New Roman"/>
                <w:color w:val="000000" w:themeColor="text1"/>
                <w:sz w:val="18"/>
                <w:szCs w:val="18"/>
                <w:lang w:val="es-CO"/>
              </w:rPr>
              <w:t>‐</w:t>
            </w:r>
            <w:r w:rsidRPr="00851855">
              <w:rPr>
                <w:rFonts w:ascii="Times New Roman" w:hAnsi="Times New Roman" w:cs="Times New Roman"/>
                <w:color w:val="000000" w:themeColor="text1"/>
                <w:sz w:val="18"/>
                <w:szCs w:val="18"/>
                <w:lang w:val="es-CO"/>
              </w:rPr>
              <w:t>Melo, Villa</w:t>
            </w:r>
            <w:r w:rsidRPr="00851855">
              <w:rPr>
                <w:rFonts w:ascii="Times New Roman" w:eastAsia="Cambria Math" w:hAnsi="Times New Roman" w:cs="Times New Roman"/>
                <w:color w:val="000000" w:themeColor="text1"/>
                <w:sz w:val="18"/>
                <w:szCs w:val="18"/>
                <w:lang w:val="es-CO"/>
              </w:rPr>
              <w:t>‐</w:t>
            </w:r>
            <w:r w:rsidRPr="00851855">
              <w:rPr>
                <w:rFonts w:ascii="Times New Roman" w:hAnsi="Times New Roman" w:cs="Times New Roman"/>
                <w:color w:val="000000" w:themeColor="text1"/>
                <w:sz w:val="18"/>
                <w:szCs w:val="18"/>
                <w:lang w:val="es-CO"/>
              </w:rPr>
              <w:t>Navarro &amp; Maldonado-Ocampo 2018</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lang w:val="es-CO"/>
              </w:rPr>
            </w:pPr>
            <w:r w:rsidRPr="00851855">
              <w:rPr>
                <w:rFonts w:ascii="Times New Roman" w:hAnsi="Times New Roman" w:cs="Times New Roman"/>
                <w:color w:val="000000" w:themeColor="text1"/>
                <w:sz w:val="18"/>
                <w:szCs w:val="18"/>
                <w:lang w:val="es-CO"/>
              </w:rPr>
              <w:t> </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27</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27</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39</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68</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20</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Hemibrycon tolimae</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Eigenmann 1913</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 xml:space="preserve">Microgenys minuta </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Eigenmann 1913</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 xml:space="preserve">Astroblepus cf. chotae </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Regan 1904</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480"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w:t>
            </w:r>
          </w:p>
        </w:tc>
        <w:tc>
          <w:tcPr>
            <w:tcW w:w="363"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Astroblepus grixalvii</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Humboldt 1805</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80"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363"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Astroblepus homodon</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Regan 1904</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11</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80"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363"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11</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Astroblepus micrescens</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Eigenmann 1918</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3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252"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285"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Astroblepus sp</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Humboldt 1805 </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11</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11</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Astroblepus sp "unifasciatus"</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Humboldt 1805 </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25</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25</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21</w:t>
            </w:r>
          </w:p>
        </w:tc>
        <w:tc>
          <w:tcPr>
            <w:tcW w:w="480"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363"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46</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Pimelodella floridablancaensis</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Ardila Rodríguez 2017</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10</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 xml:space="preserve">Rhamdia guatemalensis </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Günther 1864</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3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252"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Chaetostoma milesi</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Fowler 1941</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lastRenderedPageBreak/>
              <w:t>Chaetostoma thomsoni</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Regan 1904</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18</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19</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26</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Trichomycterus mogotensis</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Ardila Rodríguez, 2017</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12</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50</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62</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15</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16</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78</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24</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Trichomycterus banneaui</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Eigenmann 1912</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103</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103</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29</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9</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37</w:t>
            </w:r>
          </w:p>
        </w:tc>
        <w:tc>
          <w:tcPr>
            <w:tcW w:w="407"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13</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140</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22</w:t>
            </w:r>
          </w:p>
        </w:tc>
      </w:tr>
      <w:tr w:rsidR="003F02C2" w:rsidRPr="00851855" w:rsidTr="00B02517">
        <w:trPr>
          <w:trHeight w:val="300"/>
        </w:trPr>
        <w:tc>
          <w:tcPr>
            <w:tcW w:w="2831"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i/>
                <w:color w:val="000000" w:themeColor="text1"/>
                <w:sz w:val="18"/>
                <w:szCs w:val="18"/>
              </w:rPr>
            </w:pPr>
            <w:r w:rsidRPr="00851855">
              <w:rPr>
                <w:rFonts w:ascii="Times New Roman" w:hAnsi="Times New Roman" w:cs="Times New Roman"/>
                <w:i/>
                <w:color w:val="000000" w:themeColor="text1"/>
                <w:sz w:val="18"/>
                <w:szCs w:val="18"/>
              </w:rPr>
              <w:t>Trichomycterus transandianus</w:t>
            </w:r>
          </w:p>
        </w:tc>
        <w:tc>
          <w:tcPr>
            <w:tcW w:w="2194" w:type="dxa"/>
            <w:tcBorders>
              <w:top w:val="nil"/>
              <w:left w:val="nil"/>
              <w:bottom w:val="nil"/>
              <w:right w:val="nil"/>
            </w:tcBorders>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Steindachner 1915</w:t>
            </w:r>
          </w:p>
        </w:tc>
        <w:tc>
          <w:tcPr>
            <w:tcW w:w="252"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363"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74"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nil"/>
              <w:left w:val="nil"/>
              <w:bottom w:val="nil"/>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506"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34" w:type="dxa"/>
            <w:tcBorders>
              <w:top w:val="nil"/>
              <w:left w:val="nil"/>
              <w:bottom w:val="nil"/>
              <w:right w:val="nil"/>
            </w:tcBorders>
            <w:shd w:val="clear" w:color="auto" w:fill="D0CECE"/>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252" w:type="dxa"/>
            <w:tcBorders>
              <w:top w:val="nil"/>
              <w:left w:val="nil"/>
              <w:bottom w:val="nil"/>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285"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80"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363"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07" w:type="dxa"/>
            <w:tcBorders>
              <w:top w:val="nil"/>
              <w:left w:val="nil"/>
              <w:bottom w:val="nil"/>
              <w:right w:val="nil"/>
            </w:tcBorders>
            <w:vAlign w:val="bottom"/>
          </w:tcPr>
          <w:p w:rsidR="003F02C2" w:rsidRPr="00851855" w:rsidRDefault="003F02C2" w:rsidP="00B02517">
            <w:pPr>
              <w:spacing w:line="240" w:lineRule="auto"/>
              <w:rPr>
                <w:rFonts w:ascii="Times New Roman" w:eastAsia="Times New Roman" w:hAnsi="Times New Roman" w:cs="Times New Roman"/>
                <w:color w:val="000000" w:themeColor="text1"/>
                <w:sz w:val="18"/>
                <w:szCs w:val="18"/>
              </w:rPr>
            </w:pP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74" w:type="dxa"/>
            <w:tcBorders>
              <w:top w:val="nil"/>
              <w:left w:val="nil"/>
              <w:bottom w:val="nil"/>
              <w:right w:val="nil"/>
            </w:tcBorders>
            <w:vAlign w:val="center"/>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r>
      <w:tr w:rsidR="003F02C2" w:rsidRPr="00851855" w:rsidTr="00B02517">
        <w:trPr>
          <w:trHeight w:val="300"/>
        </w:trPr>
        <w:tc>
          <w:tcPr>
            <w:tcW w:w="5025" w:type="dxa"/>
            <w:gridSpan w:val="2"/>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center"/>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Total</w:t>
            </w:r>
          </w:p>
        </w:tc>
        <w:tc>
          <w:tcPr>
            <w:tcW w:w="252"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407"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 </w:t>
            </w:r>
          </w:p>
        </w:tc>
        <w:tc>
          <w:tcPr>
            <w:tcW w:w="363"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55</w:t>
            </w:r>
          </w:p>
        </w:tc>
        <w:tc>
          <w:tcPr>
            <w:tcW w:w="407"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20</w:t>
            </w:r>
          </w:p>
        </w:tc>
        <w:tc>
          <w:tcPr>
            <w:tcW w:w="363"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34</w:t>
            </w:r>
          </w:p>
        </w:tc>
        <w:tc>
          <w:tcPr>
            <w:tcW w:w="407"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15</w:t>
            </w:r>
          </w:p>
        </w:tc>
        <w:tc>
          <w:tcPr>
            <w:tcW w:w="474"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340</w:t>
            </w:r>
          </w:p>
        </w:tc>
        <w:tc>
          <w:tcPr>
            <w:tcW w:w="407"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54</w:t>
            </w:r>
          </w:p>
        </w:tc>
        <w:tc>
          <w:tcPr>
            <w:tcW w:w="506"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429</w:t>
            </w:r>
          </w:p>
        </w:tc>
        <w:tc>
          <w:tcPr>
            <w:tcW w:w="434" w:type="dxa"/>
            <w:tcBorders>
              <w:top w:val="single" w:sz="4" w:space="0" w:color="000000"/>
              <w:left w:val="nil"/>
              <w:bottom w:val="single" w:sz="4" w:space="0" w:color="000000"/>
              <w:right w:val="nil"/>
            </w:tcBorders>
            <w:shd w:val="clear" w:color="auto" w:fill="D0CECE"/>
            <w:vAlign w:val="bottom"/>
          </w:tcPr>
          <w:p w:rsidR="003F02C2" w:rsidRPr="00851855" w:rsidRDefault="003F02C2" w:rsidP="00B02517">
            <w:pPr>
              <w:spacing w:line="240" w:lineRule="auto"/>
              <w:jc w:val="right"/>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89</w:t>
            </w:r>
          </w:p>
        </w:tc>
        <w:tc>
          <w:tcPr>
            <w:tcW w:w="252"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407"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w:t>
            </w:r>
          </w:p>
        </w:tc>
        <w:tc>
          <w:tcPr>
            <w:tcW w:w="285"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31</w:t>
            </w:r>
          </w:p>
        </w:tc>
        <w:tc>
          <w:tcPr>
            <w:tcW w:w="480"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17</w:t>
            </w:r>
          </w:p>
        </w:tc>
        <w:tc>
          <w:tcPr>
            <w:tcW w:w="363"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47</w:t>
            </w:r>
          </w:p>
        </w:tc>
        <w:tc>
          <w:tcPr>
            <w:tcW w:w="407"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19</w:t>
            </w:r>
          </w:p>
        </w:tc>
        <w:tc>
          <w:tcPr>
            <w:tcW w:w="474"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138</w:t>
            </w:r>
          </w:p>
        </w:tc>
        <w:tc>
          <w:tcPr>
            <w:tcW w:w="407"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46</w:t>
            </w:r>
          </w:p>
        </w:tc>
        <w:tc>
          <w:tcPr>
            <w:tcW w:w="474"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217</w:t>
            </w:r>
          </w:p>
        </w:tc>
        <w:tc>
          <w:tcPr>
            <w:tcW w:w="407"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color w:val="000000" w:themeColor="text1"/>
                <w:sz w:val="18"/>
                <w:szCs w:val="18"/>
              </w:rPr>
            </w:pPr>
            <w:r w:rsidRPr="00851855">
              <w:rPr>
                <w:rFonts w:ascii="Times New Roman" w:hAnsi="Times New Roman" w:cs="Times New Roman"/>
                <w:color w:val="000000" w:themeColor="text1"/>
                <w:sz w:val="18"/>
                <w:szCs w:val="18"/>
              </w:rPr>
              <w:t>83</w:t>
            </w:r>
          </w:p>
        </w:tc>
        <w:tc>
          <w:tcPr>
            <w:tcW w:w="474"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646</w:t>
            </w:r>
          </w:p>
        </w:tc>
        <w:tc>
          <w:tcPr>
            <w:tcW w:w="474" w:type="dxa"/>
            <w:tcBorders>
              <w:top w:val="single" w:sz="4" w:space="0" w:color="000000"/>
              <w:left w:val="nil"/>
              <w:bottom w:val="single" w:sz="4" w:space="0" w:color="000000"/>
              <w:right w:val="nil"/>
            </w:tcBorders>
            <w:vAlign w:val="bottom"/>
          </w:tcPr>
          <w:p w:rsidR="003F02C2" w:rsidRPr="00851855" w:rsidRDefault="003F02C2" w:rsidP="00B02517">
            <w:pPr>
              <w:spacing w:line="240" w:lineRule="auto"/>
              <w:jc w:val="right"/>
              <w:rPr>
                <w:rFonts w:ascii="Times New Roman" w:hAnsi="Times New Roman" w:cs="Times New Roman"/>
                <w:b/>
                <w:color w:val="000000" w:themeColor="text1"/>
                <w:sz w:val="18"/>
                <w:szCs w:val="18"/>
              </w:rPr>
            </w:pPr>
            <w:r w:rsidRPr="00851855">
              <w:rPr>
                <w:rFonts w:ascii="Times New Roman" w:hAnsi="Times New Roman" w:cs="Times New Roman"/>
                <w:b/>
                <w:color w:val="000000" w:themeColor="text1"/>
                <w:sz w:val="18"/>
                <w:szCs w:val="18"/>
              </w:rPr>
              <w:t>172</w:t>
            </w:r>
          </w:p>
        </w:tc>
      </w:tr>
    </w:tbl>
    <w:p w:rsidR="003F02C2" w:rsidRPr="00851855" w:rsidRDefault="003F02C2" w:rsidP="003F02C2">
      <w:pPr>
        <w:spacing w:line="240" w:lineRule="auto"/>
        <w:jc w:val="both"/>
        <w:rPr>
          <w:rFonts w:ascii="Times New Roman" w:hAnsi="Times New Roman" w:cs="Times New Roman"/>
          <w:b/>
          <w:color w:val="000000" w:themeColor="text1"/>
        </w:rPr>
      </w:pPr>
    </w:p>
    <w:p w:rsidR="003F02C2" w:rsidRPr="00851855" w:rsidRDefault="003F02C2" w:rsidP="003F02C2">
      <w:pPr>
        <w:spacing w:line="240" w:lineRule="auto"/>
        <w:jc w:val="both"/>
        <w:rPr>
          <w:rFonts w:ascii="Times New Roman" w:hAnsi="Times New Roman" w:cs="Times New Roman"/>
          <w:b/>
          <w:color w:val="000000" w:themeColor="text1"/>
        </w:rPr>
        <w:sectPr w:rsidR="003F02C2" w:rsidRPr="00851855" w:rsidSect="003F02C2">
          <w:headerReference w:type="default" r:id="rId4"/>
          <w:pgSz w:w="16834" w:h="11909" w:orient="landscape" w:code="9"/>
          <w:pgMar w:top="1418" w:right="1440" w:bottom="1440" w:left="1440" w:header="720" w:footer="720" w:gutter="0"/>
          <w:pgNumType w:start="2"/>
          <w:cols w:space="720"/>
          <w:docGrid w:linePitch="299"/>
        </w:sectPr>
      </w:pPr>
    </w:p>
    <w:p w:rsidR="003F02C2" w:rsidRPr="00851855" w:rsidRDefault="003F02C2" w:rsidP="003F02C2">
      <w:pPr>
        <w:spacing w:line="240" w:lineRule="auto"/>
        <w:jc w:val="center"/>
        <w:rPr>
          <w:rFonts w:ascii="Times New Roman" w:hAnsi="Times New Roman" w:cs="Times New Roman"/>
          <w:b/>
          <w:color w:val="000000" w:themeColor="text1"/>
        </w:rPr>
      </w:pPr>
      <w:r w:rsidRPr="00851855">
        <w:rPr>
          <w:rFonts w:ascii="Times New Roman" w:hAnsi="Times New Roman" w:cs="Times New Roman"/>
          <w:noProof/>
          <w:color w:val="000000" w:themeColor="text1"/>
          <w:lang w:eastAsia="en-IN"/>
        </w:rPr>
        <w:lastRenderedPageBreak/>
        <w:drawing>
          <wp:inline distT="114300" distB="114300" distL="114300" distR="114300" wp14:anchorId="695ABB23" wp14:editId="58CA1F28">
            <wp:extent cx="5731200" cy="4508500"/>
            <wp:effectExtent l="0" t="0" r="0" b="0"/>
            <wp:docPr id="20562425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5731200" cy="4508500"/>
                    </a:xfrm>
                    <a:prstGeom prst="rect">
                      <a:avLst/>
                    </a:prstGeom>
                    <a:ln/>
                  </pic:spPr>
                </pic:pic>
              </a:graphicData>
            </a:graphic>
          </wp:inline>
        </w:drawing>
      </w:r>
    </w:p>
    <w:p w:rsidR="003F02C2" w:rsidRPr="00851855" w:rsidRDefault="003F02C2" w:rsidP="003F02C2">
      <w:pPr>
        <w:spacing w:before="240" w:after="240" w:line="240" w:lineRule="auto"/>
        <w:jc w:val="both"/>
        <w:rPr>
          <w:rFonts w:ascii="Times New Roman" w:hAnsi="Times New Roman" w:cs="Times New Roman"/>
          <w:color w:val="000000" w:themeColor="text1"/>
        </w:rPr>
      </w:pPr>
      <w:r w:rsidRPr="00851855">
        <w:rPr>
          <w:rFonts w:ascii="Times New Roman" w:hAnsi="Times New Roman" w:cs="Times New Roman"/>
          <w:b/>
          <w:color w:val="000000" w:themeColor="text1"/>
        </w:rPr>
        <w:t xml:space="preserve">Fig IS1. </w:t>
      </w:r>
      <w:r w:rsidRPr="00851855">
        <w:rPr>
          <w:rFonts w:ascii="Times New Roman" w:hAnsi="Times New Roman" w:cs="Times New Roman"/>
          <w:color w:val="000000" w:themeColor="text1"/>
        </w:rPr>
        <w:t>Abundance of MPs analyzed by sampling and component. In all boxplots: the horizontal line represents the median; box limits indicate the interquartile range (IQR, 25th–75th percentiles); whiskers extend to 1.5 × IQR; points beyond whiskers represent outliers.</w:t>
      </w:r>
    </w:p>
    <w:p w:rsidR="003F02C2" w:rsidRPr="00851855" w:rsidRDefault="003F02C2" w:rsidP="003F02C2">
      <w:pPr>
        <w:spacing w:line="240" w:lineRule="auto"/>
        <w:jc w:val="both"/>
        <w:rPr>
          <w:rFonts w:ascii="Times New Roman" w:hAnsi="Times New Roman" w:cs="Times New Roman"/>
          <w:color w:val="000000" w:themeColor="text1"/>
        </w:rPr>
      </w:pPr>
    </w:p>
    <w:p w:rsidR="003F02C2" w:rsidRPr="00851855" w:rsidRDefault="003F02C2" w:rsidP="003F02C2">
      <w:pPr>
        <w:rPr>
          <w:rFonts w:ascii="Times New Roman" w:hAnsi="Times New Roman" w:cs="Times New Roman"/>
          <w:color w:val="000000" w:themeColor="text1"/>
        </w:rPr>
      </w:pPr>
      <w:r w:rsidRPr="00851855">
        <w:rPr>
          <w:rFonts w:ascii="Times New Roman" w:hAnsi="Times New Roman" w:cs="Times New Roman"/>
          <w:color w:val="000000" w:themeColor="text1"/>
        </w:rPr>
        <w:br w:type="page"/>
      </w:r>
    </w:p>
    <w:p w:rsidR="003F02C2" w:rsidRPr="00851855" w:rsidRDefault="003F02C2" w:rsidP="003F02C2">
      <w:pPr>
        <w:spacing w:line="240" w:lineRule="auto"/>
        <w:jc w:val="center"/>
        <w:rPr>
          <w:rFonts w:ascii="Times New Roman" w:hAnsi="Times New Roman" w:cs="Times New Roman"/>
          <w:noProof/>
          <w:color w:val="000000" w:themeColor="text1"/>
          <w:lang w:val="es-CO"/>
        </w:rPr>
      </w:pPr>
      <w:r w:rsidRPr="00851855">
        <w:rPr>
          <w:rFonts w:ascii="Times New Roman" w:hAnsi="Times New Roman" w:cs="Times New Roman"/>
          <w:noProof/>
          <w:color w:val="000000" w:themeColor="text1"/>
          <w:lang w:eastAsia="en-IN"/>
        </w:rPr>
        <w:lastRenderedPageBreak/>
        <w:drawing>
          <wp:inline distT="0" distB="0" distL="0" distR="0" wp14:anchorId="5D1A1B85" wp14:editId="4D9E9CED">
            <wp:extent cx="6010344" cy="4722301"/>
            <wp:effectExtent l="0" t="0" r="0" b="2540"/>
            <wp:docPr id="800741010" name="Picture 2"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41010" name="Picture 2" descr="A graph of different colored square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20089" cy="4729958"/>
                    </a:xfrm>
                    <a:prstGeom prst="rect">
                      <a:avLst/>
                    </a:prstGeom>
                    <a:noFill/>
                    <a:ln>
                      <a:noFill/>
                    </a:ln>
                  </pic:spPr>
                </pic:pic>
              </a:graphicData>
            </a:graphic>
          </wp:inline>
        </w:drawing>
      </w:r>
    </w:p>
    <w:p w:rsidR="003F02C2" w:rsidRPr="00851855" w:rsidRDefault="003F02C2" w:rsidP="003F02C2">
      <w:pPr>
        <w:spacing w:line="240" w:lineRule="auto"/>
        <w:jc w:val="center"/>
        <w:rPr>
          <w:rFonts w:ascii="Times New Roman" w:hAnsi="Times New Roman" w:cs="Times New Roman"/>
          <w:b/>
          <w:color w:val="000000" w:themeColor="text1"/>
        </w:rPr>
      </w:pPr>
    </w:p>
    <w:p w:rsidR="003F02C2" w:rsidRPr="00851855" w:rsidRDefault="003F02C2" w:rsidP="003F02C2">
      <w:pPr>
        <w:spacing w:before="240" w:after="240" w:line="240" w:lineRule="auto"/>
        <w:jc w:val="both"/>
        <w:rPr>
          <w:rFonts w:ascii="Times New Roman" w:hAnsi="Times New Roman" w:cs="Times New Roman"/>
          <w:color w:val="000000" w:themeColor="text1"/>
        </w:rPr>
      </w:pPr>
      <w:r w:rsidRPr="00851855">
        <w:rPr>
          <w:rFonts w:ascii="Times New Roman" w:hAnsi="Times New Roman" w:cs="Times New Roman"/>
          <w:b/>
          <w:color w:val="000000" w:themeColor="text1"/>
        </w:rPr>
        <w:t xml:space="preserve">Fig IS2. </w:t>
      </w:r>
      <w:r w:rsidRPr="00851855">
        <w:rPr>
          <w:rFonts w:ascii="Times New Roman" w:hAnsi="Times New Roman" w:cs="Times New Roman"/>
          <w:color w:val="000000" w:themeColor="text1"/>
        </w:rPr>
        <w:t>Abundance of MPs by size in each studied component. In all boxplots: the horizontal line represents the median; box limits indicate the interquartile range (IQR, 25th–75th percentiles); whiskers extend to 1.5 × IQR; points beyond whiskers represent outliers.</w:t>
      </w:r>
    </w:p>
    <w:p w:rsidR="003F02C2" w:rsidRPr="00851855" w:rsidRDefault="003F02C2" w:rsidP="003F02C2">
      <w:pPr>
        <w:spacing w:line="240" w:lineRule="auto"/>
        <w:jc w:val="both"/>
        <w:rPr>
          <w:rFonts w:ascii="Times New Roman" w:hAnsi="Times New Roman" w:cs="Times New Roman"/>
          <w:color w:val="000000" w:themeColor="text1"/>
        </w:rPr>
      </w:pPr>
    </w:p>
    <w:p w:rsidR="003F02C2" w:rsidRPr="00851855" w:rsidRDefault="003F02C2" w:rsidP="003F02C2">
      <w:pPr>
        <w:spacing w:line="240" w:lineRule="auto"/>
        <w:jc w:val="center"/>
        <w:rPr>
          <w:rFonts w:ascii="Times New Roman" w:hAnsi="Times New Roman" w:cs="Times New Roman"/>
          <w:color w:val="000000" w:themeColor="text1"/>
        </w:rPr>
      </w:pPr>
    </w:p>
    <w:p w:rsidR="003F02C2" w:rsidRPr="00851855" w:rsidRDefault="003F02C2" w:rsidP="003F02C2">
      <w:pPr>
        <w:rPr>
          <w:rFonts w:ascii="Times New Roman" w:hAnsi="Times New Roman" w:cs="Times New Roman"/>
          <w:color w:val="000000" w:themeColor="text1"/>
        </w:rPr>
      </w:pPr>
      <w:r w:rsidRPr="00851855">
        <w:rPr>
          <w:rFonts w:ascii="Times New Roman" w:hAnsi="Times New Roman" w:cs="Times New Roman"/>
          <w:color w:val="000000" w:themeColor="text1"/>
        </w:rPr>
        <w:br w:type="page"/>
      </w:r>
    </w:p>
    <w:p w:rsidR="003F02C2" w:rsidRPr="00851855" w:rsidRDefault="003F02C2" w:rsidP="003F02C2">
      <w:pPr>
        <w:spacing w:line="240" w:lineRule="auto"/>
        <w:jc w:val="center"/>
        <w:rPr>
          <w:rFonts w:ascii="Times New Roman" w:hAnsi="Times New Roman" w:cs="Times New Roman"/>
          <w:b/>
          <w:color w:val="000000" w:themeColor="text1"/>
        </w:rPr>
      </w:pPr>
      <w:r w:rsidRPr="00851855">
        <w:rPr>
          <w:rFonts w:ascii="Times New Roman" w:hAnsi="Times New Roman" w:cs="Times New Roman"/>
          <w:noProof/>
          <w:color w:val="000000" w:themeColor="text1"/>
          <w:lang w:eastAsia="en-IN"/>
        </w:rPr>
        <w:lastRenderedPageBreak/>
        <w:drawing>
          <wp:inline distT="114300" distB="114300" distL="114300" distR="114300" wp14:anchorId="58F7013E" wp14:editId="16F79CDD">
            <wp:extent cx="5731200" cy="4508500"/>
            <wp:effectExtent l="0" t="0" r="0" b="0"/>
            <wp:docPr id="205624249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5731200" cy="4508500"/>
                    </a:xfrm>
                    <a:prstGeom prst="rect">
                      <a:avLst/>
                    </a:prstGeom>
                    <a:ln/>
                  </pic:spPr>
                </pic:pic>
              </a:graphicData>
            </a:graphic>
          </wp:inline>
        </w:drawing>
      </w:r>
    </w:p>
    <w:p w:rsidR="003F02C2" w:rsidRPr="00851855" w:rsidRDefault="003F02C2" w:rsidP="003F02C2">
      <w:pPr>
        <w:spacing w:before="240" w:after="240" w:line="240" w:lineRule="auto"/>
        <w:jc w:val="both"/>
        <w:rPr>
          <w:rFonts w:ascii="Times New Roman" w:hAnsi="Times New Roman" w:cs="Times New Roman"/>
          <w:color w:val="000000" w:themeColor="text1"/>
        </w:rPr>
      </w:pPr>
      <w:r w:rsidRPr="00851855">
        <w:rPr>
          <w:rFonts w:ascii="Times New Roman" w:hAnsi="Times New Roman" w:cs="Times New Roman"/>
          <w:b/>
          <w:color w:val="000000" w:themeColor="text1"/>
        </w:rPr>
        <w:t xml:space="preserve">Fig IS3. </w:t>
      </w:r>
      <w:r w:rsidRPr="00851855">
        <w:rPr>
          <w:rFonts w:ascii="Times New Roman" w:hAnsi="Times New Roman" w:cs="Times New Roman"/>
          <w:color w:val="000000" w:themeColor="text1"/>
        </w:rPr>
        <w:t>Abundance of MPs by station in each of the analyzed</w:t>
      </w:r>
      <w:r w:rsidRPr="00851855">
        <w:rPr>
          <w:rFonts w:ascii="Times New Roman" w:hAnsi="Times New Roman" w:cs="Times New Roman"/>
          <w:b/>
          <w:color w:val="000000" w:themeColor="text1"/>
        </w:rPr>
        <w:t xml:space="preserve"> </w:t>
      </w:r>
      <w:r w:rsidRPr="00851855">
        <w:rPr>
          <w:rFonts w:ascii="Times New Roman" w:hAnsi="Times New Roman" w:cs="Times New Roman"/>
          <w:color w:val="000000" w:themeColor="text1"/>
        </w:rPr>
        <w:t>components. In all boxplots: the horizontal line represents the median; box limits indicate the interquartile range (IQR, 25th–75th percentiles); whiskers extend to 1.5 × IQR; points beyond whiskers represent outliers.</w:t>
      </w:r>
    </w:p>
    <w:p w:rsidR="003F02C2" w:rsidRPr="00851855" w:rsidRDefault="003F02C2" w:rsidP="003F02C2">
      <w:pPr>
        <w:spacing w:line="240" w:lineRule="auto"/>
        <w:jc w:val="both"/>
        <w:rPr>
          <w:rFonts w:ascii="Times New Roman" w:hAnsi="Times New Roman" w:cs="Times New Roman"/>
          <w:color w:val="000000" w:themeColor="text1"/>
        </w:rPr>
      </w:pPr>
    </w:p>
    <w:p w:rsidR="003F02C2" w:rsidRPr="00851855" w:rsidRDefault="003F02C2" w:rsidP="003F02C2">
      <w:pPr>
        <w:spacing w:line="240" w:lineRule="auto"/>
        <w:jc w:val="center"/>
        <w:rPr>
          <w:rFonts w:ascii="Times New Roman" w:hAnsi="Times New Roman" w:cs="Times New Roman"/>
          <w:color w:val="000000" w:themeColor="text1"/>
        </w:rPr>
      </w:pPr>
    </w:p>
    <w:p w:rsidR="003F02C2" w:rsidRPr="00851855" w:rsidRDefault="003F02C2" w:rsidP="003F02C2">
      <w:pPr>
        <w:spacing w:line="240" w:lineRule="auto"/>
        <w:jc w:val="center"/>
        <w:rPr>
          <w:rFonts w:ascii="Times New Roman" w:hAnsi="Times New Roman" w:cs="Times New Roman"/>
          <w:color w:val="000000" w:themeColor="text1"/>
          <w:lang w:val="en-US"/>
        </w:rPr>
      </w:pPr>
    </w:p>
    <w:p w:rsidR="003F02C2" w:rsidRPr="00851855" w:rsidRDefault="003F02C2" w:rsidP="003F02C2">
      <w:pPr>
        <w:rPr>
          <w:rFonts w:ascii="Times New Roman" w:hAnsi="Times New Roman" w:cs="Times New Roman"/>
          <w:color w:val="000000" w:themeColor="text1"/>
          <w:lang w:val="en-US"/>
        </w:rPr>
      </w:pPr>
      <w:r w:rsidRPr="00851855">
        <w:rPr>
          <w:rFonts w:ascii="Times New Roman" w:hAnsi="Times New Roman" w:cs="Times New Roman"/>
          <w:color w:val="000000" w:themeColor="text1"/>
          <w:lang w:val="en-US"/>
        </w:rPr>
        <w:br w:type="page"/>
      </w:r>
    </w:p>
    <w:p w:rsidR="003F02C2" w:rsidRPr="00851855" w:rsidRDefault="003F02C2" w:rsidP="003F02C2">
      <w:pPr>
        <w:spacing w:line="240" w:lineRule="auto"/>
        <w:jc w:val="both"/>
        <w:rPr>
          <w:rFonts w:ascii="Times New Roman" w:hAnsi="Times New Roman" w:cs="Times New Roman"/>
          <w:color w:val="000000" w:themeColor="text1"/>
        </w:rPr>
      </w:pPr>
      <w:r w:rsidRPr="00851855">
        <w:rPr>
          <w:rFonts w:ascii="Times New Roman" w:hAnsi="Times New Roman" w:cs="Times New Roman"/>
          <w:b/>
          <w:color w:val="000000" w:themeColor="text1"/>
        </w:rPr>
        <w:lastRenderedPageBreak/>
        <w:t xml:space="preserve">Table IS2. </w:t>
      </w:r>
      <w:r w:rsidRPr="00851855">
        <w:rPr>
          <w:rFonts w:ascii="Times New Roman" w:hAnsi="Times New Roman" w:cs="Times New Roman"/>
          <w:color w:val="000000" w:themeColor="text1"/>
        </w:rPr>
        <w:t xml:space="preserve">Results of the </w:t>
      </w:r>
      <w:r w:rsidRPr="00851855">
        <w:rPr>
          <w:rFonts w:ascii="Times New Roman" w:hAnsi="Times New Roman" w:cs="Times New Roman"/>
          <w:i/>
          <w:color w:val="000000" w:themeColor="text1"/>
        </w:rPr>
        <w:t>envfit</w:t>
      </w:r>
      <w:r w:rsidRPr="00851855">
        <w:rPr>
          <w:rFonts w:ascii="Times New Roman" w:hAnsi="Times New Roman" w:cs="Times New Roman"/>
          <w:color w:val="000000" w:themeColor="text1"/>
        </w:rPr>
        <w:t xml:space="preserve"> for the Non-Metric Multidimensional Scaling Analysis (NMDS - Bray Curtis) of MP abundance by station considering the components (water, soil, sediment, and fish) and their relationships with physical and landscape variables and macroplastics quantity in grams. Statistically significant values in bold.</w:t>
      </w:r>
    </w:p>
    <w:p w:rsidR="003F02C2" w:rsidRPr="00851855" w:rsidRDefault="003F02C2" w:rsidP="003F02C2">
      <w:pPr>
        <w:spacing w:line="240" w:lineRule="auto"/>
        <w:jc w:val="both"/>
        <w:rPr>
          <w:rFonts w:ascii="Times New Roman" w:hAnsi="Times New Roman" w:cs="Times New Roman"/>
          <w:color w:val="000000" w:themeColor="text1"/>
        </w:rPr>
      </w:pPr>
    </w:p>
    <w:tbl>
      <w:tblPr>
        <w:tblW w:w="5341" w:type="dxa"/>
        <w:jc w:val="center"/>
        <w:tblCellMar>
          <w:left w:w="70" w:type="dxa"/>
          <w:right w:w="70" w:type="dxa"/>
        </w:tblCellMar>
        <w:tblLook w:val="04A0" w:firstRow="1" w:lastRow="0" w:firstColumn="1" w:lastColumn="0" w:noHBand="0" w:noVBand="1"/>
      </w:tblPr>
      <w:tblGrid>
        <w:gridCol w:w="1495"/>
        <w:gridCol w:w="1052"/>
        <w:gridCol w:w="1052"/>
        <w:gridCol w:w="851"/>
        <w:gridCol w:w="891"/>
      </w:tblGrid>
      <w:tr w:rsidR="003F02C2" w:rsidRPr="00851855" w:rsidTr="00B02517">
        <w:trPr>
          <w:trHeight w:val="525"/>
          <w:jc w:val="center"/>
        </w:trPr>
        <w:tc>
          <w:tcPr>
            <w:tcW w:w="1495"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Variable</w:t>
            </w:r>
          </w:p>
        </w:tc>
        <w:tc>
          <w:tcPr>
            <w:tcW w:w="1052"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NMDS1</w:t>
            </w:r>
          </w:p>
        </w:tc>
        <w:tc>
          <w:tcPr>
            <w:tcW w:w="1052"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NMDS2</w:t>
            </w:r>
          </w:p>
        </w:tc>
        <w:tc>
          <w:tcPr>
            <w:tcW w:w="851"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r2</w:t>
            </w:r>
          </w:p>
        </w:tc>
        <w:tc>
          <w:tcPr>
            <w:tcW w:w="891"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Pr(&gt;r)</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Flow</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0.687</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0.727</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0.416</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0.004</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Altitude</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-0.836</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-0.549</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0.408</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0.004</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WaterArea</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-0.954</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-0.301</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0.488</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0.004</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Wide</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0.968</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0.251</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0.423</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0.006</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Velo</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0.529</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0.848</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0.340</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0.013</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AgriArea</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-0.669</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0.743</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0.285</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1"/>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0.031</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SeaCrops</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0.894</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0.448</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0.247</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0.057</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NoVegArea</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0.992</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0.124</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0.191</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0.119</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PermCrops</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0.569</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-0.822</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0.173</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0.120</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Forest</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0.511</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-0.859</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0.169</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0.123</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MacroPlastic</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0.767</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0.642</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0.175</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0.124</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Grasses</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-0.529</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-0.849</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0.165</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0.146</w:t>
            </w:r>
          </w:p>
        </w:tc>
      </w:tr>
      <w:tr w:rsidR="003F02C2" w:rsidRPr="00851855" w:rsidTr="00B02517">
        <w:trPr>
          <w:trHeight w:val="51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ShrubsArea</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0.715</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-0.699</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0.143</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0.178</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Depth</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-0.052</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0.999</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0.119</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0.278</w:t>
            </w:r>
          </w:p>
        </w:tc>
      </w:tr>
      <w:tr w:rsidR="003F02C2" w:rsidRPr="00851855" w:rsidTr="00B02517">
        <w:trPr>
          <w:trHeight w:val="300"/>
          <w:jc w:val="center"/>
        </w:trPr>
        <w:tc>
          <w:tcPr>
            <w:tcW w:w="1495"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UrbArea</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0.064</w:t>
            </w:r>
          </w:p>
        </w:tc>
        <w:tc>
          <w:tcPr>
            <w:tcW w:w="1052"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0.998</w:t>
            </w:r>
          </w:p>
        </w:tc>
        <w:tc>
          <w:tcPr>
            <w:tcW w:w="85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0.073</w:t>
            </w:r>
          </w:p>
        </w:tc>
        <w:tc>
          <w:tcPr>
            <w:tcW w:w="891" w:type="dxa"/>
            <w:tcBorders>
              <w:top w:val="nil"/>
              <w:left w:val="nil"/>
              <w:bottom w:val="nil"/>
              <w:right w:val="nil"/>
            </w:tcBorders>
            <w:vAlign w:val="center"/>
            <w:hideMark/>
          </w:tcPr>
          <w:p w:rsidR="003F02C2" w:rsidRPr="00851855" w:rsidRDefault="003F02C2" w:rsidP="00B02517">
            <w:pPr>
              <w:spacing w:line="240" w:lineRule="auto"/>
              <w:ind w:firstLineChars="100" w:firstLine="200"/>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0.453</w:t>
            </w:r>
          </w:p>
        </w:tc>
      </w:tr>
    </w:tbl>
    <w:p w:rsidR="003F02C2" w:rsidRPr="00851855" w:rsidRDefault="003F02C2" w:rsidP="003F02C2">
      <w:pPr>
        <w:spacing w:line="240" w:lineRule="auto"/>
        <w:rPr>
          <w:rFonts w:ascii="Times New Roman" w:hAnsi="Times New Roman" w:cs="Times New Roman"/>
          <w:color w:val="000000" w:themeColor="text1"/>
        </w:rPr>
      </w:pPr>
    </w:p>
    <w:p w:rsidR="003F02C2" w:rsidRPr="00851855" w:rsidRDefault="003F02C2" w:rsidP="003F02C2">
      <w:pPr>
        <w:rPr>
          <w:rFonts w:ascii="Times New Roman" w:hAnsi="Times New Roman" w:cs="Times New Roman"/>
          <w:color w:val="000000" w:themeColor="text1"/>
        </w:rPr>
      </w:pPr>
      <w:r w:rsidRPr="00851855">
        <w:rPr>
          <w:rFonts w:ascii="Times New Roman" w:hAnsi="Times New Roman" w:cs="Times New Roman"/>
          <w:color w:val="000000" w:themeColor="text1"/>
        </w:rPr>
        <w:br w:type="page"/>
      </w:r>
    </w:p>
    <w:p w:rsidR="003F02C2" w:rsidRPr="00851855" w:rsidRDefault="003F02C2" w:rsidP="003F02C2">
      <w:pPr>
        <w:spacing w:line="240" w:lineRule="auto"/>
        <w:jc w:val="both"/>
        <w:rPr>
          <w:rFonts w:ascii="Times New Roman" w:hAnsi="Times New Roman" w:cs="Times New Roman"/>
          <w:color w:val="000000" w:themeColor="text1"/>
        </w:rPr>
      </w:pPr>
      <w:r w:rsidRPr="00851855">
        <w:rPr>
          <w:rFonts w:ascii="Times New Roman" w:hAnsi="Times New Roman" w:cs="Times New Roman"/>
          <w:b/>
          <w:color w:val="000000" w:themeColor="text1"/>
        </w:rPr>
        <w:lastRenderedPageBreak/>
        <w:t xml:space="preserve">Table IS3. </w:t>
      </w:r>
      <w:r w:rsidRPr="00851855">
        <w:rPr>
          <w:rFonts w:ascii="Times New Roman" w:hAnsi="Times New Roman" w:cs="Times New Roman"/>
          <w:color w:val="000000" w:themeColor="text1"/>
        </w:rPr>
        <w:t xml:space="preserve">Results of the </w:t>
      </w:r>
      <w:r w:rsidRPr="00851855">
        <w:rPr>
          <w:rFonts w:ascii="Times New Roman" w:hAnsi="Times New Roman" w:cs="Times New Roman"/>
          <w:i/>
          <w:color w:val="000000" w:themeColor="text1"/>
        </w:rPr>
        <w:t>envfit</w:t>
      </w:r>
      <w:r w:rsidRPr="00851855">
        <w:rPr>
          <w:rFonts w:ascii="Times New Roman" w:hAnsi="Times New Roman" w:cs="Times New Roman"/>
          <w:color w:val="000000" w:themeColor="text1"/>
        </w:rPr>
        <w:t xml:space="preserve"> for the Non-Metric Multidimensional Scaling Analysis (NMDS - Bray Curtis) of MP abundance by station considering the identified polymer types and their relationships with physical and landscape variables and macroplastics quantity in grams. Statistically significant values in bold.</w:t>
      </w:r>
    </w:p>
    <w:p w:rsidR="003F02C2" w:rsidRPr="00851855" w:rsidRDefault="003F02C2" w:rsidP="003F02C2">
      <w:pPr>
        <w:spacing w:line="240" w:lineRule="auto"/>
        <w:rPr>
          <w:rFonts w:ascii="Times New Roman" w:hAnsi="Times New Roman" w:cs="Times New Roman"/>
          <w:color w:val="000000" w:themeColor="text1"/>
        </w:rPr>
      </w:pPr>
    </w:p>
    <w:tbl>
      <w:tblPr>
        <w:tblW w:w="5960" w:type="dxa"/>
        <w:jc w:val="center"/>
        <w:tblCellMar>
          <w:left w:w="70" w:type="dxa"/>
          <w:right w:w="70" w:type="dxa"/>
        </w:tblCellMar>
        <w:tblLook w:val="04A0" w:firstRow="1" w:lastRow="0" w:firstColumn="1" w:lastColumn="0" w:noHBand="0" w:noVBand="1"/>
      </w:tblPr>
      <w:tblGrid>
        <w:gridCol w:w="1360"/>
        <w:gridCol w:w="1240"/>
        <w:gridCol w:w="1140"/>
        <w:gridCol w:w="1180"/>
        <w:gridCol w:w="1040"/>
      </w:tblGrid>
      <w:tr w:rsidR="003F02C2" w:rsidRPr="00851855" w:rsidTr="00B02517">
        <w:trPr>
          <w:trHeight w:val="525"/>
          <w:jc w:val="center"/>
        </w:trPr>
        <w:tc>
          <w:tcPr>
            <w:tcW w:w="1360"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jc w:val="center"/>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Variable</w:t>
            </w:r>
          </w:p>
        </w:tc>
        <w:tc>
          <w:tcPr>
            <w:tcW w:w="1240"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jc w:val="center"/>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NMDS1</w:t>
            </w:r>
          </w:p>
        </w:tc>
        <w:tc>
          <w:tcPr>
            <w:tcW w:w="1140"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jc w:val="center"/>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NMDS2</w:t>
            </w:r>
          </w:p>
        </w:tc>
        <w:tc>
          <w:tcPr>
            <w:tcW w:w="1180"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jc w:val="center"/>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r2</w:t>
            </w:r>
          </w:p>
        </w:tc>
        <w:tc>
          <w:tcPr>
            <w:tcW w:w="1040" w:type="dxa"/>
            <w:tcBorders>
              <w:top w:val="single" w:sz="8" w:space="0" w:color="000000"/>
              <w:left w:val="nil"/>
              <w:bottom w:val="single" w:sz="8" w:space="0" w:color="000000"/>
              <w:right w:val="nil"/>
            </w:tcBorders>
            <w:vAlign w:val="center"/>
            <w:hideMark/>
          </w:tcPr>
          <w:p w:rsidR="003F02C2" w:rsidRPr="00851855" w:rsidRDefault="003F02C2" w:rsidP="00B02517">
            <w:pPr>
              <w:spacing w:line="240" w:lineRule="auto"/>
              <w:jc w:val="center"/>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Pr(&gt;r)</w:t>
            </w:r>
          </w:p>
        </w:tc>
      </w:tr>
      <w:tr w:rsidR="003F02C2" w:rsidRPr="00851855" w:rsidTr="00B02517">
        <w:trPr>
          <w:trHeight w:val="30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Wide</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0.856</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0.518</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0.293</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0.012</w:t>
            </w:r>
          </w:p>
        </w:tc>
      </w:tr>
      <w:tr w:rsidR="003F02C2" w:rsidRPr="00851855" w:rsidTr="00B02517">
        <w:trPr>
          <w:trHeight w:val="30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Altitude</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-0.857</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-0.515</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0.261</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0.020</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Flow</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0.850</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0.526</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0.214</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b/>
                <w:bCs/>
                <w:color w:val="000000" w:themeColor="text1"/>
                <w:sz w:val="20"/>
                <w:szCs w:val="20"/>
                <w:lang w:val="es-CO"/>
              </w:rPr>
            </w:pPr>
            <w:r w:rsidRPr="00851855">
              <w:rPr>
                <w:rFonts w:ascii="Times New Roman" w:eastAsia="Times New Roman" w:hAnsi="Times New Roman" w:cs="Times New Roman"/>
                <w:b/>
                <w:bCs/>
                <w:color w:val="000000" w:themeColor="text1"/>
                <w:sz w:val="20"/>
                <w:szCs w:val="20"/>
              </w:rPr>
              <w:t>0.041</w:t>
            </w:r>
          </w:p>
        </w:tc>
      </w:tr>
      <w:tr w:rsidR="003F02C2" w:rsidRPr="00851855" w:rsidTr="00B02517">
        <w:trPr>
          <w:trHeight w:val="30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SeaCrops</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0.874</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0.485</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0.190</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0.058</w:t>
            </w:r>
          </w:p>
        </w:tc>
      </w:tr>
      <w:tr w:rsidR="003F02C2" w:rsidRPr="00851855" w:rsidTr="00B02517">
        <w:trPr>
          <w:trHeight w:val="30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WaterArea</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-0.813</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-0.583</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0.145</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0.110</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Velo</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0.983</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0.181</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0.146</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0.120</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NoVegArea</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0.880</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0.475</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0.118</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0.176</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Depth</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-0.572</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0.821</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0.109</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0.204</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MacroPlastic</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0.890</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0.457</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0.088</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0.283</w:t>
            </w:r>
          </w:p>
        </w:tc>
      </w:tr>
      <w:tr w:rsidR="003F02C2" w:rsidRPr="00851855" w:rsidTr="00B02517">
        <w:trPr>
          <w:trHeight w:val="30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Grasses</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-0.812</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-0.584</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0.060</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0.416</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Forest</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-0.935</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-0.354</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0.042</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0.568</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PermCrops</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-0.944</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-0.330</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0.035</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0.629</w:t>
            </w:r>
          </w:p>
        </w:tc>
      </w:tr>
      <w:tr w:rsidR="003F02C2" w:rsidRPr="00851855" w:rsidTr="00B02517">
        <w:trPr>
          <w:trHeight w:val="51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ShrubsArea</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-0.969</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-0.247</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0.022</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0.740</w:t>
            </w:r>
          </w:p>
        </w:tc>
      </w:tr>
      <w:tr w:rsidR="003F02C2" w:rsidRPr="00851855" w:rsidTr="00B02517">
        <w:trPr>
          <w:trHeight w:val="300"/>
          <w:jc w:val="center"/>
        </w:trPr>
        <w:tc>
          <w:tcPr>
            <w:tcW w:w="1360" w:type="dxa"/>
            <w:tcBorders>
              <w:top w:val="nil"/>
              <w:left w:val="nil"/>
              <w:bottom w:val="nil"/>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UrbArea</w:t>
            </w:r>
          </w:p>
        </w:tc>
        <w:tc>
          <w:tcPr>
            <w:tcW w:w="12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0.723</w:t>
            </w:r>
          </w:p>
        </w:tc>
        <w:tc>
          <w:tcPr>
            <w:tcW w:w="11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0.691</w:t>
            </w:r>
          </w:p>
        </w:tc>
        <w:tc>
          <w:tcPr>
            <w:tcW w:w="118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0.007</w:t>
            </w:r>
          </w:p>
        </w:tc>
        <w:tc>
          <w:tcPr>
            <w:tcW w:w="1040" w:type="dxa"/>
            <w:tcBorders>
              <w:top w:val="nil"/>
              <w:left w:val="nil"/>
              <w:bottom w:val="nil"/>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0.909</w:t>
            </w:r>
          </w:p>
        </w:tc>
      </w:tr>
      <w:tr w:rsidR="003F02C2" w:rsidRPr="00851855" w:rsidTr="00B02517">
        <w:trPr>
          <w:trHeight w:val="315"/>
          <w:jc w:val="center"/>
        </w:trPr>
        <w:tc>
          <w:tcPr>
            <w:tcW w:w="1360" w:type="dxa"/>
            <w:tcBorders>
              <w:top w:val="nil"/>
              <w:left w:val="nil"/>
              <w:bottom w:val="single" w:sz="8" w:space="0" w:color="000000"/>
              <w:right w:val="nil"/>
            </w:tcBorders>
            <w:vAlign w:val="center"/>
            <w:hideMark/>
          </w:tcPr>
          <w:p w:rsidR="003F02C2" w:rsidRPr="00851855" w:rsidRDefault="003F02C2" w:rsidP="00B02517">
            <w:pPr>
              <w:spacing w:line="240" w:lineRule="auto"/>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AgriArea</w:t>
            </w:r>
          </w:p>
        </w:tc>
        <w:tc>
          <w:tcPr>
            <w:tcW w:w="1240" w:type="dxa"/>
            <w:tcBorders>
              <w:top w:val="nil"/>
              <w:left w:val="nil"/>
              <w:bottom w:val="single" w:sz="8" w:space="0" w:color="000000"/>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0.997</w:t>
            </w:r>
          </w:p>
        </w:tc>
        <w:tc>
          <w:tcPr>
            <w:tcW w:w="1140" w:type="dxa"/>
            <w:tcBorders>
              <w:top w:val="nil"/>
              <w:left w:val="nil"/>
              <w:bottom w:val="single" w:sz="8" w:space="0" w:color="000000"/>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-0.073</w:t>
            </w:r>
          </w:p>
        </w:tc>
        <w:tc>
          <w:tcPr>
            <w:tcW w:w="1180" w:type="dxa"/>
            <w:tcBorders>
              <w:top w:val="nil"/>
              <w:left w:val="nil"/>
              <w:bottom w:val="single" w:sz="8" w:space="0" w:color="000000"/>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0.001</w:t>
            </w:r>
          </w:p>
        </w:tc>
        <w:tc>
          <w:tcPr>
            <w:tcW w:w="1040" w:type="dxa"/>
            <w:tcBorders>
              <w:top w:val="nil"/>
              <w:left w:val="nil"/>
              <w:bottom w:val="single" w:sz="8" w:space="0" w:color="000000"/>
              <w:right w:val="nil"/>
            </w:tcBorders>
            <w:vAlign w:val="center"/>
            <w:hideMark/>
          </w:tcPr>
          <w:p w:rsidR="003F02C2" w:rsidRPr="00851855" w:rsidRDefault="003F02C2" w:rsidP="00B02517">
            <w:pPr>
              <w:spacing w:line="240" w:lineRule="auto"/>
              <w:jc w:val="right"/>
              <w:rPr>
                <w:rFonts w:ascii="Times New Roman" w:eastAsia="Times New Roman" w:hAnsi="Times New Roman" w:cs="Times New Roman"/>
                <w:color w:val="000000" w:themeColor="text1"/>
                <w:sz w:val="20"/>
                <w:szCs w:val="20"/>
                <w:lang w:val="es-CO"/>
              </w:rPr>
            </w:pPr>
            <w:r w:rsidRPr="00851855">
              <w:rPr>
                <w:rFonts w:ascii="Times New Roman" w:eastAsia="Times New Roman" w:hAnsi="Times New Roman" w:cs="Times New Roman"/>
                <w:color w:val="000000" w:themeColor="text1"/>
                <w:sz w:val="20"/>
                <w:szCs w:val="20"/>
              </w:rPr>
              <w:t>0.991</w:t>
            </w:r>
          </w:p>
        </w:tc>
      </w:tr>
    </w:tbl>
    <w:p w:rsidR="00462033" w:rsidRDefault="00462033"/>
    <w:sectPr w:rsidR="004620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1855" w:rsidRDefault="003F02C2">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p w:rsidR="00851855" w:rsidRDefault="003F02C2">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2C2"/>
    <w:rsid w:val="00031135"/>
    <w:rsid w:val="00044606"/>
    <w:rsid w:val="00071AB2"/>
    <w:rsid w:val="00075268"/>
    <w:rsid w:val="000768B8"/>
    <w:rsid w:val="00094E0E"/>
    <w:rsid w:val="000C296C"/>
    <w:rsid w:val="000C57D0"/>
    <w:rsid w:val="000C7FC9"/>
    <w:rsid w:val="000F0DA6"/>
    <w:rsid w:val="00111FC3"/>
    <w:rsid w:val="0014424E"/>
    <w:rsid w:val="001723D3"/>
    <w:rsid w:val="001B7288"/>
    <w:rsid w:val="00205B2C"/>
    <w:rsid w:val="00212D64"/>
    <w:rsid w:val="00235288"/>
    <w:rsid w:val="002722E5"/>
    <w:rsid w:val="00277D46"/>
    <w:rsid w:val="002B2DB7"/>
    <w:rsid w:val="002E4A07"/>
    <w:rsid w:val="002F0AC7"/>
    <w:rsid w:val="003328CD"/>
    <w:rsid w:val="0034367C"/>
    <w:rsid w:val="00357CD0"/>
    <w:rsid w:val="003908A1"/>
    <w:rsid w:val="0039132D"/>
    <w:rsid w:val="003A2533"/>
    <w:rsid w:val="003D72C1"/>
    <w:rsid w:val="003F02C2"/>
    <w:rsid w:val="003F06F6"/>
    <w:rsid w:val="0044243C"/>
    <w:rsid w:val="00447DE6"/>
    <w:rsid w:val="00447E86"/>
    <w:rsid w:val="00457D7C"/>
    <w:rsid w:val="00462033"/>
    <w:rsid w:val="004E263E"/>
    <w:rsid w:val="004F70C5"/>
    <w:rsid w:val="005928DC"/>
    <w:rsid w:val="005D249B"/>
    <w:rsid w:val="005D4D62"/>
    <w:rsid w:val="005F037D"/>
    <w:rsid w:val="005F7670"/>
    <w:rsid w:val="00613619"/>
    <w:rsid w:val="00627232"/>
    <w:rsid w:val="00687D69"/>
    <w:rsid w:val="00692C83"/>
    <w:rsid w:val="006A09CD"/>
    <w:rsid w:val="006A4BC4"/>
    <w:rsid w:val="006D70E8"/>
    <w:rsid w:val="00757B4C"/>
    <w:rsid w:val="00783D17"/>
    <w:rsid w:val="00785268"/>
    <w:rsid w:val="007D25BC"/>
    <w:rsid w:val="00852C4F"/>
    <w:rsid w:val="00854B67"/>
    <w:rsid w:val="0088090B"/>
    <w:rsid w:val="008D7343"/>
    <w:rsid w:val="008E4536"/>
    <w:rsid w:val="00917B29"/>
    <w:rsid w:val="0095281E"/>
    <w:rsid w:val="00983D4D"/>
    <w:rsid w:val="009842C0"/>
    <w:rsid w:val="00987D1E"/>
    <w:rsid w:val="009947FA"/>
    <w:rsid w:val="009C4ADD"/>
    <w:rsid w:val="00A013FA"/>
    <w:rsid w:val="00AC0325"/>
    <w:rsid w:val="00AD106A"/>
    <w:rsid w:val="00AD4BC7"/>
    <w:rsid w:val="00AE3477"/>
    <w:rsid w:val="00B0115C"/>
    <w:rsid w:val="00B01717"/>
    <w:rsid w:val="00B114B1"/>
    <w:rsid w:val="00B2360F"/>
    <w:rsid w:val="00B3491E"/>
    <w:rsid w:val="00B97B79"/>
    <w:rsid w:val="00BD270B"/>
    <w:rsid w:val="00BD766C"/>
    <w:rsid w:val="00BD7EF9"/>
    <w:rsid w:val="00C17D50"/>
    <w:rsid w:val="00C335CA"/>
    <w:rsid w:val="00C411E3"/>
    <w:rsid w:val="00C904BA"/>
    <w:rsid w:val="00CB25E4"/>
    <w:rsid w:val="00CD6598"/>
    <w:rsid w:val="00CE434C"/>
    <w:rsid w:val="00CF34CE"/>
    <w:rsid w:val="00D12DED"/>
    <w:rsid w:val="00D5618F"/>
    <w:rsid w:val="00D74B07"/>
    <w:rsid w:val="00DE3738"/>
    <w:rsid w:val="00E223BC"/>
    <w:rsid w:val="00E4756B"/>
    <w:rsid w:val="00E934DD"/>
    <w:rsid w:val="00EE7377"/>
    <w:rsid w:val="00EF5C01"/>
    <w:rsid w:val="00F24C97"/>
    <w:rsid w:val="00F31558"/>
    <w:rsid w:val="00F76EDD"/>
    <w:rsid w:val="00F9193F"/>
    <w:rsid w:val="00FE4601"/>
    <w:rsid w:val="00FF4784"/>
    <w:rsid w:val="00FF5E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B76E3-9995-4D8A-A85B-4D7CECF06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Nandhini Sivakumar</dc:creator>
  <cp:keywords/>
  <dc:description/>
  <cp:lastModifiedBy>Nandhini Sivakumar</cp:lastModifiedBy>
  <cp:revision>1</cp:revision>
  <dcterms:created xsi:type="dcterms:W3CDTF">2025-12-19T08:20:00Z</dcterms:created>
  <dcterms:modified xsi:type="dcterms:W3CDTF">2025-12-19T08:23:00Z</dcterms:modified>
</cp:coreProperties>
</file>