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F4E19" w14:textId="77777777" w:rsidR="00617A5D" w:rsidRPr="00617A5D" w:rsidRDefault="00617A5D" w:rsidP="00617A5D">
      <w:pPr>
        <w:rPr>
          <w:lang w:val="en-US"/>
        </w:rPr>
      </w:pPr>
      <w:r w:rsidRPr="00617A5D">
        <w:rPr>
          <w:lang w:val="en-US"/>
        </w:rPr>
        <w:t>Appendix S1: Detailed community structure and species-level dynamics</w:t>
      </w:r>
    </w:p>
    <w:p w14:paraId="56E53722" w14:textId="3E541223" w:rsidR="00617A5D" w:rsidRDefault="00617A5D" w:rsidP="00617A5D">
      <w:pPr>
        <w:rPr>
          <w:lang w:val="en-US"/>
        </w:rPr>
      </w:pPr>
      <w:r w:rsidRPr="00617A5D">
        <w:rPr>
          <w:lang w:val="en-US"/>
        </w:rPr>
        <w:t>Title: Compositional resilience despite dynamical instability in stream fish communities following highway construction.</w:t>
      </w:r>
    </w:p>
    <w:p w14:paraId="451B82FF" w14:textId="77777777" w:rsidR="00617A5D" w:rsidRPr="00617A5D" w:rsidRDefault="00617A5D" w:rsidP="00617A5D">
      <w:pPr>
        <w:rPr>
          <w:lang w:val="en-US"/>
        </w:rPr>
      </w:pPr>
      <w:r w:rsidRPr="00617A5D">
        <w:rPr>
          <w:lang w:val="en-US"/>
        </w:rPr>
        <w:t>Overview</w:t>
      </w:r>
    </w:p>
    <w:p w14:paraId="18CA4EF2" w14:textId="4B7D4395" w:rsidR="00617A5D" w:rsidRDefault="00617A5D" w:rsidP="00617A5D">
      <w:pPr>
        <w:rPr>
          <w:lang w:val="en-US"/>
        </w:rPr>
      </w:pPr>
      <w:r w:rsidRPr="00617A5D">
        <w:rPr>
          <w:lang w:val="en-US"/>
        </w:rPr>
        <w:t>This appendix provides detailed species-level information to support the aggregate community stability and synchrony metrics presented in the main text. Given the low species richness typical of these headwater streams, these analyses clarify the individual population drivers of community-level patterns.</w:t>
      </w:r>
    </w:p>
    <w:p w14:paraId="066C0758" w14:textId="77777777" w:rsidR="00D45DF6" w:rsidRDefault="00617A5D" w:rsidP="00617A5D">
      <w:pPr>
        <w:rPr>
          <w:lang w:val="en-US"/>
        </w:rPr>
      </w:pPr>
      <w:r w:rsidRPr="00617A5D">
        <w:rPr>
          <w:lang w:val="en-US"/>
        </w:rPr>
        <w:t>Section 1: Species Dominance and Temporal Variability</w:t>
      </w:r>
    </w:p>
    <w:p w14:paraId="780EE4CD" w14:textId="5DA699AC" w:rsidR="00D45DF6" w:rsidRDefault="00617A5D" w:rsidP="00617A5D">
      <w:pPr>
        <w:rPr>
          <w:lang w:val="en-US"/>
        </w:rPr>
      </w:pPr>
      <w:r w:rsidRPr="00617A5D">
        <w:rPr>
          <w:lang w:val="en-US"/>
        </w:rPr>
        <w:t>As community stability (S</w:t>
      </w:r>
      <w:r w:rsidR="00153B20">
        <w:rPr>
          <w:lang w:val="en-US"/>
        </w:rPr>
        <w:t>tab</w:t>
      </w:r>
      <w:r w:rsidRPr="00617A5D">
        <w:rPr>
          <w:lang w:val="en-US"/>
        </w:rPr>
        <w:t>) is the ratio of mean abundance (</w:t>
      </w:r>
      <w:r w:rsidR="00D45DF6">
        <w:rPr>
          <w:rFonts w:ascii="Times New Roman" w:hAnsi="Times New Roman" w:cs="Times New Roman"/>
          <w:lang w:val="en-US"/>
        </w:rPr>
        <w:t>μ</w:t>
      </w:r>
      <w:r w:rsidRPr="00617A5D">
        <w:rPr>
          <w:lang w:val="en-US"/>
        </w:rPr>
        <w:t>) to standard deviation (</w:t>
      </w:r>
      <w:r w:rsidR="00D45DF6">
        <w:rPr>
          <w:rFonts w:ascii="Times New Roman" w:hAnsi="Times New Roman" w:cs="Times New Roman"/>
          <w:lang w:val="en-US"/>
        </w:rPr>
        <w:t>σ</w:t>
      </w:r>
      <w:r w:rsidRPr="00617A5D">
        <w:rPr>
          <w:lang w:val="en-US"/>
        </w:rPr>
        <w:t>) (S</w:t>
      </w:r>
      <w:r w:rsidR="00153B20">
        <w:rPr>
          <w:lang w:val="en-US"/>
        </w:rPr>
        <w:t>tab</w:t>
      </w:r>
      <w:r w:rsidRPr="00617A5D">
        <w:rPr>
          <w:lang w:val="en-US"/>
        </w:rPr>
        <w:t xml:space="preserve"> = </w:t>
      </w:r>
      <w:r w:rsidR="00D45DF6">
        <w:rPr>
          <w:rFonts w:ascii="Times New Roman" w:hAnsi="Times New Roman" w:cs="Times New Roman"/>
          <w:lang w:val="en-US"/>
        </w:rPr>
        <w:t>μ</w:t>
      </w:r>
      <w:r w:rsidRPr="00617A5D">
        <w:rPr>
          <w:lang w:val="en-US"/>
        </w:rPr>
        <w:t xml:space="preserve">/ </w:t>
      </w:r>
      <w:r w:rsidR="00D45DF6">
        <w:rPr>
          <w:rFonts w:ascii="Times New Roman" w:hAnsi="Times New Roman" w:cs="Times New Roman"/>
          <w:lang w:val="en-US"/>
        </w:rPr>
        <w:t>σ</w:t>
      </w:r>
      <w:r w:rsidRPr="00617A5D">
        <w:rPr>
          <w:lang w:val="en-US"/>
        </w:rPr>
        <w:t>), Table S1 quantifies these parameters for each species before and after the highway construction.</w:t>
      </w:r>
    </w:p>
    <w:p w14:paraId="0FFBA19E" w14:textId="3BF9C0C7" w:rsidR="00D45DF6" w:rsidRDefault="00D45DF6" w:rsidP="00D45DF6">
      <w:pPr>
        <w:rPr>
          <w:lang w:val="en-US"/>
        </w:rPr>
      </w:pPr>
      <w:r w:rsidRPr="00D45DF6">
        <w:rPr>
          <w:lang w:val="en-US"/>
        </w:rPr>
        <w:t xml:space="preserve">Table S1. Summary of species-specific abundance and variability. </w:t>
      </w:r>
      <w:r>
        <w:rPr>
          <w:lang w:val="en-US"/>
        </w:rPr>
        <w:t>M</w:t>
      </w:r>
      <w:r w:rsidRPr="008C1BBA">
        <w:rPr>
          <w:lang w:val="en-US"/>
        </w:rPr>
        <w:t>ean abundance (μ)</w:t>
      </w:r>
      <w:r>
        <w:rPr>
          <w:lang w:val="en-US"/>
        </w:rPr>
        <w:t xml:space="preserve">, </w:t>
      </w:r>
      <w:r w:rsidRPr="008E52D8">
        <w:rPr>
          <w:lang w:val="en-US"/>
        </w:rPr>
        <w:t>temporal variability (</w:t>
      </w:r>
      <w:r>
        <w:rPr>
          <w:rFonts w:ascii="Times New Roman" w:hAnsi="Times New Roman" w:cs="Times New Roman"/>
          <w:lang w:val="en-US"/>
        </w:rPr>
        <w:t>σ</w:t>
      </w:r>
      <w:r w:rsidRPr="008E52D8">
        <w:rPr>
          <w:lang w:val="en-US"/>
        </w:rPr>
        <w:t>)</w:t>
      </w:r>
      <w:r>
        <w:rPr>
          <w:lang w:val="en-US"/>
        </w:rPr>
        <w:t xml:space="preserve"> and </w:t>
      </w:r>
      <w:r w:rsidRPr="008E52D8">
        <w:rPr>
          <w:lang w:val="en-US"/>
        </w:rPr>
        <w:t>Coefficients of Variation (CV)</w:t>
      </w:r>
      <w:r>
        <w:rPr>
          <w:lang w:val="en-US"/>
        </w:rPr>
        <w:t xml:space="preserve"> by species and Period.</w:t>
      </w:r>
    </w:p>
    <w:tbl>
      <w:tblPr>
        <w:tblW w:w="8569" w:type="dxa"/>
        <w:tblCellMar>
          <w:left w:w="70" w:type="dxa"/>
          <w:right w:w="70" w:type="dxa"/>
        </w:tblCellMar>
        <w:tblLook w:val="04A0" w:firstRow="1" w:lastRow="0" w:firstColumn="1" w:lastColumn="0" w:noHBand="0" w:noVBand="1"/>
      </w:tblPr>
      <w:tblGrid>
        <w:gridCol w:w="4766"/>
        <w:gridCol w:w="729"/>
        <w:gridCol w:w="849"/>
        <w:gridCol w:w="752"/>
        <w:gridCol w:w="640"/>
        <w:gridCol w:w="833"/>
      </w:tblGrid>
      <w:tr w:rsidR="00D45DF6" w:rsidRPr="008F7BF8" w14:paraId="67ACD164" w14:textId="77777777" w:rsidTr="007F4D11">
        <w:trPr>
          <w:trHeight w:val="300"/>
        </w:trPr>
        <w:tc>
          <w:tcPr>
            <w:tcW w:w="4766" w:type="dxa"/>
            <w:tcBorders>
              <w:top w:val="single" w:sz="4" w:space="0" w:color="auto"/>
              <w:bottom w:val="single" w:sz="4" w:space="0" w:color="auto"/>
            </w:tcBorders>
            <w:vAlign w:val="bottom"/>
          </w:tcPr>
          <w:p w14:paraId="4373EC8F" w14:textId="77777777" w:rsidR="00D45DF6" w:rsidRDefault="00D45DF6" w:rsidP="007F4D1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S</w:t>
            </w:r>
            <w:r w:rsidRPr="008F7BF8">
              <w:rPr>
                <w:rFonts w:ascii="Calibri" w:eastAsia="Times New Roman" w:hAnsi="Calibri" w:cs="Calibri"/>
                <w:color w:val="000000"/>
                <w:kern w:val="0"/>
                <w:lang w:eastAsia="pt-BR"/>
                <w14:ligatures w14:val="none"/>
              </w:rPr>
              <w:t>pecies</w:t>
            </w:r>
          </w:p>
        </w:tc>
        <w:tc>
          <w:tcPr>
            <w:tcW w:w="729" w:type="dxa"/>
            <w:tcBorders>
              <w:top w:val="single" w:sz="4" w:space="0" w:color="auto"/>
              <w:bottom w:val="single" w:sz="4" w:space="0" w:color="auto"/>
            </w:tcBorders>
            <w:vAlign w:val="bottom"/>
          </w:tcPr>
          <w:p w14:paraId="514712B3"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code</w:t>
            </w:r>
          </w:p>
        </w:tc>
        <w:tc>
          <w:tcPr>
            <w:tcW w:w="849" w:type="dxa"/>
            <w:tcBorders>
              <w:top w:val="single" w:sz="4" w:space="0" w:color="auto"/>
              <w:bottom w:val="single" w:sz="4" w:space="0" w:color="auto"/>
            </w:tcBorders>
            <w:shd w:val="clear" w:color="auto" w:fill="auto"/>
            <w:noWrap/>
            <w:vAlign w:val="bottom"/>
            <w:hideMark/>
          </w:tcPr>
          <w:p w14:paraId="2EA53452"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Period</w:t>
            </w:r>
          </w:p>
        </w:tc>
        <w:tc>
          <w:tcPr>
            <w:tcW w:w="752" w:type="dxa"/>
            <w:tcBorders>
              <w:top w:val="single" w:sz="4" w:space="0" w:color="auto"/>
              <w:bottom w:val="single" w:sz="4" w:space="0" w:color="auto"/>
            </w:tcBorders>
            <w:shd w:val="clear" w:color="auto" w:fill="auto"/>
            <w:noWrap/>
            <w:vAlign w:val="bottom"/>
            <w:hideMark/>
          </w:tcPr>
          <w:p w14:paraId="12D4F8B8" w14:textId="77777777" w:rsidR="00D45DF6" w:rsidRPr="008F7BF8" w:rsidRDefault="00D45DF6" w:rsidP="007F4D11">
            <w:pPr>
              <w:spacing w:after="0" w:line="240" w:lineRule="auto"/>
              <w:jc w:val="center"/>
              <w:rPr>
                <w:rFonts w:ascii="Calibri" w:eastAsia="Times New Roman" w:hAnsi="Calibri" w:cs="Calibri"/>
                <w:color w:val="000000"/>
                <w:kern w:val="0"/>
                <w:lang w:eastAsia="pt-BR"/>
                <w14:ligatures w14:val="none"/>
              </w:rPr>
            </w:pPr>
            <w:r>
              <w:rPr>
                <w:rFonts w:ascii="Times New Roman" w:eastAsia="Times New Roman" w:hAnsi="Times New Roman" w:cs="Times New Roman"/>
                <w:color w:val="000000"/>
                <w:kern w:val="0"/>
                <w:lang w:eastAsia="pt-BR"/>
                <w14:ligatures w14:val="none"/>
              </w:rPr>
              <w:t>μ</w:t>
            </w:r>
          </w:p>
        </w:tc>
        <w:tc>
          <w:tcPr>
            <w:tcW w:w="640" w:type="dxa"/>
            <w:tcBorders>
              <w:top w:val="single" w:sz="4" w:space="0" w:color="auto"/>
              <w:bottom w:val="single" w:sz="4" w:space="0" w:color="auto"/>
            </w:tcBorders>
            <w:shd w:val="clear" w:color="auto" w:fill="auto"/>
            <w:noWrap/>
            <w:vAlign w:val="bottom"/>
            <w:hideMark/>
          </w:tcPr>
          <w:p w14:paraId="0F5676E6" w14:textId="77777777" w:rsidR="00D45DF6" w:rsidRPr="008F7BF8" w:rsidRDefault="00D45DF6" w:rsidP="007F4D11">
            <w:pPr>
              <w:spacing w:after="0" w:line="240" w:lineRule="auto"/>
              <w:jc w:val="center"/>
              <w:rPr>
                <w:rFonts w:ascii="Calibri" w:eastAsia="Times New Roman" w:hAnsi="Calibri" w:cs="Calibri"/>
                <w:color w:val="000000"/>
                <w:kern w:val="0"/>
                <w:lang w:eastAsia="pt-BR"/>
                <w14:ligatures w14:val="none"/>
              </w:rPr>
            </w:pPr>
            <w:r>
              <w:rPr>
                <w:rFonts w:ascii="Times New Roman" w:eastAsia="Times New Roman" w:hAnsi="Times New Roman" w:cs="Times New Roman"/>
                <w:color w:val="000000"/>
                <w:kern w:val="0"/>
                <w:lang w:eastAsia="pt-BR"/>
                <w14:ligatures w14:val="none"/>
              </w:rPr>
              <w:t>σ</w:t>
            </w:r>
          </w:p>
        </w:tc>
        <w:tc>
          <w:tcPr>
            <w:tcW w:w="833" w:type="dxa"/>
            <w:tcBorders>
              <w:top w:val="single" w:sz="4" w:space="0" w:color="auto"/>
              <w:bottom w:val="single" w:sz="4" w:space="0" w:color="auto"/>
            </w:tcBorders>
            <w:shd w:val="clear" w:color="auto" w:fill="auto"/>
            <w:noWrap/>
            <w:vAlign w:val="bottom"/>
            <w:hideMark/>
          </w:tcPr>
          <w:p w14:paraId="031C170C" w14:textId="77777777" w:rsidR="00D45DF6" w:rsidRPr="008F7BF8" w:rsidRDefault="00D45DF6" w:rsidP="007F4D11">
            <w:pPr>
              <w:spacing w:after="0" w:line="240" w:lineRule="auto"/>
              <w:jc w:val="center"/>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CV</w:t>
            </w:r>
            <w:r>
              <w:rPr>
                <w:rFonts w:ascii="Calibri" w:eastAsia="Times New Roman" w:hAnsi="Calibri" w:cs="Calibri"/>
                <w:color w:val="000000"/>
                <w:kern w:val="0"/>
                <w:lang w:eastAsia="pt-BR"/>
                <w14:ligatures w14:val="none"/>
              </w:rPr>
              <w:t xml:space="preserve"> (%)</w:t>
            </w:r>
          </w:p>
        </w:tc>
      </w:tr>
      <w:tr w:rsidR="00D45DF6" w:rsidRPr="008F7BF8" w14:paraId="51D2F9AA" w14:textId="77777777" w:rsidTr="007F4D11">
        <w:trPr>
          <w:trHeight w:val="300"/>
        </w:trPr>
        <w:tc>
          <w:tcPr>
            <w:tcW w:w="4766" w:type="dxa"/>
            <w:tcBorders>
              <w:top w:val="single" w:sz="4" w:space="0" w:color="auto"/>
            </w:tcBorders>
          </w:tcPr>
          <w:p w14:paraId="6BE9E5B6"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B116AA">
              <w:rPr>
                <w:i/>
                <w:iCs/>
                <w:lang w:val="en-US"/>
              </w:rPr>
              <w:t>Deuterodon janeiroensis</w:t>
            </w:r>
            <w:r w:rsidRPr="008F7BF8">
              <w:rPr>
                <w:lang w:val="en-US"/>
              </w:rPr>
              <w:t xml:space="preserve"> (Eigenmann, 1908)</w:t>
            </w:r>
          </w:p>
        </w:tc>
        <w:tc>
          <w:tcPr>
            <w:tcW w:w="729" w:type="dxa"/>
            <w:tcBorders>
              <w:top w:val="single" w:sz="4" w:space="0" w:color="auto"/>
            </w:tcBorders>
            <w:vAlign w:val="bottom"/>
          </w:tcPr>
          <w:p w14:paraId="071E55AE"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Djan</w:t>
            </w:r>
          </w:p>
        </w:tc>
        <w:tc>
          <w:tcPr>
            <w:tcW w:w="849" w:type="dxa"/>
            <w:tcBorders>
              <w:top w:val="single" w:sz="4" w:space="0" w:color="auto"/>
            </w:tcBorders>
            <w:shd w:val="clear" w:color="auto" w:fill="auto"/>
            <w:noWrap/>
            <w:vAlign w:val="bottom"/>
          </w:tcPr>
          <w:p w14:paraId="31C9B0AE"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Before</w:t>
            </w:r>
          </w:p>
        </w:tc>
        <w:tc>
          <w:tcPr>
            <w:tcW w:w="752" w:type="dxa"/>
            <w:tcBorders>
              <w:top w:val="single" w:sz="4" w:space="0" w:color="auto"/>
            </w:tcBorders>
            <w:shd w:val="clear" w:color="auto" w:fill="auto"/>
            <w:noWrap/>
            <w:vAlign w:val="bottom"/>
          </w:tcPr>
          <w:p w14:paraId="218BCD18"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0.75</w:t>
            </w:r>
          </w:p>
        </w:tc>
        <w:tc>
          <w:tcPr>
            <w:tcW w:w="640" w:type="dxa"/>
            <w:tcBorders>
              <w:top w:val="single" w:sz="4" w:space="0" w:color="auto"/>
            </w:tcBorders>
            <w:shd w:val="clear" w:color="auto" w:fill="auto"/>
            <w:noWrap/>
            <w:vAlign w:val="bottom"/>
          </w:tcPr>
          <w:p w14:paraId="0B47C8F2"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1.29</w:t>
            </w:r>
          </w:p>
        </w:tc>
        <w:tc>
          <w:tcPr>
            <w:tcW w:w="833" w:type="dxa"/>
            <w:tcBorders>
              <w:top w:val="single" w:sz="4" w:space="0" w:color="auto"/>
            </w:tcBorders>
            <w:shd w:val="clear" w:color="auto" w:fill="auto"/>
            <w:noWrap/>
            <w:vAlign w:val="bottom"/>
          </w:tcPr>
          <w:p w14:paraId="5BF49A5E"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172.1</w:t>
            </w:r>
          </w:p>
        </w:tc>
      </w:tr>
      <w:tr w:rsidR="00D45DF6" w:rsidRPr="008F7BF8" w14:paraId="4ED8FD9A" w14:textId="77777777" w:rsidTr="007F4D11">
        <w:trPr>
          <w:trHeight w:val="300"/>
        </w:trPr>
        <w:tc>
          <w:tcPr>
            <w:tcW w:w="4766" w:type="dxa"/>
          </w:tcPr>
          <w:p w14:paraId="25C0CFB8"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729" w:type="dxa"/>
            <w:vAlign w:val="bottom"/>
          </w:tcPr>
          <w:p w14:paraId="70ED7AF7"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849" w:type="dxa"/>
            <w:shd w:val="clear" w:color="auto" w:fill="auto"/>
            <w:noWrap/>
            <w:vAlign w:val="bottom"/>
          </w:tcPr>
          <w:p w14:paraId="61934D9D"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After</w:t>
            </w:r>
          </w:p>
        </w:tc>
        <w:tc>
          <w:tcPr>
            <w:tcW w:w="752" w:type="dxa"/>
            <w:shd w:val="clear" w:color="auto" w:fill="auto"/>
            <w:noWrap/>
            <w:vAlign w:val="bottom"/>
          </w:tcPr>
          <w:p w14:paraId="6B1571D9"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0.44</w:t>
            </w:r>
          </w:p>
        </w:tc>
        <w:tc>
          <w:tcPr>
            <w:tcW w:w="640" w:type="dxa"/>
            <w:shd w:val="clear" w:color="auto" w:fill="auto"/>
            <w:noWrap/>
            <w:vAlign w:val="bottom"/>
          </w:tcPr>
          <w:p w14:paraId="30BD8EAA"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1.56</w:t>
            </w:r>
          </w:p>
        </w:tc>
        <w:tc>
          <w:tcPr>
            <w:tcW w:w="833" w:type="dxa"/>
            <w:shd w:val="clear" w:color="auto" w:fill="auto"/>
            <w:noWrap/>
            <w:vAlign w:val="bottom"/>
          </w:tcPr>
          <w:p w14:paraId="7316DAE8"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357.6</w:t>
            </w:r>
          </w:p>
        </w:tc>
      </w:tr>
      <w:tr w:rsidR="00D45DF6" w:rsidRPr="008F7BF8" w14:paraId="1A98B80D" w14:textId="77777777" w:rsidTr="007F4D11">
        <w:trPr>
          <w:trHeight w:val="300"/>
        </w:trPr>
        <w:tc>
          <w:tcPr>
            <w:tcW w:w="4766" w:type="dxa"/>
            <w:vMerge w:val="restart"/>
          </w:tcPr>
          <w:p w14:paraId="7585D894"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B116AA">
              <w:rPr>
                <w:i/>
                <w:iCs/>
                <w:lang w:val="en-US"/>
              </w:rPr>
              <w:t>Hollandichthys multifasciatus</w:t>
            </w:r>
            <w:r w:rsidRPr="008F7BF8">
              <w:rPr>
                <w:lang w:val="en-US"/>
              </w:rPr>
              <w:t xml:space="preserve"> (Eigenmann &amp;Norris, 1900)</w:t>
            </w:r>
          </w:p>
        </w:tc>
        <w:tc>
          <w:tcPr>
            <w:tcW w:w="729" w:type="dxa"/>
            <w:vAlign w:val="bottom"/>
          </w:tcPr>
          <w:p w14:paraId="2AD2AB97"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Hmul</w:t>
            </w:r>
          </w:p>
        </w:tc>
        <w:tc>
          <w:tcPr>
            <w:tcW w:w="849" w:type="dxa"/>
            <w:shd w:val="clear" w:color="auto" w:fill="auto"/>
            <w:noWrap/>
            <w:vAlign w:val="bottom"/>
            <w:hideMark/>
          </w:tcPr>
          <w:p w14:paraId="6F0D8337"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Before</w:t>
            </w:r>
          </w:p>
        </w:tc>
        <w:tc>
          <w:tcPr>
            <w:tcW w:w="752" w:type="dxa"/>
            <w:shd w:val="clear" w:color="auto" w:fill="auto"/>
            <w:noWrap/>
            <w:vAlign w:val="bottom"/>
            <w:hideMark/>
          </w:tcPr>
          <w:p w14:paraId="746FBA21"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0.88</w:t>
            </w:r>
          </w:p>
        </w:tc>
        <w:tc>
          <w:tcPr>
            <w:tcW w:w="640" w:type="dxa"/>
            <w:shd w:val="clear" w:color="auto" w:fill="auto"/>
            <w:noWrap/>
            <w:vAlign w:val="bottom"/>
            <w:hideMark/>
          </w:tcPr>
          <w:p w14:paraId="7D448C94"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1.59</w:t>
            </w:r>
          </w:p>
        </w:tc>
        <w:tc>
          <w:tcPr>
            <w:tcW w:w="833" w:type="dxa"/>
            <w:shd w:val="clear" w:color="auto" w:fill="auto"/>
            <w:noWrap/>
            <w:vAlign w:val="bottom"/>
            <w:hideMark/>
          </w:tcPr>
          <w:p w14:paraId="49D20F10"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181.3</w:t>
            </w:r>
          </w:p>
        </w:tc>
      </w:tr>
      <w:tr w:rsidR="00D45DF6" w:rsidRPr="008F7BF8" w14:paraId="5D24B7CF" w14:textId="77777777" w:rsidTr="007F4D11">
        <w:trPr>
          <w:trHeight w:val="300"/>
        </w:trPr>
        <w:tc>
          <w:tcPr>
            <w:tcW w:w="4766" w:type="dxa"/>
            <w:vMerge/>
          </w:tcPr>
          <w:p w14:paraId="6FD97907"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729" w:type="dxa"/>
            <w:vAlign w:val="bottom"/>
          </w:tcPr>
          <w:p w14:paraId="0504E520"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849" w:type="dxa"/>
            <w:shd w:val="clear" w:color="auto" w:fill="auto"/>
            <w:noWrap/>
            <w:vAlign w:val="bottom"/>
            <w:hideMark/>
          </w:tcPr>
          <w:p w14:paraId="27D6BF8A"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After</w:t>
            </w:r>
          </w:p>
        </w:tc>
        <w:tc>
          <w:tcPr>
            <w:tcW w:w="752" w:type="dxa"/>
            <w:shd w:val="clear" w:color="auto" w:fill="auto"/>
            <w:noWrap/>
            <w:vAlign w:val="bottom"/>
            <w:hideMark/>
          </w:tcPr>
          <w:p w14:paraId="747ECC79"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0.72</w:t>
            </w:r>
          </w:p>
        </w:tc>
        <w:tc>
          <w:tcPr>
            <w:tcW w:w="640" w:type="dxa"/>
            <w:shd w:val="clear" w:color="auto" w:fill="auto"/>
            <w:noWrap/>
            <w:vAlign w:val="bottom"/>
            <w:hideMark/>
          </w:tcPr>
          <w:p w14:paraId="3F7738C4"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2.37</w:t>
            </w:r>
          </w:p>
        </w:tc>
        <w:tc>
          <w:tcPr>
            <w:tcW w:w="833" w:type="dxa"/>
            <w:shd w:val="clear" w:color="auto" w:fill="auto"/>
            <w:noWrap/>
            <w:vAlign w:val="bottom"/>
            <w:hideMark/>
          </w:tcPr>
          <w:p w14:paraId="5BC985F4"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330.1</w:t>
            </w:r>
          </w:p>
        </w:tc>
      </w:tr>
      <w:tr w:rsidR="00D45DF6" w:rsidRPr="008F7BF8" w14:paraId="69C0E28F" w14:textId="77777777" w:rsidTr="007F4D11">
        <w:trPr>
          <w:trHeight w:val="300"/>
        </w:trPr>
        <w:tc>
          <w:tcPr>
            <w:tcW w:w="4766" w:type="dxa"/>
          </w:tcPr>
          <w:p w14:paraId="64AC55B1" w14:textId="71A2EDA6"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B116AA">
              <w:rPr>
                <w:i/>
                <w:iCs/>
                <w:lang w:val="en-US"/>
              </w:rPr>
              <w:t>Hoplias malabaricus</w:t>
            </w:r>
            <w:r w:rsidRPr="008F7BF8">
              <w:rPr>
                <w:lang w:val="en-US"/>
              </w:rPr>
              <w:t xml:space="preserve"> (</w:t>
            </w:r>
            <w:r w:rsidR="00AE0471" w:rsidRPr="00AE0471">
              <w:rPr>
                <w:lang w:val="en-US"/>
              </w:rPr>
              <w:t>Bloch</w:t>
            </w:r>
            <w:r w:rsidR="00AE0471">
              <w:rPr>
                <w:lang w:val="en-US"/>
              </w:rPr>
              <w:t>,</w:t>
            </w:r>
            <w:r w:rsidR="00AE0471" w:rsidRPr="00AE0471">
              <w:rPr>
                <w:lang w:val="en-US"/>
              </w:rPr>
              <w:t xml:space="preserve"> 1794</w:t>
            </w:r>
            <w:r w:rsidRPr="008F7BF8">
              <w:rPr>
                <w:lang w:val="en-US"/>
              </w:rPr>
              <w:t>)</w:t>
            </w:r>
          </w:p>
        </w:tc>
        <w:tc>
          <w:tcPr>
            <w:tcW w:w="729" w:type="dxa"/>
            <w:vAlign w:val="bottom"/>
          </w:tcPr>
          <w:p w14:paraId="42604ACE"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Hmal</w:t>
            </w:r>
          </w:p>
        </w:tc>
        <w:tc>
          <w:tcPr>
            <w:tcW w:w="849" w:type="dxa"/>
            <w:shd w:val="clear" w:color="auto" w:fill="auto"/>
            <w:noWrap/>
            <w:vAlign w:val="bottom"/>
            <w:hideMark/>
          </w:tcPr>
          <w:p w14:paraId="0322A312"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Before</w:t>
            </w:r>
          </w:p>
        </w:tc>
        <w:tc>
          <w:tcPr>
            <w:tcW w:w="752" w:type="dxa"/>
            <w:shd w:val="clear" w:color="auto" w:fill="auto"/>
            <w:noWrap/>
            <w:vAlign w:val="bottom"/>
            <w:hideMark/>
          </w:tcPr>
          <w:p w14:paraId="62D6A208"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0.31</w:t>
            </w:r>
          </w:p>
        </w:tc>
        <w:tc>
          <w:tcPr>
            <w:tcW w:w="640" w:type="dxa"/>
            <w:shd w:val="clear" w:color="auto" w:fill="auto"/>
            <w:noWrap/>
            <w:vAlign w:val="bottom"/>
            <w:hideMark/>
          </w:tcPr>
          <w:p w14:paraId="5F130B76"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0.7</w:t>
            </w:r>
          </w:p>
        </w:tc>
        <w:tc>
          <w:tcPr>
            <w:tcW w:w="833" w:type="dxa"/>
            <w:shd w:val="clear" w:color="auto" w:fill="auto"/>
            <w:noWrap/>
            <w:vAlign w:val="bottom"/>
            <w:hideMark/>
          </w:tcPr>
          <w:p w14:paraId="78AB96B0"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225.3</w:t>
            </w:r>
          </w:p>
        </w:tc>
      </w:tr>
      <w:tr w:rsidR="00D45DF6" w:rsidRPr="008F7BF8" w14:paraId="2415DD22" w14:textId="77777777" w:rsidTr="007F4D11">
        <w:trPr>
          <w:trHeight w:val="300"/>
        </w:trPr>
        <w:tc>
          <w:tcPr>
            <w:tcW w:w="4766" w:type="dxa"/>
          </w:tcPr>
          <w:p w14:paraId="27C07545"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729" w:type="dxa"/>
            <w:vAlign w:val="bottom"/>
          </w:tcPr>
          <w:p w14:paraId="1D5FB26F"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849" w:type="dxa"/>
            <w:shd w:val="clear" w:color="auto" w:fill="auto"/>
            <w:noWrap/>
            <w:vAlign w:val="bottom"/>
            <w:hideMark/>
          </w:tcPr>
          <w:p w14:paraId="7B4D020B"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After</w:t>
            </w:r>
          </w:p>
        </w:tc>
        <w:tc>
          <w:tcPr>
            <w:tcW w:w="752" w:type="dxa"/>
            <w:shd w:val="clear" w:color="auto" w:fill="auto"/>
            <w:noWrap/>
            <w:vAlign w:val="bottom"/>
            <w:hideMark/>
          </w:tcPr>
          <w:p w14:paraId="54546944"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0.06</w:t>
            </w:r>
          </w:p>
        </w:tc>
        <w:tc>
          <w:tcPr>
            <w:tcW w:w="640" w:type="dxa"/>
            <w:shd w:val="clear" w:color="auto" w:fill="auto"/>
            <w:noWrap/>
            <w:vAlign w:val="bottom"/>
            <w:hideMark/>
          </w:tcPr>
          <w:p w14:paraId="4557268D"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0.25</w:t>
            </w:r>
          </w:p>
        </w:tc>
        <w:tc>
          <w:tcPr>
            <w:tcW w:w="833" w:type="dxa"/>
            <w:shd w:val="clear" w:color="auto" w:fill="auto"/>
            <w:noWrap/>
            <w:vAlign w:val="bottom"/>
            <w:hideMark/>
          </w:tcPr>
          <w:p w14:paraId="3B6EC8B0"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393.5</w:t>
            </w:r>
          </w:p>
        </w:tc>
      </w:tr>
      <w:tr w:rsidR="00D45DF6" w:rsidRPr="008F7BF8" w14:paraId="2F096212" w14:textId="77777777" w:rsidTr="007F4D11">
        <w:trPr>
          <w:trHeight w:val="300"/>
        </w:trPr>
        <w:tc>
          <w:tcPr>
            <w:tcW w:w="4766" w:type="dxa"/>
          </w:tcPr>
          <w:p w14:paraId="75D128FB"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B116AA">
              <w:rPr>
                <w:i/>
                <w:iCs/>
                <w:lang w:val="en-US"/>
              </w:rPr>
              <w:t>Scleromystax barbatus</w:t>
            </w:r>
            <w:r w:rsidRPr="008F7BF8">
              <w:rPr>
                <w:lang w:val="en-US"/>
              </w:rPr>
              <w:t xml:space="preserve"> (Quoy &amp; Gaimard, 1824)</w:t>
            </w:r>
          </w:p>
        </w:tc>
        <w:tc>
          <w:tcPr>
            <w:tcW w:w="729" w:type="dxa"/>
            <w:vAlign w:val="bottom"/>
          </w:tcPr>
          <w:p w14:paraId="741E17E5"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Sbar</w:t>
            </w:r>
          </w:p>
        </w:tc>
        <w:tc>
          <w:tcPr>
            <w:tcW w:w="849" w:type="dxa"/>
            <w:shd w:val="clear" w:color="auto" w:fill="auto"/>
            <w:noWrap/>
            <w:vAlign w:val="bottom"/>
            <w:hideMark/>
          </w:tcPr>
          <w:p w14:paraId="4187AFFE"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Before</w:t>
            </w:r>
          </w:p>
        </w:tc>
        <w:tc>
          <w:tcPr>
            <w:tcW w:w="752" w:type="dxa"/>
            <w:shd w:val="clear" w:color="auto" w:fill="auto"/>
            <w:noWrap/>
            <w:vAlign w:val="bottom"/>
            <w:hideMark/>
          </w:tcPr>
          <w:p w14:paraId="0D776A3C"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1.25</w:t>
            </w:r>
          </w:p>
        </w:tc>
        <w:tc>
          <w:tcPr>
            <w:tcW w:w="640" w:type="dxa"/>
            <w:shd w:val="clear" w:color="auto" w:fill="auto"/>
            <w:noWrap/>
            <w:vAlign w:val="bottom"/>
            <w:hideMark/>
          </w:tcPr>
          <w:p w14:paraId="393333CC"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1.61</w:t>
            </w:r>
          </w:p>
        </w:tc>
        <w:tc>
          <w:tcPr>
            <w:tcW w:w="833" w:type="dxa"/>
            <w:shd w:val="clear" w:color="auto" w:fill="auto"/>
            <w:noWrap/>
            <w:vAlign w:val="bottom"/>
            <w:hideMark/>
          </w:tcPr>
          <w:p w14:paraId="7C56F531"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129</w:t>
            </w:r>
            <w:r>
              <w:rPr>
                <w:rFonts w:ascii="Calibri" w:eastAsia="Times New Roman" w:hAnsi="Calibri" w:cs="Calibri"/>
                <w:color w:val="000000"/>
                <w:kern w:val="0"/>
                <w:lang w:eastAsia="pt-BR"/>
                <w14:ligatures w14:val="none"/>
              </w:rPr>
              <w:t>.0</w:t>
            </w:r>
          </w:p>
        </w:tc>
      </w:tr>
      <w:tr w:rsidR="00D45DF6" w:rsidRPr="008F7BF8" w14:paraId="3C14852F" w14:textId="77777777" w:rsidTr="007F4D11">
        <w:trPr>
          <w:trHeight w:val="300"/>
        </w:trPr>
        <w:tc>
          <w:tcPr>
            <w:tcW w:w="4766" w:type="dxa"/>
          </w:tcPr>
          <w:p w14:paraId="16041D64"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729" w:type="dxa"/>
            <w:vAlign w:val="bottom"/>
          </w:tcPr>
          <w:p w14:paraId="36E8386E"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849" w:type="dxa"/>
            <w:shd w:val="clear" w:color="auto" w:fill="auto"/>
            <w:noWrap/>
            <w:vAlign w:val="bottom"/>
            <w:hideMark/>
          </w:tcPr>
          <w:p w14:paraId="05C9A929"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After</w:t>
            </w:r>
          </w:p>
        </w:tc>
        <w:tc>
          <w:tcPr>
            <w:tcW w:w="752" w:type="dxa"/>
            <w:shd w:val="clear" w:color="auto" w:fill="auto"/>
            <w:noWrap/>
            <w:vAlign w:val="bottom"/>
            <w:hideMark/>
          </w:tcPr>
          <w:p w14:paraId="246B2B2A"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0.47</w:t>
            </w:r>
          </w:p>
        </w:tc>
        <w:tc>
          <w:tcPr>
            <w:tcW w:w="640" w:type="dxa"/>
            <w:shd w:val="clear" w:color="auto" w:fill="auto"/>
            <w:noWrap/>
            <w:vAlign w:val="bottom"/>
            <w:hideMark/>
          </w:tcPr>
          <w:p w14:paraId="3E63B69C"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1.08</w:t>
            </w:r>
          </w:p>
        </w:tc>
        <w:tc>
          <w:tcPr>
            <w:tcW w:w="833" w:type="dxa"/>
            <w:shd w:val="clear" w:color="auto" w:fill="auto"/>
            <w:noWrap/>
            <w:vAlign w:val="bottom"/>
            <w:hideMark/>
          </w:tcPr>
          <w:p w14:paraId="12615C09"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229.8</w:t>
            </w:r>
          </w:p>
        </w:tc>
      </w:tr>
      <w:tr w:rsidR="00D45DF6" w:rsidRPr="008F7BF8" w14:paraId="45784EF5" w14:textId="77777777" w:rsidTr="007F4D11">
        <w:trPr>
          <w:trHeight w:val="300"/>
        </w:trPr>
        <w:tc>
          <w:tcPr>
            <w:tcW w:w="4766" w:type="dxa"/>
          </w:tcPr>
          <w:p w14:paraId="7A463396"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B116AA">
              <w:rPr>
                <w:i/>
                <w:iCs/>
                <w:lang w:val="en-US"/>
              </w:rPr>
              <w:t>Rhamdia</w:t>
            </w:r>
            <w:r w:rsidRPr="008F7BF8">
              <w:rPr>
                <w:lang w:val="en-US"/>
              </w:rPr>
              <w:t xml:space="preserve"> aff. </w:t>
            </w:r>
            <w:r w:rsidRPr="00B116AA">
              <w:rPr>
                <w:i/>
                <w:iCs/>
                <w:lang w:val="en-US"/>
              </w:rPr>
              <w:t>quelen</w:t>
            </w:r>
            <w:r w:rsidRPr="008F7BF8">
              <w:rPr>
                <w:lang w:val="en-US"/>
              </w:rPr>
              <w:t xml:space="preserve"> (Quoy &amp; Gaimard, 1824)</w:t>
            </w:r>
          </w:p>
        </w:tc>
        <w:tc>
          <w:tcPr>
            <w:tcW w:w="729" w:type="dxa"/>
            <w:vAlign w:val="bottom"/>
          </w:tcPr>
          <w:p w14:paraId="723607B0"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Rque</w:t>
            </w:r>
          </w:p>
        </w:tc>
        <w:tc>
          <w:tcPr>
            <w:tcW w:w="849" w:type="dxa"/>
            <w:shd w:val="clear" w:color="auto" w:fill="auto"/>
            <w:noWrap/>
            <w:vAlign w:val="bottom"/>
            <w:hideMark/>
          </w:tcPr>
          <w:p w14:paraId="1DD1D111"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Before</w:t>
            </w:r>
          </w:p>
        </w:tc>
        <w:tc>
          <w:tcPr>
            <w:tcW w:w="752" w:type="dxa"/>
            <w:shd w:val="clear" w:color="auto" w:fill="auto"/>
            <w:noWrap/>
            <w:vAlign w:val="bottom"/>
            <w:hideMark/>
          </w:tcPr>
          <w:p w14:paraId="154E42D5"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0.88</w:t>
            </w:r>
          </w:p>
        </w:tc>
        <w:tc>
          <w:tcPr>
            <w:tcW w:w="640" w:type="dxa"/>
            <w:shd w:val="clear" w:color="auto" w:fill="auto"/>
            <w:noWrap/>
            <w:vAlign w:val="bottom"/>
            <w:hideMark/>
          </w:tcPr>
          <w:p w14:paraId="7666AE0E"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0.89</w:t>
            </w:r>
          </w:p>
        </w:tc>
        <w:tc>
          <w:tcPr>
            <w:tcW w:w="833" w:type="dxa"/>
            <w:shd w:val="clear" w:color="auto" w:fill="auto"/>
            <w:noWrap/>
            <w:vAlign w:val="bottom"/>
            <w:hideMark/>
          </w:tcPr>
          <w:p w14:paraId="5C3056A1"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101.1</w:t>
            </w:r>
          </w:p>
        </w:tc>
      </w:tr>
      <w:tr w:rsidR="00D45DF6" w:rsidRPr="008F7BF8" w14:paraId="50ACB726" w14:textId="77777777" w:rsidTr="007F4D11">
        <w:trPr>
          <w:trHeight w:val="300"/>
        </w:trPr>
        <w:tc>
          <w:tcPr>
            <w:tcW w:w="4766" w:type="dxa"/>
          </w:tcPr>
          <w:p w14:paraId="3379D922"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729" w:type="dxa"/>
            <w:vAlign w:val="bottom"/>
          </w:tcPr>
          <w:p w14:paraId="648BB5CE"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849" w:type="dxa"/>
            <w:shd w:val="clear" w:color="auto" w:fill="auto"/>
            <w:noWrap/>
            <w:vAlign w:val="bottom"/>
            <w:hideMark/>
          </w:tcPr>
          <w:p w14:paraId="5ECA927A"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After</w:t>
            </w:r>
          </w:p>
        </w:tc>
        <w:tc>
          <w:tcPr>
            <w:tcW w:w="752" w:type="dxa"/>
            <w:shd w:val="clear" w:color="auto" w:fill="auto"/>
            <w:noWrap/>
            <w:vAlign w:val="bottom"/>
            <w:hideMark/>
          </w:tcPr>
          <w:p w14:paraId="1C6228B7"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0.31</w:t>
            </w:r>
          </w:p>
        </w:tc>
        <w:tc>
          <w:tcPr>
            <w:tcW w:w="640" w:type="dxa"/>
            <w:shd w:val="clear" w:color="auto" w:fill="auto"/>
            <w:noWrap/>
            <w:vAlign w:val="bottom"/>
            <w:hideMark/>
          </w:tcPr>
          <w:p w14:paraId="7CC0B883"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0.78</w:t>
            </w:r>
          </w:p>
        </w:tc>
        <w:tc>
          <w:tcPr>
            <w:tcW w:w="833" w:type="dxa"/>
            <w:shd w:val="clear" w:color="auto" w:fill="auto"/>
            <w:noWrap/>
            <w:vAlign w:val="bottom"/>
            <w:hideMark/>
          </w:tcPr>
          <w:p w14:paraId="08737719"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249.7</w:t>
            </w:r>
          </w:p>
        </w:tc>
      </w:tr>
      <w:tr w:rsidR="00D45DF6" w:rsidRPr="008F7BF8" w14:paraId="7800014A" w14:textId="77777777" w:rsidTr="007F4D11">
        <w:trPr>
          <w:trHeight w:val="300"/>
        </w:trPr>
        <w:tc>
          <w:tcPr>
            <w:tcW w:w="4766" w:type="dxa"/>
          </w:tcPr>
          <w:p w14:paraId="0CFB0812"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EB31D1">
              <w:rPr>
                <w:i/>
                <w:iCs/>
                <w:lang w:val="en-US"/>
              </w:rPr>
              <w:t>Pseudotothyris obtusa</w:t>
            </w:r>
            <w:r w:rsidRPr="008F7BF8">
              <w:rPr>
                <w:lang w:val="en-US"/>
              </w:rPr>
              <w:t xml:space="preserve"> (Miranda Ribeiro, 1911)</w:t>
            </w:r>
          </w:p>
        </w:tc>
        <w:tc>
          <w:tcPr>
            <w:tcW w:w="729" w:type="dxa"/>
            <w:vAlign w:val="bottom"/>
          </w:tcPr>
          <w:p w14:paraId="15715729"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Pobt</w:t>
            </w:r>
          </w:p>
        </w:tc>
        <w:tc>
          <w:tcPr>
            <w:tcW w:w="849" w:type="dxa"/>
            <w:shd w:val="clear" w:color="auto" w:fill="auto"/>
            <w:noWrap/>
            <w:vAlign w:val="bottom"/>
            <w:hideMark/>
          </w:tcPr>
          <w:p w14:paraId="38297159"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Before</w:t>
            </w:r>
          </w:p>
        </w:tc>
        <w:tc>
          <w:tcPr>
            <w:tcW w:w="752" w:type="dxa"/>
            <w:shd w:val="clear" w:color="auto" w:fill="auto"/>
            <w:noWrap/>
            <w:vAlign w:val="bottom"/>
            <w:hideMark/>
          </w:tcPr>
          <w:p w14:paraId="28EE38AD"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0.81</w:t>
            </w:r>
          </w:p>
        </w:tc>
        <w:tc>
          <w:tcPr>
            <w:tcW w:w="640" w:type="dxa"/>
            <w:shd w:val="clear" w:color="auto" w:fill="auto"/>
            <w:noWrap/>
            <w:vAlign w:val="bottom"/>
            <w:hideMark/>
          </w:tcPr>
          <w:p w14:paraId="56011A6A"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1.11</w:t>
            </w:r>
          </w:p>
        </w:tc>
        <w:tc>
          <w:tcPr>
            <w:tcW w:w="833" w:type="dxa"/>
            <w:shd w:val="clear" w:color="auto" w:fill="auto"/>
            <w:noWrap/>
            <w:vAlign w:val="bottom"/>
            <w:hideMark/>
          </w:tcPr>
          <w:p w14:paraId="035F3EFC"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136.5</w:t>
            </w:r>
          </w:p>
        </w:tc>
      </w:tr>
      <w:tr w:rsidR="00D45DF6" w:rsidRPr="008F7BF8" w14:paraId="2F812CD4" w14:textId="77777777" w:rsidTr="007F4D11">
        <w:trPr>
          <w:trHeight w:val="300"/>
        </w:trPr>
        <w:tc>
          <w:tcPr>
            <w:tcW w:w="4766" w:type="dxa"/>
          </w:tcPr>
          <w:p w14:paraId="333E797B"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729" w:type="dxa"/>
            <w:vAlign w:val="bottom"/>
          </w:tcPr>
          <w:p w14:paraId="7EC7386D"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849" w:type="dxa"/>
            <w:shd w:val="clear" w:color="auto" w:fill="auto"/>
            <w:noWrap/>
            <w:vAlign w:val="bottom"/>
            <w:hideMark/>
          </w:tcPr>
          <w:p w14:paraId="3BCC9825"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After</w:t>
            </w:r>
          </w:p>
        </w:tc>
        <w:tc>
          <w:tcPr>
            <w:tcW w:w="752" w:type="dxa"/>
            <w:shd w:val="clear" w:color="auto" w:fill="auto"/>
            <w:noWrap/>
            <w:vAlign w:val="bottom"/>
            <w:hideMark/>
          </w:tcPr>
          <w:p w14:paraId="32F5A8AC"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0.06</w:t>
            </w:r>
          </w:p>
        </w:tc>
        <w:tc>
          <w:tcPr>
            <w:tcW w:w="640" w:type="dxa"/>
            <w:shd w:val="clear" w:color="auto" w:fill="auto"/>
            <w:noWrap/>
            <w:vAlign w:val="bottom"/>
            <w:hideMark/>
          </w:tcPr>
          <w:p w14:paraId="1554912C"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0.25</w:t>
            </w:r>
          </w:p>
        </w:tc>
        <w:tc>
          <w:tcPr>
            <w:tcW w:w="833" w:type="dxa"/>
            <w:shd w:val="clear" w:color="auto" w:fill="auto"/>
            <w:noWrap/>
            <w:vAlign w:val="bottom"/>
            <w:hideMark/>
          </w:tcPr>
          <w:p w14:paraId="685211C9"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393.5</w:t>
            </w:r>
          </w:p>
        </w:tc>
      </w:tr>
      <w:tr w:rsidR="00D45DF6" w:rsidRPr="008F7BF8" w14:paraId="08E8FE4E" w14:textId="77777777" w:rsidTr="007F4D11">
        <w:trPr>
          <w:trHeight w:val="300"/>
        </w:trPr>
        <w:tc>
          <w:tcPr>
            <w:tcW w:w="4766" w:type="dxa"/>
          </w:tcPr>
          <w:p w14:paraId="09A18E92"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EB31D1">
              <w:rPr>
                <w:i/>
                <w:iCs/>
                <w:lang w:val="en-US"/>
              </w:rPr>
              <w:t>Isbrueckerichthys duseni</w:t>
            </w:r>
            <w:r w:rsidRPr="008F7BF8">
              <w:rPr>
                <w:lang w:val="en-US"/>
              </w:rPr>
              <w:t xml:space="preserve"> (Miranda Ribeiro, 1907)</w:t>
            </w:r>
          </w:p>
        </w:tc>
        <w:tc>
          <w:tcPr>
            <w:tcW w:w="729" w:type="dxa"/>
            <w:vAlign w:val="bottom"/>
          </w:tcPr>
          <w:p w14:paraId="15E72A71"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Idus</w:t>
            </w:r>
          </w:p>
        </w:tc>
        <w:tc>
          <w:tcPr>
            <w:tcW w:w="849" w:type="dxa"/>
            <w:shd w:val="clear" w:color="auto" w:fill="auto"/>
            <w:noWrap/>
            <w:vAlign w:val="bottom"/>
            <w:hideMark/>
          </w:tcPr>
          <w:p w14:paraId="6053FBC1"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Before</w:t>
            </w:r>
          </w:p>
        </w:tc>
        <w:tc>
          <w:tcPr>
            <w:tcW w:w="752" w:type="dxa"/>
            <w:shd w:val="clear" w:color="auto" w:fill="auto"/>
            <w:noWrap/>
            <w:vAlign w:val="bottom"/>
            <w:hideMark/>
          </w:tcPr>
          <w:p w14:paraId="10EDF8A1"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1.88</w:t>
            </w:r>
          </w:p>
        </w:tc>
        <w:tc>
          <w:tcPr>
            <w:tcW w:w="640" w:type="dxa"/>
            <w:shd w:val="clear" w:color="auto" w:fill="auto"/>
            <w:noWrap/>
            <w:vAlign w:val="bottom"/>
            <w:hideMark/>
          </w:tcPr>
          <w:p w14:paraId="1467DFFA"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2.19</w:t>
            </w:r>
          </w:p>
        </w:tc>
        <w:tc>
          <w:tcPr>
            <w:tcW w:w="833" w:type="dxa"/>
            <w:shd w:val="clear" w:color="auto" w:fill="auto"/>
            <w:noWrap/>
            <w:vAlign w:val="bottom"/>
            <w:hideMark/>
          </w:tcPr>
          <w:p w14:paraId="70084918"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116.6</w:t>
            </w:r>
          </w:p>
        </w:tc>
      </w:tr>
      <w:tr w:rsidR="00D45DF6" w:rsidRPr="008F7BF8" w14:paraId="06892860" w14:textId="77777777" w:rsidTr="007F4D11">
        <w:trPr>
          <w:trHeight w:val="300"/>
        </w:trPr>
        <w:tc>
          <w:tcPr>
            <w:tcW w:w="4766" w:type="dxa"/>
          </w:tcPr>
          <w:p w14:paraId="6D70AF0E"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729" w:type="dxa"/>
            <w:vAlign w:val="bottom"/>
          </w:tcPr>
          <w:p w14:paraId="16F8992F"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849" w:type="dxa"/>
            <w:shd w:val="clear" w:color="auto" w:fill="auto"/>
            <w:noWrap/>
            <w:vAlign w:val="bottom"/>
            <w:hideMark/>
          </w:tcPr>
          <w:p w14:paraId="5A196588"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After</w:t>
            </w:r>
          </w:p>
        </w:tc>
        <w:tc>
          <w:tcPr>
            <w:tcW w:w="752" w:type="dxa"/>
            <w:shd w:val="clear" w:color="auto" w:fill="auto"/>
            <w:noWrap/>
            <w:vAlign w:val="bottom"/>
            <w:hideMark/>
          </w:tcPr>
          <w:p w14:paraId="1B58FADC"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1.38</w:t>
            </w:r>
          </w:p>
        </w:tc>
        <w:tc>
          <w:tcPr>
            <w:tcW w:w="640" w:type="dxa"/>
            <w:shd w:val="clear" w:color="auto" w:fill="auto"/>
            <w:noWrap/>
            <w:vAlign w:val="bottom"/>
            <w:hideMark/>
          </w:tcPr>
          <w:p w14:paraId="3F9C8557"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3.27</w:t>
            </w:r>
          </w:p>
        </w:tc>
        <w:tc>
          <w:tcPr>
            <w:tcW w:w="833" w:type="dxa"/>
            <w:shd w:val="clear" w:color="auto" w:fill="auto"/>
            <w:noWrap/>
            <w:vAlign w:val="bottom"/>
            <w:hideMark/>
          </w:tcPr>
          <w:p w14:paraId="72B43604"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237.8</w:t>
            </w:r>
          </w:p>
        </w:tc>
      </w:tr>
      <w:tr w:rsidR="00D45DF6" w:rsidRPr="008F7BF8" w14:paraId="21F869E7" w14:textId="77777777" w:rsidTr="007F4D11">
        <w:trPr>
          <w:trHeight w:val="300"/>
        </w:trPr>
        <w:tc>
          <w:tcPr>
            <w:tcW w:w="4766" w:type="dxa"/>
          </w:tcPr>
          <w:p w14:paraId="56DE9429"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EB31D1">
              <w:rPr>
                <w:i/>
                <w:iCs/>
                <w:lang w:val="en-US"/>
              </w:rPr>
              <w:t>Cambeva zonata</w:t>
            </w:r>
            <w:r w:rsidRPr="008F7BF8">
              <w:rPr>
                <w:lang w:val="en-US"/>
              </w:rPr>
              <w:t xml:space="preserve"> (Eigenmann, 1918)</w:t>
            </w:r>
          </w:p>
        </w:tc>
        <w:tc>
          <w:tcPr>
            <w:tcW w:w="729" w:type="dxa"/>
            <w:vAlign w:val="bottom"/>
          </w:tcPr>
          <w:p w14:paraId="33E6C5F5"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Czon</w:t>
            </w:r>
          </w:p>
        </w:tc>
        <w:tc>
          <w:tcPr>
            <w:tcW w:w="849" w:type="dxa"/>
            <w:shd w:val="clear" w:color="auto" w:fill="auto"/>
            <w:noWrap/>
            <w:vAlign w:val="bottom"/>
            <w:hideMark/>
          </w:tcPr>
          <w:p w14:paraId="37451269"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Before</w:t>
            </w:r>
          </w:p>
        </w:tc>
        <w:tc>
          <w:tcPr>
            <w:tcW w:w="752" w:type="dxa"/>
            <w:shd w:val="clear" w:color="auto" w:fill="auto"/>
            <w:noWrap/>
            <w:vAlign w:val="bottom"/>
            <w:hideMark/>
          </w:tcPr>
          <w:p w14:paraId="6FE007C7"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0.88</w:t>
            </w:r>
          </w:p>
        </w:tc>
        <w:tc>
          <w:tcPr>
            <w:tcW w:w="640" w:type="dxa"/>
            <w:shd w:val="clear" w:color="auto" w:fill="auto"/>
            <w:noWrap/>
            <w:vAlign w:val="bottom"/>
            <w:hideMark/>
          </w:tcPr>
          <w:p w14:paraId="009761FF"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0.81</w:t>
            </w:r>
          </w:p>
        </w:tc>
        <w:tc>
          <w:tcPr>
            <w:tcW w:w="833" w:type="dxa"/>
            <w:shd w:val="clear" w:color="auto" w:fill="auto"/>
            <w:noWrap/>
            <w:vAlign w:val="bottom"/>
            <w:hideMark/>
          </w:tcPr>
          <w:p w14:paraId="4A971B20"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92.1</w:t>
            </w:r>
          </w:p>
        </w:tc>
      </w:tr>
      <w:tr w:rsidR="00D45DF6" w:rsidRPr="008F7BF8" w14:paraId="51870DA4" w14:textId="77777777" w:rsidTr="007F4D11">
        <w:trPr>
          <w:trHeight w:val="300"/>
        </w:trPr>
        <w:tc>
          <w:tcPr>
            <w:tcW w:w="4766" w:type="dxa"/>
          </w:tcPr>
          <w:p w14:paraId="5203889A"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729" w:type="dxa"/>
            <w:vAlign w:val="bottom"/>
          </w:tcPr>
          <w:p w14:paraId="6C9C52EF"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849" w:type="dxa"/>
            <w:shd w:val="clear" w:color="auto" w:fill="auto"/>
            <w:noWrap/>
            <w:vAlign w:val="bottom"/>
            <w:hideMark/>
          </w:tcPr>
          <w:p w14:paraId="4426969B"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After</w:t>
            </w:r>
          </w:p>
        </w:tc>
        <w:tc>
          <w:tcPr>
            <w:tcW w:w="752" w:type="dxa"/>
            <w:shd w:val="clear" w:color="auto" w:fill="auto"/>
            <w:noWrap/>
            <w:vAlign w:val="bottom"/>
            <w:hideMark/>
          </w:tcPr>
          <w:p w14:paraId="176C94D9"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3.25</w:t>
            </w:r>
          </w:p>
        </w:tc>
        <w:tc>
          <w:tcPr>
            <w:tcW w:w="640" w:type="dxa"/>
            <w:shd w:val="clear" w:color="auto" w:fill="auto"/>
            <w:noWrap/>
            <w:vAlign w:val="bottom"/>
            <w:hideMark/>
          </w:tcPr>
          <w:p w14:paraId="3B9708D2"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3.92</w:t>
            </w:r>
          </w:p>
        </w:tc>
        <w:tc>
          <w:tcPr>
            <w:tcW w:w="833" w:type="dxa"/>
            <w:shd w:val="clear" w:color="auto" w:fill="auto"/>
            <w:noWrap/>
            <w:vAlign w:val="bottom"/>
            <w:hideMark/>
          </w:tcPr>
          <w:p w14:paraId="2C3A3EC6"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120.6</w:t>
            </w:r>
          </w:p>
        </w:tc>
      </w:tr>
      <w:tr w:rsidR="00D45DF6" w:rsidRPr="008F7BF8" w14:paraId="7DFA22D8" w14:textId="77777777" w:rsidTr="007F4D11">
        <w:trPr>
          <w:trHeight w:val="300"/>
        </w:trPr>
        <w:tc>
          <w:tcPr>
            <w:tcW w:w="4766" w:type="dxa"/>
          </w:tcPr>
          <w:p w14:paraId="45233301"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EB31D1">
              <w:rPr>
                <w:i/>
                <w:iCs/>
                <w:lang w:val="en-US"/>
              </w:rPr>
              <w:t>Phalloceros lucenorum</w:t>
            </w:r>
            <w:r w:rsidRPr="008F7BF8">
              <w:rPr>
                <w:lang w:val="en-US"/>
              </w:rPr>
              <w:t xml:space="preserve"> Lucinda, 2008</w:t>
            </w:r>
          </w:p>
        </w:tc>
        <w:tc>
          <w:tcPr>
            <w:tcW w:w="729" w:type="dxa"/>
            <w:vAlign w:val="bottom"/>
          </w:tcPr>
          <w:p w14:paraId="726892D0"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Pluc</w:t>
            </w:r>
          </w:p>
        </w:tc>
        <w:tc>
          <w:tcPr>
            <w:tcW w:w="849" w:type="dxa"/>
            <w:shd w:val="clear" w:color="auto" w:fill="auto"/>
            <w:noWrap/>
            <w:vAlign w:val="bottom"/>
            <w:hideMark/>
          </w:tcPr>
          <w:p w14:paraId="30D53385"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Before</w:t>
            </w:r>
          </w:p>
        </w:tc>
        <w:tc>
          <w:tcPr>
            <w:tcW w:w="752" w:type="dxa"/>
            <w:shd w:val="clear" w:color="auto" w:fill="auto"/>
            <w:noWrap/>
            <w:vAlign w:val="bottom"/>
            <w:hideMark/>
          </w:tcPr>
          <w:p w14:paraId="7E2635D4"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5.56</w:t>
            </w:r>
          </w:p>
        </w:tc>
        <w:tc>
          <w:tcPr>
            <w:tcW w:w="640" w:type="dxa"/>
            <w:shd w:val="clear" w:color="auto" w:fill="auto"/>
            <w:noWrap/>
            <w:vAlign w:val="bottom"/>
            <w:hideMark/>
          </w:tcPr>
          <w:p w14:paraId="1AEBEEEB"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8.58</w:t>
            </w:r>
          </w:p>
        </w:tc>
        <w:tc>
          <w:tcPr>
            <w:tcW w:w="833" w:type="dxa"/>
            <w:shd w:val="clear" w:color="auto" w:fill="auto"/>
            <w:noWrap/>
            <w:vAlign w:val="bottom"/>
            <w:hideMark/>
          </w:tcPr>
          <w:p w14:paraId="68396C3C"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154.2</w:t>
            </w:r>
          </w:p>
        </w:tc>
      </w:tr>
      <w:tr w:rsidR="00D45DF6" w:rsidRPr="008F7BF8" w14:paraId="6E187DF9" w14:textId="77777777" w:rsidTr="007F4D11">
        <w:trPr>
          <w:trHeight w:val="300"/>
        </w:trPr>
        <w:tc>
          <w:tcPr>
            <w:tcW w:w="4766" w:type="dxa"/>
          </w:tcPr>
          <w:p w14:paraId="0017ABA3"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729" w:type="dxa"/>
            <w:vAlign w:val="bottom"/>
          </w:tcPr>
          <w:p w14:paraId="272046BC"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849" w:type="dxa"/>
            <w:shd w:val="clear" w:color="auto" w:fill="auto"/>
            <w:noWrap/>
            <w:vAlign w:val="bottom"/>
            <w:hideMark/>
          </w:tcPr>
          <w:p w14:paraId="1C466ED2"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After</w:t>
            </w:r>
          </w:p>
        </w:tc>
        <w:tc>
          <w:tcPr>
            <w:tcW w:w="752" w:type="dxa"/>
            <w:shd w:val="clear" w:color="auto" w:fill="auto"/>
            <w:noWrap/>
            <w:vAlign w:val="bottom"/>
            <w:hideMark/>
          </w:tcPr>
          <w:p w14:paraId="55162B34"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11.53</w:t>
            </w:r>
          </w:p>
        </w:tc>
        <w:tc>
          <w:tcPr>
            <w:tcW w:w="640" w:type="dxa"/>
            <w:shd w:val="clear" w:color="auto" w:fill="auto"/>
            <w:noWrap/>
            <w:vAlign w:val="bottom"/>
            <w:hideMark/>
          </w:tcPr>
          <w:p w14:paraId="4E845D94"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18.7</w:t>
            </w:r>
          </w:p>
        </w:tc>
        <w:tc>
          <w:tcPr>
            <w:tcW w:w="833" w:type="dxa"/>
            <w:shd w:val="clear" w:color="auto" w:fill="auto"/>
            <w:noWrap/>
            <w:vAlign w:val="bottom"/>
            <w:hideMark/>
          </w:tcPr>
          <w:p w14:paraId="4706E1FD"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162.1</w:t>
            </w:r>
          </w:p>
        </w:tc>
      </w:tr>
      <w:tr w:rsidR="00D45DF6" w:rsidRPr="008F7BF8" w14:paraId="00D041E9" w14:textId="77777777" w:rsidTr="007F4D11">
        <w:trPr>
          <w:trHeight w:val="300"/>
        </w:trPr>
        <w:tc>
          <w:tcPr>
            <w:tcW w:w="4766" w:type="dxa"/>
          </w:tcPr>
          <w:p w14:paraId="3CA5BC35"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EB31D1">
              <w:rPr>
                <w:i/>
                <w:iCs/>
                <w:lang w:val="en-US"/>
              </w:rPr>
              <w:t>Geophagus iporangensis</w:t>
            </w:r>
            <w:r w:rsidRPr="008F7BF8">
              <w:rPr>
                <w:lang w:val="en-US"/>
              </w:rPr>
              <w:t xml:space="preserve"> Haseman, 1911</w:t>
            </w:r>
          </w:p>
        </w:tc>
        <w:tc>
          <w:tcPr>
            <w:tcW w:w="729" w:type="dxa"/>
            <w:vAlign w:val="bottom"/>
          </w:tcPr>
          <w:p w14:paraId="3D3215BF"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Gipo</w:t>
            </w:r>
          </w:p>
        </w:tc>
        <w:tc>
          <w:tcPr>
            <w:tcW w:w="849" w:type="dxa"/>
            <w:shd w:val="clear" w:color="auto" w:fill="auto"/>
            <w:noWrap/>
            <w:vAlign w:val="bottom"/>
            <w:hideMark/>
          </w:tcPr>
          <w:p w14:paraId="457907B8"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Before</w:t>
            </w:r>
          </w:p>
        </w:tc>
        <w:tc>
          <w:tcPr>
            <w:tcW w:w="752" w:type="dxa"/>
            <w:shd w:val="clear" w:color="auto" w:fill="auto"/>
            <w:noWrap/>
            <w:vAlign w:val="bottom"/>
            <w:hideMark/>
          </w:tcPr>
          <w:p w14:paraId="4F29F4AF"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0.62</w:t>
            </w:r>
          </w:p>
        </w:tc>
        <w:tc>
          <w:tcPr>
            <w:tcW w:w="640" w:type="dxa"/>
            <w:shd w:val="clear" w:color="auto" w:fill="auto"/>
            <w:noWrap/>
            <w:vAlign w:val="bottom"/>
            <w:hideMark/>
          </w:tcPr>
          <w:p w14:paraId="179CCB6C"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0.96</w:t>
            </w:r>
          </w:p>
        </w:tc>
        <w:tc>
          <w:tcPr>
            <w:tcW w:w="833" w:type="dxa"/>
            <w:shd w:val="clear" w:color="auto" w:fill="auto"/>
            <w:noWrap/>
            <w:vAlign w:val="bottom"/>
            <w:hideMark/>
          </w:tcPr>
          <w:p w14:paraId="7534ACA6"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153.2</w:t>
            </w:r>
          </w:p>
        </w:tc>
      </w:tr>
      <w:tr w:rsidR="00D45DF6" w:rsidRPr="008F7BF8" w14:paraId="30962DF9" w14:textId="77777777" w:rsidTr="007F4D11">
        <w:trPr>
          <w:trHeight w:val="300"/>
        </w:trPr>
        <w:tc>
          <w:tcPr>
            <w:tcW w:w="4766" w:type="dxa"/>
            <w:tcBorders>
              <w:bottom w:val="single" w:sz="4" w:space="0" w:color="auto"/>
            </w:tcBorders>
          </w:tcPr>
          <w:p w14:paraId="507D46CF"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729" w:type="dxa"/>
            <w:tcBorders>
              <w:bottom w:val="single" w:sz="4" w:space="0" w:color="auto"/>
            </w:tcBorders>
            <w:vAlign w:val="bottom"/>
          </w:tcPr>
          <w:p w14:paraId="711251C2"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p>
        </w:tc>
        <w:tc>
          <w:tcPr>
            <w:tcW w:w="849" w:type="dxa"/>
            <w:tcBorders>
              <w:bottom w:val="single" w:sz="4" w:space="0" w:color="auto"/>
            </w:tcBorders>
            <w:shd w:val="clear" w:color="auto" w:fill="auto"/>
            <w:noWrap/>
            <w:vAlign w:val="bottom"/>
            <w:hideMark/>
          </w:tcPr>
          <w:p w14:paraId="66D76D9E" w14:textId="77777777" w:rsidR="00D45DF6" w:rsidRPr="008F7BF8" w:rsidRDefault="00D45DF6" w:rsidP="007F4D11">
            <w:pPr>
              <w:spacing w:after="0" w:line="240" w:lineRule="auto"/>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After</w:t>
            </w:r>
          </w:p>
        </w:tc>
        <w:tc>
          <w:tcPr>
            <w:tcW w:w="752" w:type="dxa"/>
            <w:tcBorders>
              <w:bottom w:val="single" w:sz="4" w:space="0" w:color="auto"/>
            </w:tcBorders>
            <w:shd w:val="clear" w:color="auto" w:fill="auto"/>
            <w:noWrap/>
            <w:vAlign w:val="bottom"/>
            <w:hideMark/>
          </w:tcPr>
          <w:p w14:paraId="71954733"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0.19</w:t>
            </w:r>
          </w:p>
        </w:tc>
        <w:tc>
          <w:tcPr>
            <w:tcW w:w="640" w:type="dxa"/>
            <w:tcBorders>
              <w:bottom w:val="single" w:sz="4" w:space="0" w:color="auto"/>
            </w:tcBorders>
            <w:shd w:val="clear" w:color="auto" w:fill="auto"/>
            <w:noWrap/>
            <w:vAlign w:val="bottom"/>
            <w:hideMark/>
          </w:tcPr>
          <w:p w14:paraId="06D95296"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0.54</w:t>
            </w:r>
          </w:p>
        </w:tc>
        <w:tc>
          <w:tcPr>
            <w:tcW w:w="833" w:type="dxa"/>
            <w:tcBorders>
              <w:bottom w:val="single" w:sz="4" w:space="0" w:color="auto"/>
            </w:tcBorders>
            <w:shd w:val="clear" w:color="auto" w:fill="auto"/>
            <w:noWrap/>
            <w:vAlign w:val="bottom"/>
            <w:hideMark/>
          </w:tcPr>
          <w:p w14:paraId="5A41FD10" w14:textId="77777777" w:rsidR="00D45DF6" w:rsidRPr="008F7BF8" w:rsidRDefault="00D45DF6" w:rsidP="007F4D11">
            <w:pPr>
              <w:spacing w:after="0" w:line="240" w:lineRule="auto"/>
              <w:jc w:val="right"/>
              <w:rPr>
                <w:rFonts w:ascii="Calibri" w:eastAsia="Times New Roman" w:hAnsi="Calibri" w:cs="Calibri"/>
                <w:color w:val="000000"/>
                <w:kern w:val="0"/>
                <w:lang w:eastAsia="pt-BR"/>
                <w14:ligatures w14:val="none"/>
              </w:rPr>
            </w:pPr>
            <w:r w:rsidRPr="008F7BF8">
              <w:rPr>
                <w:rFonts w:ascii="Calibri" w:eastAsia="Times New Roman" w:hAnsi="Calibri" w:cs="Calibri"/>
                <w:color w:val="000000"/>
                <w:kern w:val="0"/>
                <w:lang w:eastAsia="pt-BR"/>
                <w14:ligatures w14:val="none"/>
              </w:rPr>
              <w:t>285.4</w:t>
            </w:r>
          </w:p>
        </w:tc>
      </w:tr>
    </w:tbl>
    <w:p w14:paraId="0C6E7729" w14:textId="230F784B" w:rsidR="00D45DF6" w:rsidRDefault="00D45DF6" w:rsidP="00D45DF6">
      <w:pPr>
        <w:rPr>
          <w:lang w:val="en-US"/>
        </w:rPr>
      </w:pPr>
      <w:r w:rsidRPr="00D45DF6">
        <w:rPr>
          <w:lang w:val="en-US"/>
        </w:rPr>
        <w:t xml:space="preserve">Note: CV (Coefficient of Variation) = </w:t>
      </w:r>
      <w:r>
        <w:rPr>
          <w:rFonts w:ascii="Times New Roman" w:hAnsi="Times New Roman" w:cs="Times New Roman"/>
          <w:lang w:val="en-US"/>
        </w:rPr>
        <w:t>σ</w:t>
      </w:r>
      <w:r w:rsidRPr="00D45DF6">
        <w:rPr>
          <w:lang w:val="en-US"/>
        </w:rPr>
        <w:t>/</w:t>
      </w:r>
      <w:r>
        <w:rPr>
          <w:rFonts w:ascii="Times New Roman" w:hAnsi="Times New Roman" w:cs="Times New Roman"/>
          <w:lang w:val="en-US"/>
        </w:rPr>
        <w:t>μ *</w:t>
      </w:r>
      <w:r w:rsidRPr="00D45DF6">
        <w:rPr>
          <w:lang w:val="en-US"/>
        </w:rPr>
        <w:t xml:space="preserve"> 100. A general increase in CV across species indicates widespread population destabilization following the impact.</w:t>
      </w:r>
    </w:p>
    <w:p w14:paraId="4793F92C" w14:textId="637CEA8E" w:rsidR="00CB4A91" w:rsidRPr="00CB4A91" w:rsidRDefault="00CB4A91" w:rsidP="00CB4A91">
      <w:pPr>
        <w:rPr>
          <w:lang w:val="en-US"/>
        </w:rPr>
      </w:pPr>
      <w:r w:rsidRPr="00CB4A91">
        <w:rPr>
          <w:lang w:val="en-US"/>
        </w:rPr>
        <w:t xml:space="preserve">Section </w:t>
      </w:r>
      <w:r w:rsidR="009E79FB">
        <w:rPr>
          <w:lang w:val="en-US"/>
        </w:rPr>
        <w:t>2</w:t>
      </w:r>
      <w:r w:rsidRPr="00CB4A91">
        <w:rPr>
          <w:lang w:val="en-US"/>
        </w:rPr>
        <w:t>: Multivariate Ordination of Community Structure</w:t>
      </w:r>
    </w:p>
    <w:p w14:paraId="691FE904" w14:textId="453AA42C" w:rsidR="002E33D7" w:rsidRDefault="00CB4A91" w:rsidP="00CB4A91">
      <w:pPr>
        <w:rPr>
          <w:lang w:val="en-US"/>
        </w:rPr>
      </w:pPr>
      <w:r w:rsidRPr="00CB4A91">
        <w:rPr>
          <w:lang w:val="en-US"/>
        </w:rPr>
        <w:t>Principal Component Analysis (PCA) was used to visualize species associations and multivariate dispersion.</w:t>
      </w:r>
      <w:r>
        <w:rPr>
          <w:lang w:val="en-US"/>
        </w:rPr>
        <w:t xml:space="preserve"> </w:t>
      </w:r>
      <w:r w:rsidRPr="00CB4A91">
        <w:rPr>
          <w:lang w:val="en-US"/>
        </w:rPr>
        <w:t>The ordination reveals a</w:t>
      </w:r>
      <w:r>
        <w:rPr>
          <w:lang w:val="en-US"/>
        </w:rPr>
        <w:t>n</w:t>
      </w:r>
      <w:r w:rsidRPr="00CB4A91">
        <w:rPr>
          <w:lang w:val="en-US"/>
        </w:rPr>
        <w:t xml:space="preserve"> expansion in multivariate dispersion during the 'After' period (red ellipse) compared to the 'Before' period (blue ellipse). This expansion is a visual </w:t>
      </w:r>
      <w:r w:rsidRPr="00CB4A91">
        <w:rPr>
          <w:lang w:val="en-US"/>
        </w:rPr>
        <w:lastRenderedPageBreak/>
        <w:t>hallmark of dynamical instability. Vectors for Pluc and Czon identify these species as primary drivers of the compositional shift and increased community-wide variability.</w:t>
      </w:r>
    </w:p>
    <w:p w14:paraId="348241CC" w14:textId="62C4B870" w:rsidR="00417130" w:rsidRDefault="00616FFF">
      <w:pPr>
        <w:rPr>
          <w:lang w:val="en-US"/>
        </w:rPr>
      </w:pPr>
      <w:r>
        <w:rPr>
          <w:noProof/>
          <w:lang w:val="en-US"/>
        </w:rPr>
        <w:drawing>
          <wp:inline distT="0" distB="0" distL="0" distR="0" wp14:anchorId="2FE47E93" wp14:editId="02C5E260">
            <wp:extent cx="5400040" cy="4050030"/>
            <wp:effectExtent l="0" t="0" r="0" b="7620"/>
            <wp:docPr id="1376682916" name="Imagem 2"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82916" name="Imagem 2" descr="Gráfico&#10;&#10;Descrição gerada automa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inline>
        </w:drawing>
      </w:r>
    </w:p>
    <w:p w14:paraId="4DD372B1" w14:textId="4BA23829" w:rsidR="00417130" w:rsidRDefault="00417130">
      <w:pPr>
        <w:rPr>
          <w:lang w:val="en-US"/>
        </w:rPr>
      </w:pPr>
      <w:r w:rsidRPr="00417130">
        <w:rPr>
          <w:lang w:val="en-US"/>
        </w:rPr>
        <w:t>Figure S</w:t>
      </w:r>
      <w:r w:rsidR="006162AD">
        <w:rPr>
          <w:lang w:val="en-US"/>
        </w:rPr>
        <w:t>1.</w:t>
      </w:r>
      <w:r w:rsidR="005050BE">
        <w:rPr>
          <w:lang w:val="en-US"/>
        </w:rPr>
        <w:t>1</w:t>
      </w:r>
      <w:r w:rsidRPr="00417130">
        <w:rPr>
          <w:lang w:val="en-US"/>
        </w:rPr>
        <w:t xml:space="preserve">: PCA </w:t>
      </w:r>
      <w:r w:rsidR="00CB4A91">
        <w:rPr>
          <w:lang w:val="en-US"/>
        </w:rPr>
        <w:t xml:space="preserve">biplot </w:t>
      </w:r>
      <w:r w:rsidRPr="00417130">
        <w:rPr>
          <w:lang w:val="en-US"/>
        </w:rPr>
        <w:t>of fish community structure (Hellinger-transformed)</w:t>
      </w:r>
      <w:r w:rsidR="00616FFF">
        <w:rPr>
          <w:lang w:val="en-US"/>
        </w:rPr>
        <w:t>.</w:t>
      </w:r>
      <w:r w:rsidR="00CB4A91">
        <w:rPr>
          <w:lang w:val="en-US"/>
        </w:rPr>
        <w:t xml:space="preserve"> </w:t>
      </w:r>
    </w:p>
    <w:p w14:paraId="65B6FA66" w14:textId="77777777" w:rsidR="00C3631D" w:rsidRDefault="00C3631D">
      <w:pPr>
        <w:rPr>
          <w:lang w:val="en-US"/>
        </w:rPr>
      </w:pPr>
    </w:p>
    <w:p w14:paraId="3F0831C6" w14:textId="64DA9221" w:rsidR="00C3631D" w:rsidRDefault="00C3631D" w:rsidP="00C3631D">
      <w:pPr>
        <w:rPr>
          <w:lang w:val="en-US"/>
        </w:rPr>
      </w:pPr>
      <w:r w:rsidRPr="00617A5D">
        <w:rPr>
          <w:lang w:val="en-US"/>
        </w:rPr>
        <w:t>Appendix S</w:t>
      </w:r>
      <w:r>
        <w:rPr>
          <w:lang w:val="en-US"/>
        </w:rPr>
        <w:t>2</w:t>
      </w:r>
      <w:r w:rsidRPr="00617A5D">
        <w:rPr>
          <w:lang w:val="en-US"/>
        </w:rPr>
        <w:t xml:space="preserve">: Detailed </w:t>
      </w:r>
      <w:r w:rsidRPr="00C3631D">
        <w:rPr>
          <w:lang w:val="en-US"/>
        </w:rPr>
        <w:t>turnover rates across the 'Before' and 'After' periods</w:t>
      </w:r>
    </w:p>
    <w:p w14:paraId="23384935" w14:textId="1770CDA0" w:rsidR="003C50BD" w:rsidRDefault="003C50BD" w:rsidP="00C3631D">
      <w:pPr>
        <w:rPr>
          <w:lang w:val="en-US"/>
        </w:rPr>
      </w:pPr>
      <w:r w:rsidRPr="00617A5D">
        <w:rPr>
          <w:lang w:val="en-US"/>
        </w:rPr>
        <w:t xml:space="preserve">Title: </w:t>
      </w:r>
      <w:r w:rsidRPr="003C50BD">
        <w:rPr>
          <w:lang w:val="en-US"/>
        </w:rPr>
        <w:t>Reach-specific temporal trajectories of richness-based species turnover in the stream fish community across Before and After highway duplication periods.</w:t>
      </w:r>
    </w:p>
    <w:p w14:paraId="32F747C8" w14:textId="77777777" w:rsidR="003C50BD" w:rsidRPr="00617A5D" w:rsidRDefault="003C50BD" w:rsidP="003C50BD">
      <w:pPr>
        <w:rPr>
          <w:lang w:val="en-US"/>
        </w:rPr>
      </w:pPr>
      <w:r w:rsidRPr="00617A5D">
        <w:rPr>
          <w:lang w:val="en-US"/>
        </w:rPr>
        <w:t>Overview</w:t>
      </w:r>
    </w:p>
    <w:p w14:paraId="6CFC831E" w14:textId="55DBEB79" w:rsidR="00C3631D" w:rsidRDefault="003C50BD" w:rsidP="00C3631D">
      <w:pPr>
        <w:rPr>
          <w:lang w:val="en-US"/>
        </w:rPr>
      </w:pPr>
      <w:r w:rsidRPr="003C50BD">
        <w:rPr>
          <w:lang w:val="en-US"/>
        </w:rPr>
        <w:t xml:space="preserve">This figure provides a detailed visualization of the temporal dynamics of the stream fish community across four reaches (R1–R4). The connected points reveal the inherent stochasticity of species replacement rates over time. The dashed vertical line indicates the onset of highway construction (Interval 3); the lack of a consistent upward or downward trend across all reaches following this event supports the finding of high taxonomic reliability (p = 0.938). </w:t>
      </w:r>
      <w:r w:rsidR="00CA2D3F" w:rsidRPr="00CA2D3F">
        <w:rPr>
          <w:lang w:val="en-US"/>
        </w:rPr>
        <w:t>Our findings reveal that while the highway duplication reduced aggregate community stability, the disturbance did not reach the threshold required to trigger a directional shift in turnover.</w:t>
      </w:r>
    </w:p>
    <w:p w14:paraId="7CE5CE80" w14:textId="253A6148" w:rsidR="003B4E9E" w:rsidRPr="00617A5D" w:rsidRDefault="003B4E9E" w:rsidP="00C3631D">
      <w:pPr>
        <w:rPr>
          <w:lang w:val="en-US"/>
        </w:rPr>
      </w:pPr>
      <w:r>
        <w:rPr>
          <w:noProof/>
          <w:lang w:val="en-US"/>
        </w:rPr>
        <w:lastRenderedPageBreak/>
        <w:drawing>
          <wp:inline distT="0" distB="0" distL="0" distR="0" wp14:anchorId="4BB2CEF0" wp14:editId="7BC51738">
            <wp:extent cx="5400040" cy="4050030"/>
            <wp:effectExtent l="0" t="0" r="0" b="7620"/>
            <wp:docPr id="1281894746" name="Imagem 1"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894746" name="Imagem 1" descr="Gráfico, Gráfico de linhas&#10;&#10;Descrição gerad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inline>
        </w:drawing>
      </w:r>
    </w:p>
    <w:p w14:paraId="201388CA" w14:textId="1849F82E" w:rsidR="00C3631D" w:rsidRDefault="003B4E9E">
      <w:pPr>
        <w:rPr>
          <w:lang w:val="en-US"/>
        </w:rPr>
      </w:pPr>
      <w:r w:rsidRPr="003B4E9E">
        <w:rPr>
          <w:lang w:val="en-US"/>
        </w:rPr>
        <w:t>Figure S</w:t>
      </w:r>
      <w:r w:rsidR="006162AD">
        <w:rPr>
          <w:lang w:val="en-US"/>
        </w:rPr>
        <w:t>2.</w:t>
      </w:r>
      <w:r w:rsidRPr="003B4E9E">
        <w:rPr>
          <w:lang w:val="en-US"/>
        </w:rPr>
        <w:t xml:space="preserve">1. Reach-specific temporal trajectories of species turnover in the stream fish community. Lines represent independent time series for each combination of reach (R1–R4) and hydrological season (Dry and Wet). The vertical dashed line indicates the onset of highway construction (Interval 3). These trajectories reveal high taxonomic reliability over time, with the rate of species gains and losses remaining stable across both the 'Before' </w:t>
      </w:r>
      <w:r w:rsidR="00BC6228">
        <w:rPr>
          <w:lang w:val="en-US"/>
        </w:rPr>
        <w:t xml:space="preserve">(n = 8 intervals) </w:t>
      </w:r>
      <w:r w:rsidRPr="003B4E9E">
        <w:rPr>
          <w:lang w:val="en-US"/>
        </w:rPr>
        <w:t xml:space="preserve">and 'After' </w:t>
      </w:r>
      <w:r w:rsidR="00BC6228">
        <w:rPr>
          <w:lang w:val="en-US"/>
        </w:rPr>
        <w:t xml:space="preserve">(n = 24 intervals) </w:t>
      </w:r>
      <w:r w:rsidRPr="003B4E9E">
        <w:rPr>
          <w:lang w:val="en-US"/>
        </w:rPr>
        <w:t>periods.</w:t>
      </w:r>
    </w:p>
    <w:sectPr w:rsidR="00C363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484"/>
    <w:rsid w:val="00017973"/>
    <w:rsid w:val="00046484"/>
    <w:rsid w:val="00153B20"/>
    <w:rsid w:val="002E33D7"/>
    <w:rsid w:val="003B4E9E"/>
    <w:rsid w:val="003C50BD"/>
    <w:rsid w:val="00417130"/>
    <w:rsid w:val="004D376A"/>
    <w:rsid w:val="005050BE"/>
    <w:rsid w:val="006162AD"/>
    <w:rsid w:val="00616FFF"/>
    <w:rsid w:val="00617A5D"/>
    <w:rsid w:val="008266E7"/>
    <w:rsid w:val="00843F18"/>
    <w:rsid w:val="008C1BBA"/>
    <w:rsid w:val="008E52D8"/>
    <w:rsid w:val="008F7BF8"/>
    <w:rsid w:val="009E79FB"/>
    <w:rsid w:val="00A140E1"/>
    <w:rsid w:val="00AC0D06"/>
    <w:rsid w:val="00AE0471"/>
    <w:rsid w:val="00B116AA"/>
    <w:rsid w:val="00B267B0"/>
    <w:rsid w:val="00BC6228"/>
    <w:rsid w:val="00C3631D"/>
    <w:rsid w:val="00CA2D3F"/>
    <w:rsid w:val="00CB4A91"/>
    <w:rsid w:val="00D45DF6"/>
    <w:rsid w:val="00DE6454"/>
    <w:rsid w:val="00E20C1F"/>
    <w:rsid w:val="00EB31D1"/>
    <w:rsid w:val="00F629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8503F"/>
  <w15:chartTrackingRefBased/>
  <w15:docId w15:val="{8FC66EC3-BBEE-46B4-B6E7-8F55670E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9418786">
      <w:bodyDiv w:val="1"/>
      <w:marLeft w:val="0"/>
      <w:marRight w:val="0"/>
      <w:marTop w:val="0"/>
      <w:marBottom w:val="0"/>
      <w:divBdr>
        <w:top w:val="none" w:sz="0" w:space="0" w:color="auto"/>
        <w:left w:val="none" w:sz="0" w:space="0" w:color="auto"/>
        <w:bottom w:val="none" w:sz="0" w:space="0" w:color="auto"/>
        <w:right w:val="none" w:sz="0" w:space="0" w:color="auto"/>
      </w:divBdr>
    </w:div>
    <w:div w:id="1073818564">
      <w:bodyDiv w:val="1"/>
      <w:marLeft w:val="0"/>
      <w:marRight w:val="0"/>
      <w:marTop w:val="0"/>
      <w:marBottom w:val="0"/>
      <w:divBdr>
        <w:top w:val="none" w:sz="0" w:space="0" w:color="auto"/>
        <w:left w:val="none" w:sz="0" w:space="0" w:color="auto"/>
        <w:bottom w:val="none" w:sz="0" w:space="0" w:color="auto"/>
        <w:right w:val="none" w:sz="0" w:space="0" w:color="auto"/>
      </w:divBdr>
    </w:div>
    <w:div w:id="1587151773">
      <w:bodyDiv w:val="1"/>
      <w:marLeft w:val="0"/>
      <w:marRight w:val="0"/>
      <w:marTop w:val="0"/>
      <w:marBottom w:val="0"/>
      <w:divBdr>
        <w:top w:val="none" w:sz="0" w:space="0" w:color="auto"/>
        <w:left w:val="none" w:sz="0" w:space="0" w:color="auto"/>
        <w:bottom w:val="none" w:sz="0" w:space="0" w:color="auto"/>
        <w:right w:val="none" w:sz="0" w:space="0" w:color="auto"/>
      </w:divBdr>
    </w:div>
    <w:div w:id="190429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638</Words>
  <Characters>3446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Cetra</dc:creator>
  <cp:keywords/>
  <dc:description/>
  <cp:lastModifiedBy>Mauricio Cetra</cp:lastModifiedBy>
  <cp:revision>28</cp:revision>
  <dcterms:created xsi:type="dcterms:W3CDTF">2026-02-10T18:53:00Z</dcterms:created>
  <dcterms:modified xsi:type="dcterms:W3CDTF">2026-04-09T13:31:00Z</dcterms:modified>
</cp:coreProperties>
</file>