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442C" w14:textId="49107AE7" w:rsidR="002E0D67" w:rsidRPr="000E169A" w:rsidRDefault="005346D5" w:rsidP="002E0D67">
      <w:pPr>
        <w:spacing w:line="480" w:lineRule="auto"/>
        <w:ind w:right="-450"/>
        <w:jc w:val="center"/>
        <w:rPr>
          <w:sz w:val="22"/>
          <w:szCs w:val="22"/>
        </w:rPr>
      </w:pPr>
      <w:r w:rsidRPr="00B84832">
        <w:rPr>
          <w:b/>
          <w:bCs/>
          <w:color w:val="000000"/>
          <w:sz w:val="28"/>
          <w:szCs w:val="28"/>
          <w:shd w:val="clear" w:color="auto" w:fill="FFFFFF"/>
        </w:rPr>
        <w:t>Activation of human FPR2 with AT-RvD1 Resolves Acute Sialadenitis in Vivo</w:t>
      </w:r>
      <w:r w:rsidRPr="000E169A">
        <w:rPr>
          <w:sz w:val="22"/>
          <w:szCs w:val="22"/>
        </w:rPr>
        <w:t xml:space="preserve"> </w:t>
      </w:r>
      <w:r w:rsidR="002E0D67" w:rsidRPr="000E169A">
        <w:rPr>
          <w:sz w:val="22"/>
          <w:szCs w:val="22"/>
        </w:rPr>
        <w:t>Kihoon Nam</w:t>
      </w:r>
      <w:r w:rsidR="002E0D67" w:rsidRPr="000E169A">
        <w:rPr>
          <w:sz w:val="22"/>
          <w:szCs w:val="22"/>
          <w:vertAlign w:val="superscript"/>
        </w:rPr>
        <w:t>1,3</w:t>
      </w:r>
      <w:r w:rsidR="002E0D67" w:rsidRPr="000E169A">
        <w:rPr>
          <w:sz w:val="22"/>
          <w:szCs w:val="22"/>
        </w:rPr>
        <w:t>, Harim Tavares dos Santos</w:t>
      </w:r>
      <w:r w:rsidR="002E0D67" w:rsidRPr="000E169A">
        <w:rPr>
          <w:sz w:val="22"/>
          <w:szCs w:val="22"/>
          <w:vertAlign w:val="superscript"/>
        </w:rPr>
        <w:t>8</w:t>
      </w:r>
      <w:r w:rsidR="002E0D67" w:rsidRPr="000E169A">
        <w:rPr>
          <w:sz w:val="22"/>
          <w:szCs w:val="22"/>
        </w:rPr>
        <w:t>, Frank M. Maslow</w:t>
      </w:r>
      <w:r w:rsidR="002E0D67" w:rsidRPr="000E169A">
        <w:rPr>
          <w:sz w:val="22"/>
          <w:szCs w:val="22"/>
          <w:vertAlign w:val="superscript"/>
        </w:rPr>
        <w:t>1,3</w:t>
      </w:r>
      <w:r w:rsidR="002E0D67" w:rsidRPr="000E169A">
        <w:rPr>
          <w:sz w:val="22"/>
          <w:szCs w:val="22"/>
        </w:rPr>
        <w:t>, Daniel J. Davis</w:t>
      </w:r>
      <w:r w:rsidR="002E0D67" w:rsidRPr="000E169A">
        <w:rPr>
          <w:sz w:val="22"/>
          <w:szCs w:val="22"/>
          <w:vertAlign w:val="superscript"/>
        </w:rPr>
        <w:t>4</w:t>
      </w:r>
      <w:r w:rsidR="002E0D67" w:rsidRPr="000E169A">
        <w:rPr>
          <w:sz w:val="22"/>
          <w:szCs w:val="22"/>
        </w:rPr>
        <w:t xml:space="preserve">, </w:t>
      </w:r>
    </w:p>
    <w:p w14:paraId="20661FD5" w14:textId="77777777" w:rsidR="002E0D67" w:rsidRPr="000E169A" w:rsidRDefault="002E0D67" w:rsidP="002E0D67">
      <w:pPr>
        <w:spacing w:line="480" w:lineRule="auto"/>
        <w:ind w:right="-450"/>
        <w:jc w:val="center"/>
        <w:rPr>
          <w:sz w:val="22"/>
          <w:szCs w:val="22"/>
        </w:rPr>
      </w:pPr>
      <w:r w:rsidRPr="000E169A">
        <w:rPr>
          <w:sz w:val="22"/>
          <w:szCs w:val="22"/>
        </w:rPr>
        <w:t>Tabitha LI. Galloway</w:t>
      </w:r>
      <w:r w:rsidRPr="000E169A">
        <w:rPr>
          <w:sz w:val="22"/>
          <w:szCs w:val="22"/>
          <w:vertAlign w:val="superscript"/>
        </w:rPr>
        <w:t>1</w:t>
      </w:r>
      <w:r w:rsidRPr="000E169A">
        <w:rPr>
          <w:sz w:val="22"/>
          <w:szCs w:val="22"/>
        </w:rPr>
        <w:t>, Laura M. Dooley</w:t>
      </w:r>
      <w:r w:rsidRPr="000E169A">
        <w:rPr>
          <w:sz w:val="22"/>
          <w:szCs w:val="22"/>
          <w:vertAlign w:val="superscript"/>
        </w:rPr>
        <w:t>1</w:t>
      </w:r>
      <w:r w:rsidRPr="000E169A">
        <w:rPr>
          <w:sz w:val="22"/>
          <w:szCs w:val="22"/>
        </w:rPr>
        <w:t>, Patrick T. Tassone</w:t>
      </w:r>
      <w:r w:rsidRPr="000E169A">
        <w:rPr>
          <w:sz w:val="22"/>
          <w:szCs w:val="22"/>
          <w:vertAlign w:val="superscript"/>
        </w:rPr>
        <w:t>1</w:t>
      </w:r>
      <w:r w:rsidRPr="000E169A">
        <w:rPr>
          <w:sz w:val="22"/>
          <w:szCs w:val="22"/>
        </w:rPr>
        <w:t>, Robert P. Zitsch III</w:t>
      </w:r>
      <w:r w:rsidRPr="000E169A">
        <w:rPr>
          <w:sz w:val="22"/>
          <w:szCs w:val="22"/>
          <w:vertAlign w:val="superscript"/>
        </w:rPr>
        <w:t>1</w:t>
      </w:r>
      <w:r w:rsidRPr="000E169A">
        <w:rPr>
          <w:sz w:val="22"/>
          <w:szCs w:val="22"/>
        </w:rPr>
        <w:t>, Bryan G. Trump</w:t>
      </w:r>
      <w:r w:rsidRPr="000E169A">
        <w:rPr>
          <w:sz w:val="22"/>
          <w:szCs w:val="22"/>
          <w:vertAlign w:val="superscript"/>
        </w:rPr>
        <w:t>5</w:t>
      </w:r>
      <w:r w:rsidRPr="000E169A">
        <w:rPr>
          <w:sz w:val="22"/>
          <w:szCs w:val="22"/>
        </w:rPr>
        <w:t>, Venkata Yellepeddi</w:t>
      </w:r>
      <w:r w:rsidRPr="000E169A">
        <w:rPr>
          <w:sz w:val="22"/>
          <w:szCs w:val="22"/>
          <w:vertAlign w:val="superscript"/>
        </w:rPr>
        <w:t>6,7</w:t>
      </w:r>
      <w:r w:rsidRPr="000E169A">
        <w:rPr>
          <w:sz w:val="22"/>
          <w:szCs w:val="22"/>
        </w:rPr>
        <w:t xml:space="preserve"> and Olga J. Baker</w:t>
      </w:r>
      <w:r w:rsidRPr="000E169A">
        <w:rPr>
          <w:sz w:val="22"/>
          <w:szCs w:val="22"/>
          <w:vertAlign w:val="superscript"/>
        </w:rPr>
        <w:t>1,2,3*</w:t>
      </w:r>
    </w:p>
    <w:p w14:paraId="08DFEBAD" w14:textId="5EC20737" w:rsidR="002E0D67" w:rsidRDefault="002E0D67" w:rsidP="002E0D67">
      <w:pPr>
        <w:spacing w:line="480" w:lineRule="auto"/>
        <w:ind w:right="-450"/>
        <w:jc w:val="center"/>
        <w:rPr>
          <w:rFonts w:eastAsiaTheme="minorEastAsia"/>
          <w:sz w:val="22"/>
          <w:szCs w:val="22"/>
          <w:lang w:eastAsia="ko-KR"/>
        </w:rPr>
      </w:pPr>
      <w:r w:rsidRPr="000E169A">
        <w:rPr>
          <w:sz w:val="22"/>
          <w:szCs w:val="22"/>
          <w:vertAlign w:val="superscript"/>
        </w:rPr>
        <w:t>1</w:t>
      </w:r>
      <w:r w:rsidRPr="000E169A">
        <w:rPr>
          <w:sz w:val="22"/>
          <w:szCs w:val="22"/>
        </w:rPr>
        <w:t>Department of Otolaryngology</w:t>
      </w:r>
      <w:r w:rsidRPr="000E169A">
        <w:rPr>
          <w:color w:val="000000" w:themeColor="text1"/>
          <w:sz w:val="22"/>
          <w:szCs w:val="22"/>
        </w:rPr>
        <w:t>-Head and Neck Surgery</w:t>
      </w:r>
      <w:r w:rsidR="00360288">
        <w:rPr>
          <w:rFonts w:eastAsiaTheme="minorEastAsia" w:hint="eastAsia"/>
          <w:color w:val="000000" w:themeColor="text1"/>
          <w:sz w:val="22"/>
          <w:szCs w:val="22"/>
          <w:lang w:eastAsia="ko-KR"/>
        </w:rPr>
        <w:t>,</w:t>
      </w:r>
      <w:r w:rsidRPr="000E169A">
        <w:rPr>
          <w:sz w:val="22"/>
          <w:szCs w:val="22"/>
        </w:rPr>
        <w:t xml:space="preserve"> University of Missouri, Columbia, MO, </w:t>
      </w:r>
      <w:r w:rsidR="00360288">
        <w:rPr>
          <w:rFonts w:eastAsiaTheme="minorEastAsia" w:hint="eastAsia"/>
          <w:sz w:val="22"/>
          <w:szCs w:val="22"/>
          <w:lang w:eastAsia="ko-KR"/>
        </w:rPr>
        <w:t>USA</w:t>
      </w:r>
      <w:r w:rsidRPr="000E169A">
        <w:rPr>
          <w:sz w:val="22"/>
          <w:szCs w:val="22"/>
        </w:rPr>
        <w:t xml:space="preserve">, </w:t>
      </w:r>
      <w:r w:rsidRPr="000E169A">
        <w:rPr>
          <w:sz w:val="22"/>
          <w:szCs w:val="22"/>
          <w:vertAlign w:val="superscript"/>
        </w:rPr>
        <w:t>2</w:t>
      </w:r>
      <w:r w:rsidR="00360288">
        <w:rPr>
          <w:rFonts w:eastAsiaTheme="minorEastAsia" w:hint="eastAsia"/>
          <w:sz w:val="22"/>
          <w:szCs w:val="22"/>
          <w:lang w:eastAsia="ko-KR"/>
        </w:rPr>
        <w:t>Department of B</w:t>
      </w:r>
      <w:r w:rsidRPr="000E169A">
        <w:rPr>
          <w:sz w:val="22"/>
          <w:szCs w:val="22"/>
        </w:rPr>
        <w:t>iochemistry</w:t>
      </w:r>
      <w:r w:rsidR="000017E9">
        <w:rPr>
          <w:rFonts w:eastAsiaTheme="minorEastAsia" w:hint="eastAsia"/>
          <w:sz w:val="22"/>
          <w:szCs w:val="22"/>
          <w:lang w:eastAsia="ko-KR"/>
        </w:rPr>
        <w:t>,</w:t>
      </w:r>
      <w:r w:rsidRPr="000E169A">
        <w:rPr>
          <w:sz w:val="22"/>
          <w:szCs w:val="22"/>
        </w:rPr>
        <w:t xml:space="preserve"> University of Missouri, Columbia, MO, U</w:t>
      </w:r>
      <w:r w:rsidR="000017E9">
        <w:rPr>
          <w:rFonts w:eastAsiaTheme="minorEastAsia" w:hint="eastAsia"/>
          <w:sz w:val="22"/>
          <w:szCs w:val="22"/>
          <w:lang w:eastAsia="ko-KR"/>
        </w:rPr>
        <w:t>SA</w:t>
      </w:r>
      <w:r w:rsidRPr="000E169A">
        <w:rPr>
          <w:sz w:val="22"/>
          <w:szCs w:val="22"/>
        </w:rPr>
        <w:t xml:space="preserve">, </w:t>
      </w:r>
      <w:r w:rsidRPr="000E169A">
        <w:rPr>
          <w:sz w:val="22"/>
          <w:szCs w:val="22"/>
          <w:vertAlign w:val="superscript"/>
        </w:rPr>
        <w:t>3</w:t>
      </w:r>
      <w:r w:rsidRPr="000E169A">
        <w:rPr>
          <w:sz w:val="22"/>
          <w:szCs w:val="22"/>
        </w:rPr>
        <w:t>Christopher S. Bond Life Sciences Center, University of Missouri, Columbia, MO, U</w:t>
      </w:r>
      <w:r w:rsidR="000017E9">
        <w:rPr>
          <w:rFonts w:eastAsiaTheme="minorEastAsia" w:hint="eastAsia"/>
          <w:sz w:val="22"/>
          <w:szCs w:val="22"/>
          <w:lang w:eastAsia="ko-KR"/>
        </w:rPr>
        <w:t>SA</w:t>
      </w:r>
      <w:r w:rsidRPr="000E169A">
        <w:rPr>
          <w:sz w:val="22"/>
          <w:szCs w:val="22"/>
        </w:rPr>
        <w:t xml:space="preserve">, </w:t>
      </w:r>
      <w:r w:rsidRPr="000E169A">
        <w:rPr>
          <w:sz w:val="22"/>
          <w:szCs w:val="22"/>
          <w:vertAlign w:val="superscript"/>
        </w:rPr>
        <w:t>4</w:t>
      </w:r>
      <w:r w:rsidRPr="000E169A">
        <w:rPr>
          <w:sz w:val="22"/>
          <w:szCs w:val="22"/>
        </w:rPr>
        <w:t xml:space="preserve">Animal Modeling Core, University of Missouri, Columbia, MO, </w:t>
      </w:r>
      <w:r w:rsidR="000017E9">
        <w:rPr>
          <w:rFonts w:eastAsiaTheme="minorEastAsia" w:hint="eastAsia"/>
          <w:sz w:val="22"/>
          <w:szCs w:val="22"/>
          <w:lang w:eastAsia="ko-KR"/>
        </w:rPr>
        <w:t>USA</w:t>
      </w:r>
      <w:r w:rsidRPr="000E169A">
        <w:rPr>
          <w:sz w:val="22"/>
          <w:szCs w:val="22"/>
        </w:rPr>
        <w:t xml:space="preserve">, </w:t>
      </w:r>
      <w:r w:rsidRPr="000E169A">
        <w:rPr>
          <w:sz w:val="22"/>
          <w:szCs w:val="22"/>
          <w:vertAlign w:val="superscript"/>
        </w:rPr>
        <w:t>5</w:t>
      </w:r>
      <w:r w:rsidRPr="000E169A">
        <w:rPr>
          <w:sz w:val="22"/>
          <w:szCs w:val="22"/>
        </w:rPr>
        <w:t xml:space="preserve">School of Dentistry University of Utah, Salt Lake City UT, </w:t>
      </w:r>
      <w:r w:rsidR="000017E9">
        <w:rPr>
          <w:rFonts w:eastAsiaTheme="minorEastAsia" w:hint="eastAsia"/>
          <w:sz w:val="22"/>
          <w:szCs w:val="22"/>
          <w:lang w:eastAsia="ko-KR"/>
        </w:rPr>
        <w:t>USA</w:t>
      </w:r>
      <w:r w:rsidRPr="000E169A">
        <w:rPr>
          <w:sz w:val="22"/>
          <w:szCs w:val="22"/>
        </w:rPr>
        <w:t xml:space="preserve">, </w:t>
      </w:r>
      <w:r w:rsidRPr="000E169A">
        <w:rPr>
          <w:sz w:val="22"/>
          <w:szCs w:val="22"/>
          <w:vertAlign w:val="superscript"/>
        </w:rPr>
        <w:t>6</w:t>
      </w:r>
      <w:r w:rsidRPr="000E169A">
        <w:rPr>
          <w:sz w:val="22"/>
          <w:szCs w:val="22"/>
        </w:rPr>
        <w:t xml:space="preserve">Division of Clinical Pharmacology, Department of Pediatrics, School of Medicine University of Utah, Salt Lake City UT, United States, </w:t>
      </w:r>
      <w:r w:rsidRPr="000E169A">
        <w:rPr>
          <w:sz w:val="22"/>
          <w:szCs w:val="22"/>
          <w:vertAlign w:val="superscript"/>
        </w:rPr>
        <w:t>7</w:t>
      </w:r>
      <w:r w:rsidRPr="000E169A">
        <w:rPr>
          <w:sz w:val="22"/>
          <w:szCs w:val="22"/>
        </w:rPr>
        <w:t xml:space="preserve">Department of Molecular Pharmaceutics, College of Pharmacy, University of Utah, Salt Lake City, UT, </w:t>
      </w:r>
      <w:r w:rsidR="000017E9">
        <w:rPr>
          <w:rFonts w:eastAsiaTheme="minorEastAsia" w:hint="eastAsia"/>
          <w:sz w:val="22"/>
          <w:szCs w:val="22"/>
          <w:lang w:eastAsia="ko-KR"/>
        </w:rPr>
        <w:t>USA</w:t>
      </w:r>
      <w:r w:rsidRPr="000E169A">
        <w:rPr>
          <w:sz w:val="22"/>
          <w:szCs w:val="22"/>
        </w:rPr>
        <w:t xml:space="preserve">, </w:t>
      </w:r>
      <w:r w:rsidRPr="000E169A">
        <w:rPr>
          <w:sz w:val="22"/>
          <w:szCs w:val="22"/>
          <w:vertAlign w:val="superscript"/>
        </w:rPr>
        <w:t>8</w:t>
      </w:r>
      <w:r w:rsidRPr="000E169A">
        <w:rPr>
          <w:sz w:val="22"/>
          <w:szCs w:val="22"/>
        </w:rPr>
        <w:t xml:space="preserve">School of Dental Medicine, Department of Oral Biology, University at Buffalo, The State University of New York, Buffalo NY, </w:t>
      </w:r>
      <w:r w:rsidR="000017E9">
        <w:rPr>
          <w:rFonts w:eastAsiaTheme="minorEastAsia" w:hint="eastAsia"/>
          <w:sz w:val="22"/>
          <w:szCs w:val="22"/>
          <w:lang w:eastAsia="ko-KR"/>
        </w:rPr>
        <w:t>USA</w:t>
      </w:r>
      <w:r w:rsidRPr="000E169A">
        <w:rPr>
          <w:sz w:val="22"/>
          <w:szCs w:val="22"/>
        </w:rPr>
        <w:t>.</w:t>
      </w:r>
    </w:p>
    <w:p w14:paraId="1A20CE6B" w14:textId="77777777" w:rsidR="009B3357" w:rsidRDefault="009B3357" w:rsidP="002E0D67">
      <w:pPr>
        <w:spacing w:line="480" w:lineRule="auto"/>
        <w:ind w:right="-450"/>
        <w:jc w:val="center"/>
        <w:rPr>
          <w:rFonts w:eastAsiaTheme="minorEastAsia"/>
          <w:sz w:val="22"/>
          <w:szCs w:val="22"/>
          <w:lang w:eastAsia="ko-KR"/>
        </w:rPr>
      </w:pPr>
    </w:p>
    <w:p w14:paraId="14D90626" w14:textId="77777777" w:rsidR="009B3357" w:rsidRPr="009B3357" w:rsidRDefault="009B3357" w:rsidP="002E0D67">
      <w:pPr>
        <w:spacing w:line="480" w:lineRule="auto"/>
        <w:ind w:right="-450"/>
        <w:jc w:val="center"/>
        <w:rPr>
          <w:rFonts w:eastAsiaTheme="minorEastAsia" w:hint="eastAsia"/>
          <w:sz w:val="22"/>
          <w:szCs w:val="22"/>
          <w:lang w:eastAsia="ko-KR"/>
        </w:rPr>
      </w:pPr>
    </w:p>
    <w:p w14:paraId="73E6ABD8"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*To whom correspondence should be addressed:</w:t>
      </w:r>
    </w:p>
    <w:p w14:paraId="735B647E"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Olga J. Baker DDS., PhD.</w:t>
      </w:r>
    </w:p>
    <w:p w14:paraId="142B2CB0" w14:textId="328A2B95" w:rsidR="00D83D7E" w:rsidRPr="009B3357" w:rsidRDefault="00D83D7E" w:rsidP="00D83D7E">
      <w:pPr>
        <w:autoSpaceDE w:val="0"/>
        <w:autoSpaceDN w:val="0"/>
        <w:adjustRightInd w:val="0"/>
        <w:spacing w:line="480" w:lineRule="auto"/>
        <w:ind w:left="-187"/>
        <w:rPr>
          <w:rFonts w:eastAsiaTheme="minorEastAsia" w:hint="eastAsia"/>
          <w:color w:val="000000" w:themeColor="text1"/>
          <w:sz w:val="22"/>
          <w:szCs w:val="22"/>
          <w:lang w:eastAsia="ko-KR"/>
        </w:rPr>
      </w:pPr>
      <w:r w:rsidRPr="000E169A">
        <w:rPr>
          <w:color w:val="000000" w:themeColor="text1"/>
          <w:sz w:val="22"/>
          <w:szCs w:val="22"/>
        </w:rPr>
        <w:t>Department of Otolaryngology-Head and Neck Surgery</w:t>
      </w:r>
    </w:p>
    <w:p w14:paraId="337433DB" w14:textId="17E67D5E" w:rsidR="009B3357" w:rsidRPr="009B3357" w:rsidRDefault="009B3357" w:rsidP="00D83D7E">
      <w:pPr>
        <w:autoSpaceDE w:val="0"/>
        <w:autoSpaceDN w:val="0"/>
        <w:adjustRightInd w:val="0"/>
        <w:spacing w:line="480" w:lineRule="auto"/>
        <w:ind w:left="-187"/>
        <w:rPr>
          <w:rFonts w:eastAsiaTheme="minorEastAsia" w:hint="eastAsia"/>
          <w:color w:val="000000" w:themeColor="text1"/>
          <w:sz w:val="22"/>
          <w:szCs w:val="22"/>
          <w:lang w:eastAsia="ko-KR"/>
        </w:rPr>
      </w:pPr>
      <w:r w:rsidRPr="009B3357">
        <w:rPr>
          <w:rFonts w:eastAsiaTheme="minorEastAsia"/>
          <w:color w:val="000000" w:themeColor="text1"/>
          <w:sz w:val="22"/>
          <w:szCs w:val="22"/>
          <w:lang w:eastAsia="ko-KR"/>
        </w:rPr>
        <w:t>Department of Biochemistry</w:t>
      </w:r>
    </w:p>
    <w:p w14:paraId="575E199A"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University of Missouri</w:t>
      </w:r>
    </w:p>
    <w:p w14:paraId="078E2A3C"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540B Christopher S. Bond Life Sciences Center</w:t>
      </w:r>
    </w:p>
    <w:p w14:paraId="73F6F43E"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1201 Rollins Street</w:t>
      </w:r>
    </w:p>
    <w:p w14:paraId="6404F46B"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Columbia, Missouri 65211-7310</w:t>
      </w:r>
    </w:p>
    <w:p w14:paraId="2D219D7D" w14:textId="77777777" w:rsidR="00D83D7E" w:rsidRPr="000E169A" w:rsidRDefault="00D83D7E" w:rsidP="00D83D7E">
      <w:pPr>
        <w:autoSpaceDE w:val="0"/>
        <w:autoSpaceDN w:val="0"/>
        <w:adjustRightInd w:val="0"/>
        <w:spacing w:line="480" w:lineRule="auto"/>
        <w:ind w:left="-187"/>
        <w:rPr>
          <w:color w:val="000000" w:themeColor="text1"/>
          <w:sz w:val="22"/>
          <w:szCs w:val="22"/>
        </w:rPr>
      </w:pPr>
      <w:r w:rsidRPr="000E169A">
        <w:rPr>
          <w:color w:val="000000" w:themeColor="text1"/>
          <w:sz w:val="22"/>
          <w:szCs w:val="22"/>
        </w:rPr>
        <w:t xml:space="preserve">Email: </w:t>
      </w:r>
      <w:hyperlink r:id="rId8" w:history="1">
        <w:r w:rsidRPr="000E169A">
          <w:rPr>
            <w:rStyle w:val="Hyperlink"/>
            <w:color w:val="000000"/>
            <w:sz w:val="22"/>
            <w:szCs w:val="22"/>
          </w:rPr>
          <w:t>bakero@health.missouri.edu</w:t>
        </w:r>
      </w:hyperlink>
    </w:p>
    <w:p w14:paraId="45C16072" w14:textId="77777777" w:rsidR="005A7C14" w:rsidRPr="000E169A" w:rsidRDefault="005A7C14" w:rsidP="005A7C14">
      <w:pPr>
        <w:widowControl w:val="0"/>
        <w:autoSpaceDE w:val="0"/>
        <w:autoSpaceDN w:val="0"/>
        <w:adjustRightInd w:val="0"/>
        <w:spacing w:line="480" w:lineRule="auto"/>
        <w:jc w:val="center"/>
        <w:rPr>
          <w:rFonts w:eastAsiaTheme="minorEastAsia"/>
          <w:sz w:val="22"/>
          <w:szCs w:val="22"/>
          <w:lang w:eastAsia="ko-KR"/>
        </w:rPr>
      </w:pPr>
      <w:r w:rsidRPr="000E169A">
        <w:rPr>
          <w:rFonts w:eastAsiaTheme="minorEastAsia"/>
          <w:noProof/>
          <w:sz w:val="22"/>
          <w:szCs w:val="22"/>
          <w:lang w:eastAsia="ko-KR"/>
        </w:rPr>
        <w:lastRenderedPageBreak/>
        <w:drawing>
          <wp:inline distT="0" distB="0" distL="0" distR="0" wp14:anchorId="10E24E3E" wp14:editId="54E060F6">
            <wp:extent cx="5270740" cy="5060947"/>
            <wp:effectExtent l="0" t="0" r="6350" b="6985"/>
            <wp:docPr id="1186381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7460" cy="5067400"/>
                    </a:xfrm>
                    <a:prstGeom prst="rect">
                      <a:avLst/>
                    </a:prstGeom>
                    <a:noFill/>
                    <a:ln>
                      <a:noFill/>
                    </a:ln>
                  </pic:spPr>
                </pic:pic>
              </a:graphicData>
            </a:graphic>
          </wp:inline>
        </w:drawing>
      </w:r>
    </w:p>
    <w:p w14:paraId="269DDADE" w14:textId="2AE97048" w:rsidR="005A7C14" w:rsidRPr="000E169A" w:rsidRDefault="005A7C14" w:rsidP="005A7C14">
      <w:pPr>
        <w:widowControl w:val="0"/>
        <w:autoSpaceDE w:val="0"/>
        <w:autoSpaceDN w:val="0"/>
        <w:adjustRightInd w:val="0"/>
        <w:spacing w:line="480" w:lineRule="auto"/>
        <w:jc w:val="both"/>
        <w:rPr>
          <w:rFonts w:eastAsiaTheme="minorEastAsia"/>
          <w:iCs/>
          <w:color w:val="212121"/>
          <w:sz w:val="22"/>
          <w:szCs w:val="22"/>
          <w:shd w:val="clear" w:color="auto" w:fill="FFFFFF"/>
          <w:lang w:eastAsia="ko-KR"/>
        </w:rPr>
      </w:pPr>
      <w:r w:rsidRPr="000E169A">
        <w:rPr>
          <w:rFonts w:eastAsiaTheme="minorEastAsia"/>
          <w:b/>
          <w:bCs/>
          <w:iCs/>
          <w:color w:val="212121"/>
          <w:sz w:val="22"/>
          <w:szCs w:val="22"/>
          <w:shd w:val="clear" w:color="auto" w:fill="FFFFFF"/>
          <w:lang w:eastAsia="ko-KR"/>
        </w:rPr>
        <w:t xml:space="preserve">Supplementary Figure </w:t>
      </w:r>
      <w:r w:rsidRPr="000E169A">
        <w:rPr>
          <w:rFonts w:eastAsiaTheme="minorEastAsia" w:hint="eastAsia"/>
          <w:b/>
          <w:bCs/>
          <w:iCs/>
          <w:color w:val="212121"/>
          <w:sz w:val="22"/>
          <w:szCs w:val="22"/>
          <w:shd w:val="clear" w:color="auto" w:fill="FFFFFF"/>
          <w:lang w:eastAsia="ko-KR"/>
        </w:rPr>
        <w:t>1</w:t>
      </w:r>
      <w:r w:rsidRPr="000E169A">
        <w:rPr>
          <w:rFonts w:eastAsiaTheme="minorEastAsia"/>
          <w:b/>
          <w:bCs/>
          <w:iCs/>
          <w:color w:val="212121"/>
          <w:sz w:val="22"/>
          <w:szCs w:val="22"/>
          <w:shd w:val="clear" w:color="auto" w:fill="FFFFFF"/>
          <w:lang w:eastAsia="ko-KR"/>
        </w:rPr>
        <w:t>. Sanger sequencing confirms no off-target mutations in the human FPR2 mouse model.</w:t>
      </w:r>
      <w:r w:rsidRPr="000E169A">
        <w:rPr>
          <w:rFonts w:eastAsiaTheme="minorEastAsia"/>
          <w:iCs/>
          <w:color w:val="212121"/>
          <w:sz w:val="22"/>
          <w:szCs w:val="22"/>
          <w:shd w:val="clear" w:color="auto" w:fill="FFFFFF"/>
          <w:lang w:eastAsia="ko-KR"/>
        </w:rPr>
        <w:t xml:space="preserve"> The chromatogram shows the Sanger sequencing results of the predicted off-target site located at Chr17:17920234 in the hFPR2 mouse model </w:t>
      </w:r>
      <w:r w:rsidRPr="000E169A">
        <w:rPr>
          <w:rFonts w:eastAsiaTheme="minorEastAsia"/>
          <w:b/>
          <w:bCs/>
          <w:iCs/>
          <w:color w:val="212121"/>
          <w:sz w:val="22"/>
          <w:szCs w:val="22"/>
          <w:shd w:val="clear" w:color="auto" w:fill="FFFFFF"/>
          <w:lang w:eastAsia="ko-KR"/>
        </w:rPr>
        <w:t>(A)</w:t>
      </w:r>
      <w:r w:rsidRPr="000E169A">
        <w:rPr>
          <w:rFonts w:eastAsiaTheme="minorEastAsia"/>
          <w:iCs/>
          <w:color w:val="212121"/>
          <w:sz w:val="22"/>
          <w:szCs w:val="22"/>
          <w:shd w:val="clear" w:color="auto" w:fill="FFFFFF"/>
          <w:lang w:eastAsia="ko-KR"/>
        </w:rPr>
        <w:t xml:space="preserve">. This analysis was conducted to verify the presence of any unintended mutations at this off-target site. The boxed region indicates the predicted sgRNA binding site, and the reference sequence is indicated as C57BL/6J genomic DNA. Blue highlights bulging base pairs compared to the sgRNA sequence (DNA bulge). Alignment shows no sequence mutations when compared to the C57BL/6 reference genome. For comparison, the chromatogram shows on-target sequencing results from a wild-type C57BL/6J sample. The sequence is aligned to the same region, and no mutations are observed </w:t>
      </w:r>
      <w:r w:rsidRPr="000E169A">
        <w:rPr>
          <w:rFonts w:eastAsiaTheme="minorEastAsia"/>
          <w:b/>
          <w:bCs/>
          <w:iCs/>
          <w:color w:val="212121"/>
          <w:sz w:val="22"/>
          <w:szCs w:val="22"/>
          <w:shd w:val="clear" w:color="auto" w:fill="FFFFFF"/>
          <w:lang w:eastAsia="ko-KR"/>
        </w:rPr>
        <w:t>(B)</w:t>
      </w:r>
      <w:r w:rsidRPr="000E169A">
        <w:rPr>
          <w:rFonts w:eastAsiaTheme="minorEastAsia"/>
          <w:iCs/>
          <w:color w:val="212121"/>
          <w:sz w:val="22"/>
          <w:szCs w:val="22"/>
          <w:shd w:val="clear" w:color="auto" w:fill="FFFFFF"/>
          <w:lang w:eastAsia="ko-KR"/>
        </w:rPr>
        <w:t>.</w:t>
      </w:r>
    </w:p>
    <w:p w14:paraId="23C18975" w14:textId="5128A2C0" w:rsidR="005A7C14" w:rsidRPr="000E169A" w:rsidRDefault="005A7C14">
      <w:pPr>
        <w:rPr>
          <w:rFonts w:eastAsiaTheme="minorEastAsia"/>
          <w:sz w:val="22"/>
          <w:szCs w:val="22"/>
          <w:lang w:eastAsia="ko-KR"/>
        </w:rPr>
      </w:pPr>
    </w:p>
    <w:p w14:paraId="68F22C59" w14:textId="18A597E9" w:rsidR="009B1694" w:rsidRPr="000E169A" w:rsidRDefault="000760E1" w:rsidP="006F148F">
      <w:pPr>
        <w:widowControl w:val="0"/>
        <w:autoSpaceDE w:val="0"/>
        <w:autoSpaceDN w:val="0"/>
        <w:adjustRightInd w:val="0"/>
        <w:spacing w:line="480" w:lineRule="auto"/>
        <w:jc w:val="center"/>
        <w:rPr>
          <w:rFonts w:eastAsiaTheme="minorEastAsia"/>
          <w:sz w:val="22"/>
          <w:szCs w:val="22"/>
          <w:lang w:eastAsia="ko-KR"/>
        </w:rPr>
      </w:pPr>
      <w:r w:rsidRPr="000E169A">
        <w:rPr>
          <w:rFonts w:eastAsiaTheme="minorEastAsia"/>
          <w:noProof/>
          <w:sz w:val="22"/>
          <w:szCs w:val="22"/>
          <w:lang w:eastAsia="ko-KR"/>
        </w:rPr>
        <w:drawing>
          <wp:inline distT="0" distB="0" distL="0" distR="0" wp14:anchorId="6C225A88" wp14:editId="3A72B89A">
            <wp:extent cx="4117975" cy="2593975"/>
            <wp:effectExtent l="0" t="0" r="0" b="0"/>
            <wp:docPr id="713553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7975" cy="2593975"/>
                    </a:xfrm>
                    <a:prstGeom prst="rect">
                      <a:avLst/>
                    </a:prstGeom>
                    <a:noFill/>
                    <a:ln>
                      <a:noFill/>
                    </a:ln>
                  </pic:spPr>
                </pic:pic>
              </a:graphicData>
            </a:graphic>
          </wp:inline>
        </w:drawing>
      </w:r>
    </w:p>
    <w:p w14:paraId="1436756B" w14:textId="46F1F0FD" w:rsidR="00C9752E" w:rsidRPr="000E169A" w:rsidRDefault="0007477F" w:rsidP="008F4E72">
      <w:pPr>
        <w:widowControl w:val="0"/>
        <w:autoSpaceDE w:val="0"/>
        <w:autoSpaceDN w:val="0"/>
        <w:adjustRightInd w:val="0"/>
        <w:spacing w:line="480" w:lineRule="auto"/>
        <w:jc w:val="both"/>
        <w:rPr>
          <w:rFonts w:eastAsiaTheme="minorEastAsia"/>
          <w:iCs/>
          <w:color w:val="212121"/>
          <w:sz w:val="22"/>
          <w:szCs w:val="22"/>
          <w:shd w:val="clear" w:color="auto" w:fill="FFFFFF"/>
          <w:lang w:eastAsia="ko-KR"/>
        </w:rPr>
      </w:pPr>
      <w:r w:rsidRPr="000E169A">
        <w:rPr>
          <w:rFonts w:eastAsiaTheme="minorEastAsia"/>
          <w:b/>
          <w:bCs/>
          <w:iCs/>
          <w:color w:val="212121"/>
          <w:sz w:val="22"/>
          <w:szCs w:val="22"/>
          <w:shd w:val="clear" w:color="auto" w:fill="FFFFFF"/>
          <w:lang w:eastAsia="ko-KR"/>
        </w:rPr>
        <w:t xml:space="preserve">Supplementary Figure </w:t>
      </w:r>
      <w:r w:rsidR="005A7C14" w:rsidRPr="000E169A">
        <w:rPr>
          <w:rFonts w:eastAsiaTheme="minorEastAsia" w:hint="eastAsia"/>
          <w:b/>
          <w:bCs/>
          <w:iCs/>
          <w:color w:val="212121"/>
          <w:sz w:val="22"/>
          <w:szCs w:val="22"/>
          <w:shd w:val="clear" w:color="auto" w:fill="FFFFFF"/>
          <w:lang w:eastAsia="ko-KR"/>
        </w:rPr>
        <w:t>2</w:t>
      </w:r>
      <w:r w:rsidRPr="000E169A">
        <w:rPr>
          <w:rFonts w:eastAsiaTheme="minorEastAsia"/>
          <w:b/>
          <w:bCs/>
          <w:iCs/>
          <w:color w:val="212121"/>
          <w:sz w:val="22"/>
          <w:szCs w:val="22"/>
          <w:shd w:val="clear" w:color="auto" w:fill="FFFFFF"/>
          <w:lang w:eastAsia="ko-KR"/>
        </w:rPr>
        <w:t xml:space="preserve">. </w:t>
      </w:r>
      <w:r w:rsidR="00853D6C" w:rsidRPr="000E169A">
        <w:rPr>
          <w:rFonts w:eastAsiaTheme="minorEastAsia"/>
          <w:b/>
          <w:bCs/>
          <w:iCs/>
          <w:color w:val="212121"/>
          <w:sz w:val="22"/>
          <w:szCs w:val="22"/>
          <w:shd w:val="clear" w:color="auto" w:fill="FFFFFF"/>
          <w:lang w:eastAsia="ko-KR"/>
        </w:rPr>
        <w:t>PCR genotyping of humanized hFPR2 knock-in mice</w:t>
      </w:r>
      <w:r w:rsidRPr="000E169A">
        <w:rPr>
          <w:rFonts w:eastAsiaTheme="minorEastAsia"/>
          <w:b/>
          <w:bCs/>
          <w:iCs/>
          <w:color w:val="212121"/>
          <w:sz w:val="22"/>
          <w:szCs w:val="22"/>
          <w:shd w:val="clear" w:color="auto" w:fill="FFFFFF"/>
          <w:lang w:eastAsia="ko-KR"/>
        </w:rPr>
        <w:t>.</w:t>
      </w:r>
      <w:r w:rsidRPr="000E169A">
        <w:rPr>
          <w:rFonts w:eastAsiaTheme="minorEastAsia" w:hint="eastAsia"/>
          <w:b/>
          <w:bCs/>
          <w:iCs/>
          <w:color w:val="212121"/>
          <w:sz w:val="22"/>
          <w:szCs w:val="22"/>
          <w:shd w:val="clear" w:color="auto" w:fill="FFFFFF"/>
          <w:lang w:eastAsia="ko-KR"/>
        </w:rPr>
        <w:t xml:space="preserve"> </w:t>
      </w:r>
      <w:r w:rsidR="000760E1" w:rsidRPr="000E169A">
        <w:rPr>
          <w:rFonts w:eastAsiaTheme="minorEastAsia"/>
          <w:iCs/>
          <w:color w:val="212121"/>
          <w:sz w:val="22"/>
          <w:szCs w:val="22"/>
          <w:shd w:val="clear" w:color="auto" w:fill="FFFFFF"/>
          <w:lang w:eastAsia="ko-KR"/>
        </w:rPr>
        <w:t>The insertion of the hFPR2 gene in humanized mice was verified by PCR using genomic DNA isolated from tail biopsy samples collected at 3 weeks of age. PCR was performed using the following primers: forward primer 5’-GCTATGCTACCCCAGAAAGG-3’ and reverse primer 5’-GCAGAACAGTGTAGCCAGCA-3’. Note that the positive control is DNA from the sequence-verified founder animal carrying the correct knock-in allele.</w:t>
      </w:r>
    </w:p>
    <w:p w14:paraId="4AB7001D" w14:textId="77777777" w:rsidR="00C9752E" w:rsidRPr="000E169A" w:rsidRDefault="00C9752E">
      <w:pPr>
        <w:rPr>
          <w:rFonts w:eastAsiaTheme="minorEastAsia"/>
          <w:iCs/>
          <w:color w:val="212121"/>
          <w:sz w:val="22"/>
          <w:szCs w:val="22"/>
          <w:shd w:val="clear" w:color="auto" w:fill="FFFFFF"/>
          <w:lang w:eastAsia="ko-KR"/>
        </w:rPr>
      </w:pPr>
      <w:r w:rsidRPr="000E169A">
        <w:rPr>
          <w:rFonts w:eastAsiaTheme="minorEastAsia"/>
          <w:iCs/>
          <w:color w:val="212121"/>
          <w:sz w:val="22"/>
          <w:szCs w:val="22"/>
          <w:shd w:val="clear" w:color="auto" w:fill="FFFFFF"/>
          <w:lang w:eastAsia="ko-KR"/>
        </w:rPr>
        <w:br w:type="page"/>
      </w:r>
    </w:p>
    <w:p w14:paraId="33F52649" w14:textId="0CDF1EBB" w:rsidR="00390A2D" w:rsidRPr="000E169A" w:rsidRDefault="000D2BF9" w:rsidP="00390A2D">
      <w:pPr>
        <w:widowControl w:val="0"/>
        <w:autoSpaceDE w:val="0"/>
        <w:autoSpaceDN w:val="0"/>
        <w:adjustRightInd w:val="0"/>
        <w:spacing w:line="480" w:lineRule="auto"/>
        <w:jc w:val="center"/>
        <w:rPr>
          <w:rFonts w:eastAsiaTheme="minorEastAsia"/>
          <w:b/>
          <w:bCs/>
          <w:iCs/>
          <w:color w:val="212121"/>
          <w:sz w:val="22"/>
          <w:szCs w:val="22"/>
          <w:shd w:val="clear" w:color="auto" w:fill="FFFFFF"/>
          <w:lang w:eastAsia="ko-KR"/>
        </w:rPr>
      </w:pPr>
      <w:r w:rsidRPr="000E169A">
        <w:rPr>
          <w:rFonts w:eastAsiaTheme="minorEastAsia"/>
          <w:iCs/>
          <w:noProof/>
          <w:color w:val="212121"/>
          <w:sz w:val="22"/>
          <w:szCs w:val="22"/>
          <w:shd w:val="clear" w:color="auto" w:fill="FFFFFF"/>
          <w:lang w:eastAsia="ko-KR"/>
        </w:rPr>
        <w:lastRenderedPageBreak/>
        <w:t xml:space="preserve"> </w:t>
      </w:r>
      <w:r w:rsidR="004468B7" w:rsidRPr="000E169A">
        <w:rPr>
          <w:rFonts w:eastAsiaTheme="minorEastAsia" w:hint="eastAsia"/>
          <w:b/>
          <w:bCs/>
          <w:iCs/>
          <w:noProof/>
          <w:color w:val="212121"/>
          <w:sz w:val="22"/>
          <w:szCs w:val="22"/>
          <w:shd w:val="clear" w:color="auto" w:fill="FFFFFF"/>
          <w:lang w:eastAsia="ko-KR"/>
        </w:rPr>
        <w:drawing>
          <wp:inline distT="0" distB="0" distL="0" distR="0" wp14:anchorId="66AA949E" wp14:editId="07A5ECEE">
            <wp:extent cx="5943600" cy="2082800"/>
            <wp:effectExtent l="0" t="0" r="0" b="0"/>
            <wp:docPr id="13819100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082800"/>
                    </a:xfrm>
                    <a:prstGeom prst="rect">
                      <a:avLst/>
                    </a:prstGeom>
                    <a:noFill/>
                    <a:ln>
                      <a:noFill/>
                    </a:ln>
                  </pic:spPr>
                </pic:pic>
              </a:graphicData>
            </a:graphic>
          </wp:inline>
        </w:drawing>
      </w:r>
    </w:p>
    <w:p w14:paraId="22BD25F5" w14:textId="0193BADA" w:rsidR="005A7C14" w:rsidRPr="000E169A" w:rsidRDefault="005A7C14" w:rsidP="008F4E72">
      <w:pPr>
        <w:widowControl w:val="0"/>
        <w:autoSpaceDE w:val="0"/>
        <w:autoSpaceDN w:val="0"/>
        <w:adjustRightInd w:val="0"/>
        <w:spacing w:line="480" w:lineRule="auto"/>
        <w:jc w:val="both"/>
        <w:rPr>
          <w:rFonts w:eastAsiaTheme="minorEastAsia"/>
          <w:iCs/>
          <w:color w:val="212121"/>
          <w:sz w:val="22"/>
          <w:szCs w:val="22"/>
          <w:shd w:val="clear" w:color="auto" w:fill="FFFFFF"/>
          <w:lang w:eastAsia="ko-KR"/>
        </w:rPr>
      </w:pPr>
      <w:r w:rsidRPr="000E169A">
        <w:rPr>
          <w:rFonts w:eastAsiaTheme="minorEastAsia"/>
          <w:b/>
          <w:bCs/>
          <w:iCs/>
          <w:color w:val="212121"/>
          <w:sz w:val="22"/>
          <w:szCs w:val="22"/>
          <w:shd w:val="clear" w:color="auto" w:fill="FFFFFF"/>
          <w:lang w:eastAsia="ko-KR"/>
        </w:rPr>
        <w:t xml:space="preserve">Supplementary Figure </w:t>
      </w:r>
      <w:r w:rsidRPr="000E169A">
        <w:rPr>
          <w:rFonts w:eastAsiaTheme="minorEastAsia" w:hint="eastAsia"/>
          <w:b/>
          <w:bCs/>
          <w:iCs/>
          <w:color w:val="212121"/>
          <w:sz w:val="22"/>
          <w:szCs w:val="22"/>
          <w:shd w:val="clear" w:color="auto" w:fill="FFFFFF"/>
          <w:lang w:eastAsia="ko-KR"/>
        </w:rPr>
        <w:t>3</w:t>
      </w:r>
      <w:r w:rsidRPr="000E169A">
        <w:rPr>
          <w:rFonts w:eastAsiaTheme="minorEastAsia"/>
          <w:b/>
          <w:bCs/>
          <w:iCs/>
          <w:color w:val="212121"/>
          <w:sz w:val="22"/>
          <w:szCs w:val="22"/>
          <w:shd w:val="clear" w:color="auto" w:fill="FFFFFF"/>
          <w:lang w:eastAsia="ko-KR"/>
        </w:rPr>
        <w:t>.</w:t>
      </w:r>
      <w:r w:rsidR="000B61D1" w:rsidRPr="000E169A">
        <w:rPr>
          <w:rFonts w:eastAsiaTheme="minorEastAsia" w:hint="eastAsia"/>
          <w:b/>
          <w:bCs/>
          <w:iCs/>
          <w:color w:val="212121"/>
          <w:sz w:val="22"/>
          <w:szCs w:val="22"/>
          <w:shd w:val="clear" w:color="auto" w:fill="FFFFFF"/>
          <w:lang w:eastAsia="ko-KR"/>
        </w:rPr>
        <w:t xml:space="preserve"> </w:t>
      </w:r>
      <w:r w:rsidR="000B61D1" w:rsidRPr="000E169A">
        <w:rPr>
          <w:rFonts w:eastAsiaTheme="minorEastAsia"/>
          <w:b/>
          <w:bCs/>
          <w:iCs/>
          <w:color w:val="212121"/>
          <w:sz w:val="22"/>
          <w:szCs w:val="22"/>
          <w:shd w:val="clear" w:color="auto" w:fill="FFFFFF"/>
          <w:lang w:eastAsia="ko-KR"/>
        </w:rPr>
        <w:t>MMK-1-induced calcium signaling confirms functional hFPR2 expression in humanized mice</w:t>
      </w:r>
      <w:r w:rsidR="002F3808" w:rsidRPr="000E169A">
        <w:rPr>
          <w:rFonts w:eastAsiaTheme="minorEastAsia" w:hint="eastAsia"/>
          <w:b/>
          <w:bCs/>
          <w:iCs/>
          <w:color w:val="212121"/>
          <w:sz w:val="22"/>
          <w:szCs w:val="22"/>
          <w:shd w:val="clear" w:color="auto" w:fill="FFFFFF"/>
          <w:lang w:eastAsia="ko-KR"/>
        </w:rPr>
        <w:t>.</w:t>
      </w:r>
      <w:r w:rsidR="004468B7" w:rsidRPr="000E169A">
        <w:rPr>
          <w:rFonts w:eastAsiaTheme="minorEastAsia" w:hint="eastAsia"/>
          <w:b/>
          <w:bCs/>
          <w:iCs/>
          <w:color w:val="212121"/>
          <w:sz w:val="22"/>
          <w:szCs w:val="22"/>
          <w:shd w:val="clear" w:color="auto" w:fill="FFFFFF"/>
          <w:lang w:eastAsia="ko-KR"/>
        </w:rPr>
        <w:t xml:space="preserve"> </w:t>
      </w:r>
      <w:r w:rsidRPr="000E169A">
        <w:rPr>
          <w:rFonts w:eastAsiaTheme="minorEastAsia"/>
          <w:iCs/>
          <w:color w:val="212121"/>
          <w:sz w:val="22"/>
          <w:szCs w:val="22"/>
          <w:shd w:val="clear" w:color="auto" w:fill="FFFFFF"/>
          <w:lang w:eastAsia="ko-KR"/>
        </w:rPr>
        <w:t>To determine hFPR2 activity, freshly isolated SMG cells were stimulated with MMK-1 and changes in intracellular [Ca</w:t>
      </w:r>
      <w:r w:rsidRPr="000E169A">
        <w:rPr>
          <w:rFonts w:eastAsiaTheme="minorEastAsia"/>
          <w:iCs/>
          <w:color w:val="212121"/>
          <w:sz w:val="22"/>
          <w:szCs w:val="22"/>
          <w:shd w:val="clear" w:color="auto" w:fill="FFFFFF"/>
          <w:vertAlign w:val="superscript"/>
          <w:lang w:eastAsia="ko-KR"/>
        </w:rPr>
        <w:t>2+</w:t>
      </w:r>
      <w:r w:rsidRPr="000E169A">
        <w:rPr>
          <w:rFonts w:eastAsiaTheme="minorEastAsia"/>
          <w:iCs/>
          <w:color w:val="212121"/>
          <w:sz w:val="22"/>
          <w:szCs w:val="22"/>
          <w:shd w:val="clear" w:color="auto" w:fill="FFFFFF"/>
          <w:lang w:eastAsia="ko-KR"/>
        </w:rPr>
        <w:t>]</w:t>
      </w:r>
      <w:r w:rsidRPr="000E169A">
        <w:rPr>
          <w:rFonts w:eastAsiaTheme="minorEastAsia"/>
          <w:iCs/>
          <w:color w:val="212121"/>
          <w:sz w:val="22"/>
          <w:szCs w:val="22"/>
          <w:shd w:val="clear" w:color="auto" w:fill="FFFFFF"/>
          <w:vertAlign w:val="subscript"/>
          <w:lang w:eastAsia="ko-KR"/>
        </w:rPr>
        <w:t>i</w:t>
      </w:r>
      <w:r w:rsidRPr="000E169A">
        <w:rPr>
          <w:rFonts w:eastAsiaTheme="minorEastAsia"/>
          <w:iCs/>
          <w:color w:val="212121"/>
          <w:sz w:val="22"/>
          <w:szCs w:val="22"/>
          <w:shd w:val="clear" w:color="auto" w:fill="FFFFFF"/>
          <w:lang w:eastAsia="ko-KR"/>
        </w:rPr>
        <w:t xml:space="preserve"> were measured using a Leica STELLARIS 5 confocal microscope</w:t>
      </w:r>
      <w:r w:rsidR="005B555F">
        <w:rPr>
          <w:rFonts w:eastAsiaTheme="minorEastAsia" w:hint="eastAsia"/>
          <w:iCs/>
          <w:color w:val="212121"/>
          <w:sz w:val="22"/>
          <w:szCs w:val="22"/>
          <w:shd w:val="clear" w:color="auto" w:fill="FFFFFF"/>
          <w:lang w:eastAsia="ko-KR"/>
        </w:rPr>
        <w:t>.</w:t>
      </w:r>
      <w:r w:rsidRPr="000E169A">
        <w:rPr>
          <w:rFonts w:eastAsiaTheme="minorEastAsia"/>
          <w:iCs/>
          <w:color w:val="212121"/>
          <w:sz w:val="22"/>
          <w:szCs w:val="22"/>
          <w:shd w:val="clear" w:color="auto" w:fill="FFFFFF"/>
          <w:lang w:eastAsia="ko-KR"/>
        </w:rPr>
        <w:t xml:space="preserve"> Note that the FPR2-selective agonist MMK-1 effectively increased [Ca</w:t>
      </w:r>
      <w:r w:rsidRPr="000E169A">
        <w:rPr>
          <w:rFonts w:eastAsiaTheme="minorEastAsia"/>
          <w:iCs/>
          <w:color w:val="212121"/>
          <w:sz w:val="22"/>
          <w:szCs w:val="22"/>
          <w:shd w:val="clear" w:color="auto" w:fill="FFFFFF"/>
          <w:vertAlign w:val="superscript"/>
          <w:lang w:eastAsia="ko-KR"/>
        </w:rPr>
        <w:t>2+</w:t>
      </w:r>
      <w:r w:rsidRPr="000E169A">
        <w:rPr>
          <w:rFonts w:eastAsiaTheme="minorEastAsia"/>
          <w:iCs/>
          <w:color w:val="212121"/>
          <w:sz w:val="22"/>
          <w:szCs w:val="22"/>
          <w:shd w:val="clear" w:color="auto" w:fill="FFFFFF"/>
          <w:lang w:eastAsia="ko-KR"/>
        </w:rPr>
        <w:t>]</w:t>
      </w:r>
      <w:r w:rsidRPr="000E169A">
        <w:rPr>
          <w:rFonts w:eastAsiaTheme="minorEastAsia"/>
          <w:iCs/>
          <w:color w:val="212121"/>
          <w:sz w:val="22"/>
          <w:szCs w:val="22"/>
          <w:shd w:val="clear" w:color="auto" w:fill="FFFFFF"/>
          <w:vertAlign w:val="subscript"/>
          <w:lang w:eastAsia="ko-KR"/>
        </w:rPr>
        <w:t>i</w:t>
      </w:r>
      <w:r w:rsidRPr="000E169A">
        <w:rPr>
          <w:rFonts w:eastAsiaTheme="minorEastAsia"/>
          <w:iCs/>
          <w:color w:val="212121"/>
          <w:sz w:val="22"/>
          <w:szCs w:val="22"/>
          <w:shd w:val="clear" w:color="auto" w:fill="FFFFFF"/>
          <w:lang w:eastAsia="ko-KR"/>
        </w:rPr>
        <w:t xml:space="preserve"> in SMG cells from h</w:t>
      </w:r>
      <w:r w:rsidR="00FE47EC">
        <w:rPr>
          <w:rFonts w:eastAsiaTheme="minorEastAsia"/>
          <w:iCs/>
          <w:color w:val="212121"/>
          <w:sz w:val="22"/>
          <w:szCs w:val="22"/>
          <w:shd w:val="clear" w:color="auto" w:fill="FFFFFF"/>
          <w:lang w:eastAsia="ko-KR"/>
        </w:rPr>
        <w:t>umanized mouse (green)</w:t>
      </w:r>
      <w:r w:rsidRPr="000E169A">
        <w:rPr>
          <w:rFonts w:eastAsiaTheme="minorEastAsia"/>
          <w:iCs/>
          <w:color w:val="212121"/>
          <w:sz w:val="22"/>
          <w:szCs w:val="22"/>
          <w:shd w:val="clear" w:color="auto" w:fill="FFFFFF"/>
          <w:lang w:eastAsia="ko-KR"/>
        </w:rPr>
        <w:t xml:space="preserve"> and human SMG cells (purple), whereas no response to MMK-1 was observed in SMG cells from C57BL/6J mice (red) or in SMG cells from hFPR2 mice treated with the FPR2 antagonist Boc-2 (blue). Data are presented as the mean ± SD from a total of four experiments. Statistical significance was assessed by one-way ANOVA (where *p ≤ 0.05 was considered statistically significant) followed by Tukey’s post-hoc test.</w:t>
      </w:r>
    </w:p>
    <w:p w14:paraId="74BFCAA5" w14:textId="2F886D37" w:rsidR="0079023A" w:rsidRPr="000E169A" w:rsidRDefault="0079023A">
      <w:pPr>
        <w:rPr>
          <w:rFonts w:eastAsiaTheme="minorEastAsia"/>
          <w:iCs/>
          <w:color w:val="212121"/>
          <w:sz w:val="22"/>
          <w:szCs w:val="22"/>
          <w:shd w:val="clear" w:color="auto" w:fill="FFFFFF"/>
          <w:lang w:eastAsia="ko-KR"/>
        </w:rPr>
      </w:pPr>
      <w:r w:rsidRPr="000E169A">
        <w:rPr>
          <w:rFonts w:eastAsiaTheme="minorEastAsia"/>
          <w:iCs/>
          <w:color w:val="212121"/>
          <w:sz w:val="22"/>
          <w:szCs w:val="22"/>
          <w:shd w:val="clear" w:color="auto" w:fill="FFFFFF"/>
          <w:lang w:eastAsia="ko-KR"/>
        </w:rPr>
        <w:br w:type="page"/>
      </w:r>
    </w:p>
    <w:p w14:paraId="412CD813" w14:textId="301D3D51" w:rsidR="00AB0C56" w:rsidRPr="000E169A" w:rsidRDefault="002A4CCC" w:rsidP="00D076F8">
      <w:pPr>
        <w:spacing w:line="480" w:lineRule="auto"/>
        <w:jc w:val="center"/>
        <w:rPr>
          <w:rFonts w:eastAsiaTheme="minorEastAsia"/>
          <w:iCs/>
          <w:color w:val="212121"/>
          <w:sz w:val="22"/>
          <w:szCs w:val="22"/>
          <w:shd w:val="clear" w:color="auto" w:fill="FFFFFF"/>
          <w:lang w:eastAsia="ko-KR"/>
        </w:rPr>
      </w:pPr>
      <w:r w:rsidRPr="000E169A">
        <w:rPr>
          <w:rFonts w:eastAsiaTheme="minorEastAsia"/>
          <w:iCs/>
          <w:noProof/>
          <w:color w:val="212121"/>
          <w:sz w:val="22"/>
          <w:szCs w:val="22"/>
          <w:shd w:val="clear" w:color="auto" w:fill="FFFFFF"/>
          <w:lang w:eastAsia="ko-KR"/>
        </w:rPr>
        <w:lastRenderedPageBreak/>
        <w:drawing>
          <wp:inline distT="0" distB="0" distL="0" distR="0" wp14:anchorId="627BA5F0" wp14:editId="5BFF8C06">
            <wp:extent cx="5934710" cy="4152900"/>
            <wp:effectExtent l="0" t="0" r="8890" b="0"/>
            <wp:docPr id="1938840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710" cy="4152900"/>
                    </a:xfrm>
                    <a:prstGeom prst="rect">
                      <a:avLst/>
                    </a:prstGeom>
                    <a:noFill/>
                    <a:ln>
                      <a:noFill/>
                    </a:ln>
                  </pic:spPr>
                </pic:pic>
              </a:graphicData>
            </a:graphic>
          </wp:inline>
        </w:drawing>
      </w:r>
    </w:p>
    <w:p w14:paraId="18F4A4F9" w14:textId="12DCAB4D" w:rsidR="00661A7C" w:rsidRPr="000E169A" w:rsidRDefault="00661A7C" w:rsidP="00661A7C">
      <w:pPr>
        <w:spacing w:line="480" w:lineRule="auto"/>
        <w:jc w:val="both"/>
        <w:rPr>
          <w:rFonts w:eastAsiaTheme="minorEastAsia"/>
          <w:b/>
          <w:bCs/>
          <w:iCs/>
          <w:color w:val="212121"/>
          <w:sz w:val="22"/>
          <w:szCs w:val="22"/>
          <w:shd w:val="clear" w:color="auto" w:fill="FFFFFF"/>
          <w:lang w:eastAsia="ko-KR"/>
        </w:rPr>
      </w:pPr>
      <w:r w:rsidRPr="000E169A">
        <w:rPr>
          <w:rFonts w:eastAsiaTheme="minorEastAsia"/>
          <w:b/>
          <w:bCs/>
          <w:iCs/>
          <w:color w:val="212121"/>
          <w:sz w:val="22"/>
          <w:szCs w:val="22"/>
          <w:shd w:val="clear" w:color="auto" w:fill="FFFFFF"/>
          <w:lang w:eastAsia="ko-KR"/>
        </w:rPr>
        <w:t xml:space="preserve">Supplementary Figure </w:t>
      </w:r>
      <w:r w:rsidR="0079023A" w:rsidRPr="000E169A">
        <w:rPr>
          <w:rFonts w:eastAsiaTheme="minorEastAsia" w:hint="eastAsia"/>
          <w:b/>
          <w:bCs/>
          <w:iCs/>
          <w:color w:val="212121"/>
          <w:sz w:val="22"/>
          <w:szCs w:val="22"/>
          <w:shd w:val="clear" w:color="auto" w:fill="FFFFFF"/>
          <w:lang w:eastAsia="ko-KR"/>
        </w:rPr>
        <w:t>4</w:t>
      </w:r>
      <w:r w:rsidRPr="000E169A">
        <w:rPr>
          <w:rFonts w:eastAsiaTheme="minorEastAsia"/>
          <w:b/>
          <w:bCs/>
          <w:iCs/>
          <w:color w:val="212121"/>
          <w:sz w:val="22"/>
          <w:szCs w:val="22"/>
          <w:shd w:val="clear" w:color="auto" w:fill="FFFFFF"/>
          <w:lang w:eastAsia="ko-KR"/>
        </w:rPr>
        <w:t>. AT-RvD1 restores morphology in SMG from mF</w:t>
      </w:r>
      <w:r w:rsidR="0059484B" w:rsidRPr="000E169A">
        <w:rPr>
          <w:rFonts w:eastAsiaTheme="minorEastAsia" w:hint="eastAsia"/>
          <w:b/>
          <w:bCs/>
          <w:iCs/>
          <w:color w:val="212121"/>
          <w:sz w:val="22"/>
          <w:szCs w:val="22"/>
          <w:shd w:val="clear" w:color="auto" w:fill="FFFFFF"/>
          <w:lang w:eastAsia="ko-KR"/>
        </w:rPr>
        <w:t>pr</w:t>
      </w:r>
      <w:r w:rsidRPr="000E169A">
        <w:rPr>
          <w:rFonts w:eastAsiaTheme="minorEastAsia"/>
          <w:b/>
          <w:bCs/>
          <w:iCs/>
          <w:color w:val="212121"/>
          <w:sz w:val="22"/>
          <w:szCs w:val="22"/>
          <w:shd w:val="clear" w:color="auto" w:fill="FFFFFF"/>
          <w:lang w:eastAsia="ko-KR"/>
        </w:rPr>
        <w:t xml:space="preserve">2 mice treated with LPS. </w:t>
      </w:r>
      <w:r w:rsidRPr="000E169A">
        <w:rPr>
          <w:rFonts w:eastAsiaTheme="minorEastAsia"/>
          <w:iCs/>
          <w:color w:val="212121"/>
          <w:sz w:val="22"/>
          <w:szCs w:val="22"/>
          <w:shd w:val="clear" w:color="auto" w:fill="FFFFFF"/>
          <w:lang w:eastAsia="ko-KR"/>
        </w:rPr>
        <w:t xml:space="preserve">Rehydrated SMG tissue sections from wild-type mice treated with LPS </w:t>
      </w:r>
      <w:r w:rsidRPr="000E169A">
        <w:rPr>
          <w:rFonts w:eastAsiaTheme="minorEastAsia"/>
          <w:b/>
          <w:bCs/>
          <w:iCs/>
          <w:color w:val="212121"/>
          <w:sz w:val="22"/>
          <w:szCs w:val="22"/>
          <w:shd w:val="clear" w:color="auto" w:fill="FFFFFF"/>
          <w:lang w:eastAsia="ko-KR"/>
        </w:rPr>
        <w:t>(A, D)</w:t>
      </w:r>
      <w:r w:rsidRPr="000E169A">
        <w:rPr>
          <w:rFonts w:eastAsiaTheme="minorEastAsia"/>
          <w:iCs/>
          <w:color w:val="212121"/>
          <w:sz w:val="22"/>
          <w:szCs w:val="22"/>
          <w:shd w:val="clear" w:color="auto" w:fill="FFFFFF"/>
          <w:lang w:eastAsia="ko-KR"/>
        </w:rPr>
        <w:t xml:space="preserve">, AT-RvD1 + LPS </w:t>
      </w:r>
      <w:r w:rsidRPr="000E169A">
        <w:rPr>
          <w:rFonts w:eastAsiaTheme="minorEastAsia"/>
          <w:b/>
          <w:bCs/>
          <w:iCs/>
          <w:color w:val="212121"/>
          <w:sz w:val="22"/>
          <w:szCs w:val="22"/>
          <w:shd w:val="clear" w:color="auto" w:fill="FFFFFF"/>
          <w:lang w:eastAsia="ko-KR"/>
        </w:rPr>
        <w:t>(B, E)</w:t>
      </w:r>
      <w:r w:rsidRPr="000E169A">
        <w:rPr>
          <w:rFonts w:eastAsiaTheme="minorEastAsia"/>
          <w:iCs/>
          <w:color w:val="212121"/>
          <w:sz w:val="22"/>
          <w:szCs w:val="22"/>
          <w:shd w:val="clear" w:color="auto" w:fill="FFFFFF"/>
          <w:lang w:eastAsia="ko-KR"/>
        </w:rPr>
        <w:t xml:space="preserve"> and PBS </w:t>
      </w:r>
      <w:r w:rsidRPr="000E169A">
        <w:rPr>
          <w:rFonts w:eastAsiaTheme="minorEastAsia"/>
          <w:b/>
          <w:bCs/>
          <w:iCs/>
          <w:color w:val="212121"/>
          <w:sz w:val="22"/>
          <w:szCs w:val="22"/>
          <w:shd w:val="clear" w:color="auto" w:fill="FFFFFF"/>
          <w:lang w:eastAsia="ko-KR"/>
        </w:rPr>
        <w:t>(C, F)</w:t>
      </w:r>
      <w:r w:rsidRPr="000E169A">
        <w:rPr>
          <w:rFonts w:eastAsiaTheme="minorEastAsia"/>
          <w:iCs/>
          <w:color w:val="212121"/>
          <w:sz w:val="22"/>
          <w:szCs w:val="22"/>
          <w:shd w:val="clear" w:color="auto" w:fill="FFFFFF"/>
          <w:lang w:eastAsia="ko-KR"/>
        </w:rPr>
        <w:t xml:space="preserve"> were stained with hematoxylin-eosin and images captured using a Leica DMI6000B and analyzed using QuPath 0.4.3. Results showed that SMG treated with LPS displayed loss of epithelial integrity with areas of acinar shrinkage (black arrows). In contrast, SMG that were treated with AT-RvD1 + LPS showed restoration of tissue architecture and a decrease of acinar shrinkage comparable to PBS-treated healthy controls. Samples were examined using a Leica STELLARIS 5 confocal microscope and analyzed using QuPath 0.4.3. Representative image from a total of 4 mice per group. Scale bars are 100 </w:t>
      </w:r>
      <w:r w:rsidRPr="000E169A">
        <w:rPr>
          <w:rFonts w:eastAsiaTheme="minorEastAsia"/>
          <w:iCs/>
          <w:color w:val="212121"/>
          <w:sz w:val="22"/>
          <w:szCs w:val="22"/>
          <w:shd w:val="clear" w:color="auto" w:fill="FFFFFF"/>
          <w:lang w:eastAsia="ko-KR"/>
        </w:rPr>
        <w:sym w:font="Symbol" w:char="F06D"/>
      </w:r>
      <w:r w:rsidRPr="000E169A">
        <w:rPr>
          <w:rFonts w:eastAsiaTheme="minorEastAsia"/>
          <w:iCs/>
          <w:color w:val="212121"/>
          <w:sz w:val="22"/>
          <w:szCs w:val="22"/>
          <w:shd w:val="clear" w:color="auto" w:fill="FFFFFF"/>
          <w:lang w:eastAsia="ko-KR"/>
        </w:rPr>
        <w:t>m.</w:t>
      </w:r>
      <w:r w:rsidRPr="000E169A">
        <w:rPr>
          <w:rFonts w:eastAsiaTheme="minorEastAsia"/>
          <w:b/>
          <w:bCs/>
          <w:iCs/>
          <w:color w:val="212121"/>
          <w:sz w:val="22"/>
          <w:szCs w:val="22"/>
          <w:shd w:val="clear" w:color="auto" w:fill="FFFFFF"/>
          <w:lang w:eastAsia="ko-KR"/>
        </w:rPr>
        <w:t xml:space="preserve"> </w:t>
      </w:r>
    </w:p>
    <w:p w14:paraId="3DBFD4AD" w14:textId="2DB90357" w:rsidR="00AB0C56" w:rsidRPr="000E169A" w:rsidRDefault="00C36DEF" w:rsidP="00AB0C56">
      <w:pPr>
        <w:spacing w:line="480" w:lineRule="auto"/>
        <w:jc w:val="both"/>
        <w:rPr>
          <w:rFonts w:eastAsiaTheme="minorEastAsia"/>
          <w:iCs/>
          <w:color w:val="212121"/>
          <w:sz w:val="22"/>
          <w:szCs w:val="22"/>
          <w:shd w:val="clear" w:color="auto" w:fill="FFFFFF"/>
          <w:lang w:eastAsia="ko-KR"/>
        </w:rPr>
      </w:pPr>
      <w:r w:rsidRPr="000E169A">
        <w:rPr>
          <w:rFonts w:eastAsiaTheme="minorEastAsia"/>
          <w:iCs/>
          <w:noProof/>
          <w:color w:val="212121"/>
          <w:sz w:val="22"/>
          <w:szCs w:val="22"/>
          <w:shd w:val="clear" w:color="auto" w:fill="FFFFFF"/>
          <w:lang w:eastAsia="ko-KR"/>
        </w:rPr>
        <w:lastRenderedPageBreak/>
        <w:drawing>
          <wp:inline distT="0" distB="0" distL="0" distR="0" wp14:anchorId="4747FAC3" wp14:editId="3B18CD54">
            <wp:extent cx="5753819" cy="3963523"/>
            <wp:effectExtent l="0" t="0" r="0" b="0"/>
            <wp:docPr id="21059432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4904" cy="3964270"/>
                    </a:xfrm>
                    <a:prstGeom prst="rect">
                      <a:avLst/>
                    </a:prstGeom>
                    <a:noFill/>
                    <a:ln>
                      <a:noFill/>
                    </a:ln>
                  </pic:spPr>
                </pic:pic>
              </a:graphicData>
            </a:graphic>
          </wp:inline>
        </w:drawing>
      </w:r>
    </w:p>
    <w:p w14:paraId="47D6E47A" w14:textId="5E6CFCA4" w:rsidR="00A55F82" w:rsidRPr="000E169A" w:rsidRDefault="00661A7C" w:rsidP="00A55F82">
      <w:pPr>
        <w:spacing w:line="480" w:lineRule="auto"/>
        <w:jc w:val="both"/>
        <w:rPr>
          <w:rFonts w:eastAsiaTheme="minorEastAsia"/>
          <w:iCs/>
          <w:color w:val="212121"/>
          <w:sz w:val="22"/>
          <w:szCs w:val="22"/>
          <w:shd w:val="clear" w:color="auto" w:fill="FFFFFF"/>
          <w:lang w:eastAsia="ko-KR"/>
        </w:rPr>
      </w:pPr>
      <w:bookmarkStart w:id="0" w:name="_Hlk181105130"/>
      <w:r w:rsidRPr="000E169A">
        <w:rPr>
          <w:rFonts w:eastAsiaTheme="minorEastAsia"/>
          <w:b/>
          <w:bCs/>
          <w:iCs/>
          <w:color w:val="212121"/>
          <w:sz w:val="22"/>
          <w:szCs w:val="22"/>
          <w:shd w:val="clear" w:color="auto" w:fill="FFFFFF"/>
          <w:lang w:eastAsia="ko-KR"/>
        </w:rPr>
        <w:t xml:space="preserve">Supplementary Figure </w:t>
      </w:r>
      <w:r w:rsidR="0079023A" w:rsidRPr="000E169A">
        <w:rPr>
          <w:rFonts w:eastAsiaTheme="minorEastAsia" w:hint="eastAsia"/>
          <w:b/>
          <w:bCs/>
          <w:iCs/>
          <w:color w:val="212121"/>
          <w:sz w:val="22"/>
          <w:szCs w:val="22"/>
          <w:shd w:val="clear" w:color="auto" w:fill="FFFFFF"/>
          <w:lang w:eastAsia="ko-KR"/>
        </w:rPr>
        <w:t>5</w:t>
      </w:r>
      <w:r w:rsidRPr="000E169A">
        <w:rPr>
          <w:rFonts w:eastAsiaTheme="minorEastAsia"/>
          <w:b/>
          <w:bCs/>
          <w:iCs/>
          <w:color w:val="212121"/>
          <w:sz w:val="22"/>
          <w:szCs w:val="22"/>
          <w:shd w:val="clear" w:color="auto" w:fill="FFFFFF"/>
          <w:lang w:eastAsia="ko-KR"/>
        </w:rPr>
        <w:t>. AT-RvD1 reduces proliferating inflammatory cells in SMG from mF</w:t>
      </w:r>
      <w:r w:rsidR="0059484B" w:rsidRPr="000E169A">
        <w:rPr>
          <w:rFonts w:eastAsiaTheme="minorEastAsia" w:hint="eastAsia"/>
          <w:b/>
          <w:bCs/>
          <w:iCs/>
          <w:color w:val="212121"/>
          <w:sz w:val="22"/>
          <w:szCs w:val="22"/>
          <w:shd w:val="clear" w:color="auto" w:fill="FFFFFF"/>
          <w:lang w:eastAsia="ko-KR"/>
        </w:rPr>
        <w:t>pr</w:t>
      </w:r>
      <w:r w:rsidRPr="000E169A">
        <w:rPr>
          <w:rFonts w:eastAsiaTheme="minorEastAsia"/>
          <w:b/>
          <w:bCs/>
          <w:iCs/>
          <w:color w:val="212121"/>
          <w:sz w:val="22"/>
          <w:szCs w:val="22"/>
          <w:shd w:val="clear" w:color="auto" w:fill="FFFFFF"/>
          <w:lang w:eastAsia="ko-KR"/>
        </w:rPr>
        <w:t xml:space="preserve">2 mice treated with LPS. </w:t>
      </w:r>
      <w:r w:rsidRPr="000E169A">
        <w:rPr>
          <w:rFonts w:eastAsiaTheme="minorEastAsia"/>
          <w:iCs/>
          <w:color w:val="212121"/>
          <w:sz w:val="22"/>
          <w:szCs w:val="22"/>
          <w:shd w:val="clear" w:color="auto" w:fill="FFFFFF"/>
          <w:lang w:eastAsia="ko-KR"/>
        </w:rPr>
        <w:t xml:space="preserve">SMG tissue sections from C57BL/6J mice treated with LPS </w:t>
      </w:r>
      <w:r w:rsidRPr="000E169A">
        <w:rPr>
          <w:rFonts w:eastAsiaTheme="minorEastAsia"/>
          <w:b/>
          <w:bCs/>
          <w:iCs/>
          <w:color w:val="212121"/>
          <w:sz w:val="22"/>
          <w:szCs w:val="22"/>
          <w:shd w:val="clear" w:color="auto" w:fill="FFFFFF"/>
          <w:lang w:eastAsia="ko-KR"/>
        </w:rPr>
        <w:t>(A)</w:t>
      </w:r>
      <w:r w:rsidRPr="000E169A">
        <w:rPr>
          <w:rFonts w:eastAsiaTheme="minorEastAsia"/>
          <w:iCs/>
          <w:color w:val="212121"/>
          <w:sz w:val="22"/>
          <w:szCs w:val="22"/>
          <w:shd w:val="clear" w:color="auto" w:fill="FFFFFF"/>
          <w:lang w:eastAsia="ko-KR"/>
        </w:rPr>
        <w:t xml:space="preserve">, AT-RvD1 + LPS </w:t>
      </w:r>
      <w:r w:rsidRPr="000E169A">
        <w:rPr>
          <w:rFonts w:eastAsiaTheme="minorEastAsia"/>
          <w:b/>
          <w:bCs/>
          <w:iCs/>
          <w:color w:val="212121"/>
          <w:sz w:val="22"/>
          <w:szCs w:val="22"/>
          <w:shd w:val="clear" w:color="auto" w:fill="FFFFFF"/>
          <w:lang w:eastAsia="ko-KR"/>
        </w:rPr>
        <w:t>(B)</w:t>
      </w:r>
      <w:r w:rsidRPr="000E169A">
        <w:rPr>
          <w:rFonts w:eastAsiaTheme="minorEastAsia"/>
          <w:iCs/>
          <w:color w:val="212121"/>
          <w:sz w:val="22"/>
          <w:szCs w:val="22"/>
          <w:shd w:val="clear" w:color="auto" w:fill="FFFFFF"/>
          <w:lang w:eastAsia="ko-KR"/>
        </w:rPr>
        <w:t xml:space="preserve"> and PBS </w:t>
      </w:r>
      <w:r w:rsidRPr="000E169A">
        <w:rPr>
          <w:rFonts w:eastAsiaTheme="minorEastAsia"/>
          <w:b/>
          <w:bCs/>
          <w:iCs/>
          <w:color w:val="212121"/>
          <w:sz w:val="22"/>
          <w:szCs w:val="22"/>
          <w:shd w:val="clear" w:color="auto" w:fill="FFFFFF"/>
          <w:lang w:eastAsia="ko-KR"/>
        </w:rPr>
        <w:t>(C)</w:t>
      </w:r>
      <w:r w:rsidRPr="000E169A">
        <w:rPr>
          <w:rFonts w:eastAsiaTheme="minorEastAsia"/>
          <w:iCs/>
          <w:color w:val="212121"/>
          <w:sz w:val="22"/>
          <w:szCs w:val="22"/>
          <w:shd w:val="clear" w:color="auto" w:fill="FFFFFF"/>
          <w:lang w:eastAsia="ko-KR"/>
        </w:rPr>
        <w:t xml:space="preserve"> were analyzed using confocal microscopy with rabbit anti-Ki67 (green) and mouse anti-CD45 (red) antibodies, and counterstained with DAPI (blue). Our results show that SMG treated with LPS displayed an increased number of proliferating cells </w:t>
      </w:r>
      <w:r w:rsidRPr="000E169A">
        <w:rPr>
          <w:rFonts w:eastAsiaTheme="minorEastAsia"/>
          <w:b/>
          <w:bCs/>
          <w:iCs/>
          <w:color w:val="212121"/>
          <w:sz w:val="22"/>
          <w:szCs w:val="22"/>
          <w:shd w:val="clear" w:color="auto" w:fill="FFFFFF"/>
          <w:lang w:eastAsia="ko-KR"/>
        </w:rPr>
        <w:t>(D)</w:t>
      </w:r>
      <w:r w:rsidRPr="000E169A">
        <w:rPr>
          <w:rFonts w:eastAsiaTheme="minorEastAsia"/>
          <w:iCs/>
          <w:color w:val="212121"/>
          <w:sz w:val="22"/>
          <w:szCs w:val="22"/>
          <w:shd w:val="clear" w:color="auto" w:fill="FFFFFF"/>
          <w:lang w:eastAsia="ko-KR"/>
        </w:rPr>
        <w:t>, CD45</w:t>
      </w:r>
      <w:r w:rsidRPr="000E169A">
        <w:rPr>
          <w:rFonts w:eastAsiaTheme="minorEastAsia"/>
          <w:iCs/>
          <w:color w:val="212121"/>
          <w:sz w:val="22"/>
          <w:szCs w:val="22"/>
          <w:shd w:val="clear" w:color="auto" w:fill="FFFFFF"/>
          <w:vertAlign w:val="superscript"/>
          <w:lang w:eastAsia="ko-KR"/>
        </w:rPr>
        <w:t>+</w:t>
      </w:r>
      <w:r w:rsidRPr="000E169A">
        <w:rPr>
          <w:rFonts w:eastAsiaTheme="minorEastAsia"/>
          <w:iCs/>
          <w:color w:val="212121"/>
          <w:sz w:val="22"/>
          <w:szCs w:val="22"/>
          <w:shd w:val="clear" w:color="auto" w:fill="FFFFFF"/>
          <w:lang w:eastAsia="ko-KR"/>
        </w:rPr>
        <w:t xml:space="preserve"> cells </w:t>
      </w:r>
      <w:r w:rsidRPr="000E169A">
        <w:rPr>
          <w:rFonts w:eastAsiaTheme="minorEastAsia"/>
          <w:b/>
          <w:bCs/>
          <w:iCs/>
          <w:color w:val="212121"/>
          <w:sz w:val="22"/>
          <w:szCs w:val="22"/>
          <w:shd w:val="clear" w:color="auto" w:fill="FFFFFF"/>
          <w:lang w:eastAsia="ko-KR"/>
        </w:rPr>
        <w:t>(E)</w:t>
      </w:r>
      <w:r w:rsidRPr="000E169A">
        <w:rPr>
          <w:rFonts w:eastAsiaTheme="minorEastAsia"/>
          <w:iCs/>
          <w:color w:val="212121"/>
          <w:sz w:val="22"/>
          <w:szCs w:val="22"/>
          <w:shd w:val="clear" w:color="auto" w:fill="FFFFFF"/>
          <w:lang w:eastAsia="ko-KR"/>
        </w:rPr>
        <w:t>, and proliferating CD45</w:t>
      </w:r>
      <w:r w:rsidRPr="000E169A">
        <w:rPr>
          <w:rFonts w:eastAsiaTheme="minorEastAsia"/>
          <w:iCs/>
          <w:color w:val="212121"/>
          <w:sz w:val="22"/>
          <w:szCs w:val="22"/>
          <w:shd w:val="clear" w:color="auto" w:fill="FFFFFF"/>
          <w:vertAlign w:val="superscript"/>
          <w:lang w:eastAsia="ko-KR"/>
        </w:rPr>
        <w:t>+</w:t>
      </w:r>
      <w:r w:rsidRPr="000E169A">
        <w:rPr>
          <w:rFonts w:eastAsiaTheme="minorEastAsia"/>
          <w:iCs/>
          <w:color w:val="212121"/>
          <w:sz w:val="22"/>
          <w:szCs w:val="22"/>
          <w:shd w:val="clear" w:color="auto" w:fill="FFFFFF"/>
          <w:lang w:eastAsia="ko-KR"/>
        </w:rPr>
        <w:t xml:space="preserve"> cells </w:t>
      </w:r>
      <w:r w:rsidRPr="000E169A">
        <w:rPr>
          <w:rFonts w:eastAsiaTheme="minorEastAsia"/>
          <w:b/>
          <w:bCs/>
          <w:iCs/>
          <w:color w:val="212121"/>
          <w:sz w:val="22"/>
          <w:szCs w:val="22"/>
          <w:shd w:val="clear" w:color="auto" w:fill="FFFFFF"/>
          <w:lang w:eastAsia="ko-KR"/>
        </w:rPr>
        <w:t>(F)</w:t>
      </w:r>
      <w:r w:rsidRPr="000E169A">
        <w:rPr>
          <w:rFonts w:eastAsiaTheme="minorEastAsia"/>
          <w:iCs/>
          <w:color w:val="212121"/>
          <w:sz w:val="22"/>
          <w:szCs w:val="22"/>
          <w:shd w:val="clear" w:color="auto" w:fill="FFFFFF"/>
          <w:lang w:eastAsia="ko-KR"/>
        </w:rPr>
        <w:t xml:space="preserve">. In contrast, SMG treated with AT-RvD1 + LPS showed a significant reduction in proliferating cells </w:t>
      </w:r>
      <w:r w:rsidRPr="000E169A">
        <w:rPr>
          <w:rFonts w:eastAsiaTheme="minorEastAsia"/>
          <w:b/>
          <w:bCs/>
          <w:iCs/>
          <w:color w:val="212121"/>
          <w:sz w:val="22"/>
          <w:szCs w:val="22"/>
          <w:shd w:val="clear" w:color="auto" w:fill="FFFFFF"/>
          <w:lang w:eastAsia="ko-KR"/>
        </w:rPr>
        <w:t>(D)</w:t>
      </w:r>
      <w:r w:rsidRPr="000E169A">
        <w:rPr>
          <w:rFonts w:eastAsiaTheme="minorEastAsia"/>
          <w:iCs/>
          <w:color w:val="212121"/>
          <w:sz w:val="22"/>
          <w:szCs w:val="22"/>
          <w:shd w:val="clear" w:color="auto" w:fill="FFFFFF"/>
          <w:lang w:eastAsia="ko-KR"/>
        </w:rPr>
        <w:t>, CD45</w:t>
      </w:r>
      <w:r w:rsidRPr="000E169A">
        <w:rPr>
          <w:rFonts w:eastAsiaTheme="minorEastAsia"/>
          <w:iCs/>
          <w:color w:val="212121"/>
          <w:sz w:val="22"/>
          <w:szCs w:val="22"/>
          <w:shd w:val="clear" w:color="auto" w:fill="FFFFFF"/>
          <w:vertAlign w:val="superscript"/>
          <w:lang w:eastAsia="ko-KR"/>
        </w:rPr>
        <w:t>+</w:t>
      </w:r>
      <w:r w:rsidRPr="000E169A">
        <w:rPr>
          <w:rFonts w:eastAsiaTheme="minorEastAsia"/>
          <w:iCs/>
          <w:color w:val="212121"/>
          <w:sz w:val="22"/>
          <w:szCs w:val="22"/>
          <w:shd w:val="clear" w:color="auto" w:fill="FFFFFF"/>
          <w:lang w:eastAsia="ko-KR"/>
        </w:rPr>
        <w:t xml:space="preserve"> cells </w:t>
      </w:r>
      <w:r w:rsidRPr="000E169A">
        <w:rPr>
          <w:rFonts w:eastAsiaTheme="minorEastAsia"/>
          <w:b/>
          <w:bCs/>
          <w:iCs/>
          <w:color w:val="212121"/>
          <w:sz w:val="22"/>
          <w:szCs w:val="22"/>
          <w:shd w:val="clear" w:color="auto" w:fill="FFFFFF"/>
          <w:lang w:eastAsia="ko-KR"/>
        </w:rPr>
        <w:t>(E)</w:t>
      </w:r>
      <w:r w:rsidRPr="000E169A">
        <w:rPr>
          <w:rFonts w:eastAsiaTheme="minorEastAsia"/>
          <w:iCs/>
          <w:color w:val="212121"/>
          <w:sz w:val="22"/>
          <w:szCs w:val="22"/>
          <w:shd w:val="clear" w:color="auto" w:fill="FFFFFF"/>
          <w:lang w:eastAsia="ko-KR"/>
        </w:rPr>
        <w:t>, and proliferating CD45</w:t>
      </w:r>
      <w:r w:rsidRPr="000E169A">
        <w:rPr>
          <w:rFonts w:eastAsiaTheme="minorEastAsia"/>
          <w:iCs/>
          <w:color w:val="212121"/>
          <w:sz w:val="22"/>
          <w:szCs w:val="22"/>
          <w:shd w:val="clear" w:color="auto" w:fill="FFFFFF"/>
          <w:vertAlign w:val="superscript"/>
          <w:lang w:eastAsia="ko-KR"/>
        </w:rPr>
        <w:t>+</w:t>
      </w:r>
      <w:r w:rsidRPr="000E169A">
        <w:rPr>
          <w:rFonts w:eastAsiaTheme="minorEastAsia"/>
          <w:iCs/>
          <w:color w:val="212121"/>
          <w:sz w:val="22"/>
          <w:szCs w:val="22"/>
          <w:shd w:val="clear" w:color="auto" w:fill="FFFFFF"/>
          <w:lang w:eastAsia="ko-KR"/>
        </w:rPr>
        <w:t xml:space="preserve"> cells </w:t>
      </w:r>
      <w:r w:rsidRPr="000E169A">
        <w:rPr>
          <w:rFonts w:eastAsiaTheme="minorEastAsia"/>
          <w:b/>
          <w:bCs/>
          <w:iCs/>
          <w:color w:val="212121"/>
          <w:sz w:val="22"/>
          <w:szCs w:val="22"/>
          <w:shd w:val="clear" w:color="auto" w:fill="FFFFFF"/>
          <w:lang w:eastAsia="ko-KR"/>
        </w:rPr>
        <w:t>(F)</w:t>
      </w:r>
      <w:r w:rsidRPr="000E169A">
        <w:rPr>
          <w:rFonts w:eastAsiaTheme="minorEastAsia"/>
          <w:iCs/>
          <w:color w:val="212121"/>
          <w:sz w:val="22"/>
          <w:szCs w:val="22"/>
          <w:shd w:val="clear" w:color="auto" w:fill="FFFFFF"/>
          <w:lang w:eastAsia="ko-KR"/>
        </w:rPr>
        <w:t xml:space="preserve">. Samples were examined using a Leica STELLARIS 5 confocal microscope equipped with an artificial intelligence-guided image analysis software (AIVIA). Representative image from a total of 4 mice per group in quadruples. Statistical significance </w:t>
      </w:r>
      <w:r w:rsidR="009F0DAE" w:rsidRPr="000E169A">
        <w:rPr>
          <w:rFonts w:eastAsiaTheme="minorEastAsia"/>
          <w:iCs/>
          <w:color w:val="212121"/>
          <w:sz w:val="22"/>
          <w:szCs w:val="22"/>
          <w:shd w:val="clear" w:color="auto" w:fill="FFFFFF"/>
          <w:lang w:eastAsia="ko-KR"/>
        </w:rPr>
        <w:t xml:space="preserve">was assessed by one-way </w:t>
      </w:r>
      <w:r w:rsidR="009F0DAE" w:rsidRPr="000E169A">
        <w:rPr>
          <w:iCs/>
          <w:color w:val="212121"/>
          <w:sz w:val="22"/>
          <w:szCs w:val="22"/>
          <w:shd w:val="clear" w:color="auto" w:fill="FFFFFF"/>
        </w:rPr>
        <w:t>ANOVA</w:t>
      </w:r>
      <w:r w:rsidR="009F0DAE" w:rsidRPr="000E169A">
        <w:rPr>
          <w:rFonts w:eastAsiaTheme="minorEastAsia"/>
          <w:iCs/>
          <w:color w:val="212121"/>
          <w:sz w:val="22"/>
          <w:szCs w:val="22"/>
          <w:shd w:val="clear" w:color="auto" w:fill="FFFFFF"/>
          <w:lang w:eastAsia="ko-KR"/>
        </w:rPr>
        <w:t xml:space="preserve"> (</w:t>
      </w:r>
      <w:r w:rsidR="009F0DAE" w:rsidRPr="000E169A">
        <w:rPr>
          <w:iCs/>
          <w:color w:val="212121"/>
          <w:sz w:val="22"/>
          <w:szCs w:val="22"/>
          <w:shd w:val="clear" w:color="auto" w:fill="FFFFFF"/>
        </w:rPr>
        <w:t xml:space="preserve">where </w:t>
      </w:r>
      <w:r w:rsidR="009F0DAE" w:rsidRPr="000E169A">
        <w:rPr>
          <w:i/>
          <w:color w:val="212121"/>
          <w:sz w:val="22"/>
          <w:szCs w:val="22"/>
          <w:shd w:val="clear" w:color="auto" w:fill="FFFFFF"/>
        </w:rPr>
        <w:t>*</w:t>
      </w:r>
      <w:r w:rsidR="009F0DAE" w:rsidRPr="000E169A">
        <w:rPr>
          <w:i/>
          <w:iCs/>
          <w:color w:val="212121"/>
          <w:sz w:val="22"/>
          <w:szCs w:val="22"/>
          <w:shd w:val="clear" w:color="auto" w:fill="FFFFFF"/>
        </w:rPr>
        <w:t>p</w:t>
      </w:r>
      <w:r w:rsidR="009F0DAE" w:rsidRPr="000E169A">
        <w:rPr>
          <w:iCs/>
          <w:color w:val="212121"/>
          <w:sz w:val="22"/>
          <w:szCs w:val="22"/>
          <w:shd w:val="clear" w:color="auto" w:fill="FFFFFF"/>
        </w:rPr>
        <w:t xml:space="preserve"> ≤ 0.05 is considered statistically significant) </w:t>
      </w:r>
      <w:r w:rsidR="009F0DAE" w:rsidRPr="000E169A">
        <w:rPr>
          <w:rFonts w:eastAsiaTheme="minorEastAsia"/>
          <w:iCs/>
          <w:color w:val="212121"/>
          <w:sz w:val="22"/>
          <w:szCs w:val="22"/>
          <w:shd w:val="clear" w:color="auto" w:fill="FFFFFF"/>
          <w:lang w:eastAsia="ko-KR"/>
        </w:rPr>
        <w:t xml:space="preserve">followed by </w:t>
      </w:r>
      <w:r w:rsidRPr="000E169A">
        <w:rPr>
          <w:rFonts w:eastAsiaTheme="minorEastAsia"/>
          <w:iCs/>
          <w:color w:val="212121"/>
          <w:sz w:val="22"/>
          <w:szCs w:val="22"/>
          <w:shd w:val="clear" w:color="auto" w:fill="FFFFFF"/>
          <w:lang w:eastAsia="ko-KR"/>
        </w:rPr>
        <w:t xml:space="preserve">Dunnett's post-hoc test for multiple comparisons (D-F). Scale bars represent 50 </w:t>
      </w:r>
      <w:r w:rsidRPr="000E169A">
        <w:rPr>
          <w:rFonts w:eastAsiaTheme="minorEastAsia"/>
          <w:iCs/>
          <w:color w:val="212121"/>
          <w:sz w:val="22"/>
          <w:szCs w:val="22"/>
          <w:shd w:val="clear" w:color="auto" w:fill="FFFFFF"/>
          <w:lang w:eastAsia="ko-KR"/>
        </w:rPr>
        <w:sym w:font="Symbol" w:char="F06D"/>
      </w:r>
      <w:r w:rsidRPr="000E169A">
        <w:rPr>
          <w:rFonts w:eastAsiaTheme="minorEastAsia"/>
          <w:iCs/>
          <w:color w:val="212121"/>
          <w:sz w:val="22"/>
          <w:szCs w:val="22"/>
          <w:shd w:val="clear" w:color="auto" w:fill="FFFFFF"/>
          <w:lang w:eastAsia="ko-KR"/>
        </w:rPr>
        <w:t>m.</w:t>
      </w:r>
    </w:p>
    <w:bookmarkEnd w:id="0"/>
    <w:p w14:paraId="1E1F251F" w14:textId="53F37D7B" w:rsidR="004541A0" w:rsidRPr="000E169A" w:rsidRDefault="001A1090" w:rsidP="00AB0C56">
      <w:pPr>
        <w:spacing w:line="480" w:lineRule="auto"/>
        <w:jc w:val="both"/>
        <w:rPr>
          <w:rFonts w:eastAsiaTheme="minorEastAsia"/>
          <w:iCs/>
          <w:color w:val="212121"/>
          <w:sz w:val="22"/>
          <w:szCs w:val="22"/>
          <w:shd w:val="clear" w:color="auto" w:fill="FFFFFF"/>
          <w:lang w:eastAsia="ko-KR"/>
        </w:rPr>
      </w:pPr>
      <w:r w:rsidRPr="000E169A">
        <w:rPr>
          <w:rFonts w:eastAsiaTheme="minorEastAsia"/>
          <w:iCs/>
          <w:noProof/>
          <w:color w:val="212121"/>
          <w:sz w:val="22"/>
          <w:szCs w:val="22"/>
          <w:shd w:val="clear" w:color="auto" w:fill="FFFFFF"/>
          <w:lang w:eastAsia="ko-KR"/>
        </w:rPr>
        <w:lastRenderedPageBreak/>
        <w:drawing>
          <wp:inline distT="0" distB="0" distL="0" distR="0" wp14:anchorId="4679D76E" wp14:editId="69DAE4AA">
            <wp:extent cx="5935980" cy="4218305"/>
            <wp:effectExtent l="0" t="0" r="7620" b="0"/>
            <wp:docPr id="460407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5980" cy="4218305"/>
                    </a:xfrm>
                    <a:prstGeom prst="rect">
                      <a:avLst/>
                    </a:prstGeom>
                    <a:noFill/>
                    <a:ln>
                      <a:noFill/>
                    </a:ln>
                  </pic:spPr>
                </pic:pic>
              </a:graphicData>
            </a:graphic>
          </wp:inline>
        </w:drawing>
      </w:r>
    </w:p>
    <w:p w14:paraId="482BF6DF" w14:textId="53B682D8" w:rsidR="00D076F8" w:rsidRPr="000E169A" w:rsidRDefault="00237CF5" w:rsidP="00A55F82">
      <w:pPr>
        <w:spacing w:line="480" w:lineRule="auto"/>
        <w:jc w:val="both"/>
        <w:rPr>
          <w:rFonts w:eastAsiaTheme="minorEastAsia"/>
          <w:iCs/>
          <w:color w:val="212121"/>
          <w:sz w:val="22"/>
          <w:szCs w:val="22"/>
          <w:shd w:val="clear" w:color="auto" w:fill="FFFFFF"/>
          <w:lang w:eastAsia="ko-KR"/>
        </w:rPr>
      </w:pPr>
      <w:bookmarkStart w:id="1" w:name="_Hlk181105203"/>
      <w:r w:rsidRPr="000E169A">
        <w:rPr>
          <w:rFonts w:eastAsiaTheme="minorEastAsia"/>
          <w:b/>
          <w:bCs/>
          <w:iCs/>
          <w:color w:val="212121"/>
          <w:sz w:val="22"/>
          <w:szCs w:val="22"/>
          <w:shd w:val="clear" w:color="auto" w:fill="FFFFFF"/>
          <w:lang w:eastAsia="ko-KR"/>
        </w:rPr>
        <w:t xml:space="preserve">Supplementary Figure </w:t>
      </w:r>
      <w:r w:rsidR="0079023A" w:rsidRPr="000E169A">
        <w:rPr>
          <w:rFonts w:eastAsiaTheme="minorEastAsia" w:hint="eastAsia"/>
          <w:b/>
          <w:bCs/>
          <w:iCs/>
          <w:color w:val="212121"/>
          <w:sz w:val="22"/>
          <w:szCs w:val="22"/>
          <w:shd w:val="clear" w:color="auto" w:fill="FFFFFF"/>
          <w:lang w:eastAsia="ko-KR"/>
        </w:rPr>
        <w:t>6</w:t>
      </w:r>
      <w:r w:rsidRPr="000E169A">
        <w:rPr>
          <w:rFonts w:eastAsiaTheme="minorEastAsia"/>
          <w:b/>
          <w:bCs/>
          <w:iCs/>
          <w:color w:val="212121"/>
          <w:sz w:val="22"/>
          <w:szCs w:val="22"/>
          <w:shd w:val="clear" w:color="auto" w:fill="FFFFFF"/>
          <w:lang w:eastAsia="ko-KR"/>
        </w:rPr>
        <w:t>. AT-RvD1 restore</w:t>
      </w:r>
      <w:r w:rsidR="008D2757" w:rsidRPr="000E169A">
        <w:rPr>
          <w:rFonts w:eastAsiaTheme="minorEastAsia"/>
          <w:b/>
          <w:bCs/>
          <w:iCs/>
          <w:color w:val="212121"/>
          <w:sz w:val="22"/>
          <w:szCs w:val="22"/>
          <w:shd w:val="clear" w:color="auto" w:fill="FFFFFF"/>
          <w:lang w:eastAsia="ko-KR"/>
        </w:rPr>
        <w:t>s</w:t>
      </w:r>
      <w:r w:rsidRPr="000E169A">
        <w:rPr>
          <w:rFonts w:eastAsiaTheme="minorEastAsia"/>
          <w:b/>
          <w:bCs/>
          <w:iCs/>
          <w:color w:val="212121"/>
          <w:sz w:val="22"/>
          <w:szCs w:val="22"/>
          <w:shd w:val="clear" w:color="auto" w:fill="FFFFFF"/>
          <w:lang w:eastAsia="ko-KR"/>
        </w:rPr>
        <w:t xml:space="preserve"> epithelial polarization in SMG from mF</w:t>
      </w:r>
      <w:r w:rsidR="0059484B" w:rsidRPr="000E169A">
        <w:rPr>
          <w:rFonts w:eastAsiaTheme="minorEastAsia" w:hint="eastAsia"/>
          <w:b/>
          <w:bCs/>
          <w:iCs/>
          <w:color w:val="212121"/>
          <w:sz w:val="22"/>
          <w:szCs w:val="22"/>
          <w:shd w:val="clear" w:color="auto" w:fill="FFFFFF"/>
          <w:lang w:eastAsia="ko-KR"/>
        </w:rPr>
        <w:t>pr</w:t>
      </w:r>
      <w:r w:rsidRPr="000E169A">
        <w:rPr>
          <w:rFonts w:eastAsiaTheme="minorEastAsia"/>
          <w:b/>
          <w:bCs/>
          <w:iCs/>
          <w:color w:val="212121"/>
          <w:sz w:val="22"/>
          <w:szCs w:val="22"/>
          <w:shd w:val="clear" w:color="auto" w:fill="FFFFFF"/>
          <w:lang w:eastAsia="ko-KR"/>
        </w:rPr>
        <w:t xml:space="preserve">2 mice treated with LPS. </w:t>
      </w:r>
      <w:r w:rsidRPr="000E169A">
        <w:rPr>
          <w:rFonts w:eastAsiaTheme="minorEastAsia"/>
          <w:iCs/>
          <w:color w:val="212121"/>
          <w:sz w:val="22"/>
          <w:szCs w:val="22"/>
          <w:shd w:val="clear" w:color="auto" w:fill="FFFFFF"/>
          <w:lang w:eastAsia="ko-KR"/>
        </w:rPr>
        <w:t>SMG tissue sections from wild-type mice treated with LPS (</w:t>
      </w:r>
      <w:r w:rsidRPr="000E169A">
        <w:rPr>
          <w:rFonts w:eastAsiaTheme="minorEastAsia"/>
          <w:b/>
          <w:bCs/>
          <w:iCs/>
          <w:color w:val="212121"/>
          <w:sz w:val="22"/>
          <w:szCs w:val="22"/>
          <w:shd w:val="clear" w:color="auto" w:fill="FFFFFF"/>
          <w:lang w:eastAsia="ko-KR"/>
        </w:rPr>
        <w:t>A, D; red line</w:t>
      </w:r>
      <w:r w:rsidRPr="000E169A">
        <w:rPr>
          <w:rFonts w:eastAsiaTheme="minorEastAsia"/>
          <w:iCs/>
          <w:color w:val="212121"/>
          <w:sz w:val="22"/>
          <w:szCs w:val="22"/>
          <w:shd w:val="clear" w:color="auto" w:fill="FFFFFF"/>
          <w:lang w:eastAsia="ko-KR"/>
        </w:rPr>
        <w:t>), AT-RvD1 + LPS (</w:t>
      </w:r>
      <w:r w:rsidRPr="000E169A">
        <w:rPr>
          <w:rFonts w:eastAsiaTheme="minorEastAsia"/>
          <w:b/>
          <w:bCs/>
          <w:iCs/>
          <w:color w:val="212121"/>
          <w:sz w:val="22"/>
          <w:szCs w:val="22"/>
          <w:shd w:val="clear" w:color="auto" w:fill="FFFFFF"/>
          <w:lang w:eastAsia="ko-KR"/>
        </w:rPr>
        <w:t>B, D; blue line</w:t>
      </w:r>
      <w:r w:rsidRPr="000E169A">
        <w:rPr>
          <w:rFonts w:eastAsiaTheme="minorEastAsia"/>
          <w:iCs/>
          <w:color w:val="212121"/>
          <w:sz w:val="22"/>
          <w:szCs w:val="22"/>
          <w:shd w:val="clear" w:color="auto" w:fill="FFFFFF"/>
          <w:lang w:eastAsia="ko-KR"/>
        </w:rPr>
        <w:t>) and PBS (</w:t>
      </w:r>
      <w:r w:rsidRPr="000E169A">
        <w:rPr>
          <w:rFonts w:eastAsiaTheme="minorEastAsia"/>
          <w:b/>
          <w:bCs/>
          <w:iCs/>
          <w:color w:val="212121"/>
          <w:sz w:val="22"/>
          <w:szCs w:val="22"/>
          <w:shd w:val="clear" w:color="auto" w:fill="FFFFFF"/>
          <w:lang w:eastAsia="ko-KR"/>
        </w:rPr>
        <w:t>C, D; black line</w:t>
      </w:r>
      <w:r w:rsidRPr="000E169A">
        <w:rPr>
          <w:rFonts w:eastAsiaTheme="minorEastAsia"/>
          <w:iCs/>
          <w:color w:val="212121"/>
          <w:sz w:val="22"/>
          <w:szCs w:val="22"/>
          <w:shd w:val="clear" w:color="auto" w:fill="FFFFFF"/>
          <w:lang w:eastAsia="ko-KR"/>
        </w:rPr>
        <w:t xml:space="preserve">) were analyzed using confocal microscopy with rabbit anti-ZO-1 (green) and mouse anti-E-cadherin (red) antibodies, and counterstained with DAPI (blue). Our results show that SMG that were treated with LPS displayed a local reduction in ZO-1 expression as indicated </w:t>
      </w:r>
      <w:r w:rsidR="008D2757" w:rsidRPr="000E169A">
        <w:rPr>
          <w:rFonts w:eastAsiaTheme="minorEastAsia"/>
          <w:iCs/>
          <w:color w:val="212121"/>
          <w:sz w:val="22"/>
          <w:szCs w:val="22"/>
          <w:shd w:val="clear" w:color="auto" w:fill="FFFFFF"/>
          <w:lang w:eastAsia="ko-KR"/>
        </w:rPr>
        <w:t xml:space="preserve">by </w:t>
      </w:r>
      <w:r w:rsidRPr="000E169A">
        <w:rPr>
          <w:rFonts w:eastAsiaTheme="minorEastAsia"/>
          <w:iCs/>
          <w:color w:val="212121"/>
          <w:sz w:val="22"/>
          <w:szCs w:val="22"/>
          <w:shd w:val="clear" w:color="auto" w:fill="FFFFFF"/>
          <w:lang w:eastAsia="ko-KR"/>
        </w:rPr>
        <w:t xml:space="preserve">decreased intensity in some areas (white arrows). </w:t>
      </w:r>
      <w:r w:rsidRPr="000E169A">
        <w:rPr>
          <w:rFonts w:eastAsiaTheme="minorEastAsia"/>
          <w:b/>
          <w:bCs/>
          <w:iCs/>
          <w:color w:val="212121"/>
          <w:sz w:val="22"/>
          <w:szCs w:val="22"/>
          <w:shd w:val="clear" w:color="auto" w:fill="FFFFFF"/>
          <w:lang w:eastAsia="ko-KR"/>
        </w:rPr>
        <w:t>(D)</w:t>
      </w:r>
      <w:r w:rsidRPr="000E169A">
        <w:rPr>
          <w:rFonts w:eastAsiaTheme="minorEastAsia"/>
          <w:iCs/>
          <w:color w:val="212121"/>
          <w:sz w:val="22"/>
          <w:szCs w:val="22"/>
          <w:shd w:val="clear" w:color="auto" w:fill="FFFFFF"/>
          <w:lang w:eastAsia="ko-KR"/>
        </w:rPr>
        <w:t xml:space="preserve"> In contrast, SMG treated with AT-RvD1 + LPS showed a significant increase in ZO-1 expression and restored epithelial polarization comparable to PBS-treated healthy controls. Samples were examined using a Leica STELLARIS 5 confocal microscope and analyzed using image J. Representative image from a total of 4 mice per group in quadruples. Scale bars are 100 </w:t>
      </w:r>
      <w:r w:rsidRPr="000E169A">
        <w:rPr>
          <w:rFonts w:eastAsiaTheme="minorEastAsia"/>
          <w:iCs/>
          <w:color w:val="212121"/>
          <w:sz w:val="22"/>
          <w:szCs w:val="22"/>
          <w:shd w:val="clear" w:color="auto" w:fill="FFFFFF"/>
          <w:lang w:eastAsia="ko-KR"/>
        </w:rPr>
        <w:sym w:font="Symbol" w:char="F06D"/>
      </w:r>
      <w:r w:rsidRPr="000E169A">
        <w:rPr>
          <w:rFonts w:eastAsiaTheme="minorEastAsia"/>
          <w:iCs/>
          <w:color w:val="212121"/>
          <w:sz w:val="22"/>
          <w:szCs w:val="22"/>
          <w:shd w:val="clear" w:color="auto" w:fill="FFFFFF"/>
          <w:lang w:eastAsia="ko-KR"/>
        </w:rPr>
        <w:t>m.</w:t>
      </w:r>
      <w:r w:rsidRPr="000E169A">
        <w:rPr>
          <w:rFonts w:eastAsiaTheme="minorEastAsia"/>
          <w:b/>
          <w:bCs/>
          <w:iCs/>
          <w:color w:val="212121"/>
          <w:sz w:val="22"/>
          <w:szCs w:val="22"/>
          <w:shd w:val="clear" w:color="auto" w:fill="FFFFFF"/>
          <w:lang w:eastAsia="ko-KR"/>
        </w:rPr>
        <w:t xml:space="preserve"> </w:t>
      </w:r>
      <w:bookmarkEnd w:id="1"/>
    </w:p>
    <w:p w14:paraId="14FB2F6E" w14:textId="3C577C85" w:rsidR="00D076F8" w:rsidRPr="000E169A" w:rsidRDefault="009D2465" w:rsidP="00D076F8">
      <w:pPr>
        <w:spacing w:line="480" w:lineRule="auto"/>
        <w:jc w:val="center"/>
        <w:rPr>
          <w:rFonts w:eastAsiaTheme="minorEastAsia"/>
          <w:iCs/>
          <w:color w:val="212121"/>
          <w:sz w:val="22"/>
          <w:szCs w:val="22"/>
          <w:shd w:val="clear" w:color="auto" w:fill="FFFFFF"/>
          <w:lang w:eastAsia="ko-KR"/>
        </w:rPr>
      </w:pPr>
      <w:r w:rsidRPr="000E169A">
        <w:rPr>
          <w:rFonts w:eastAsiaTheme="minorEastAsia"/>
          <w:iCs/>
          <w:noProof/>
          <w:color w:val="212121"/>
          <w:sz w:val="22"/>
          <w:szCs w:val="22"/>
          <w:shd w:val="clear" w:color="auto" w:fill="FFFFFF"/>
          <w:lang w:eastAsia="ko-KR"/>
        </w:rPr>
        <w:lastRenderedPageBreak/>
        <w:drawing>
          <wp:inline distT="0" distB="0" distL="0" distR="0" wp14:anchorId="0350D210" wp14:editId="346E3ACC">
            <wp:extent cx="2447925" cy="3203575"/>
            <wp:effectExtent l="0" t="0" r="9525" b="0"/>
            <wp:docPr id="19417065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7925" cy="3203575"/>
                    </a:xfrm>
                    <a:prstGeom prst="rect">
                      <a:avLst/>
                    </a:prstGeom>
                    <a:noFill/>
                    <a:ln>
                      <a:noFill/>
                    </a:ln>
                  </pic:spPr>
                </pic:pic>
              </a:graphicData>
            </a:graphic>
          </wp:inline>
        </w:drawing>
      </w:r>
    </w:p>
    <w:p w14:paraId="26B855FD" w14:textId="5F228BD8" w:rsidR="00BE7061" w:rsidRPr="000E169A" w:rsidRDefault="00E8733F" w:rsidP="008F47E1">
      <w:pPr>
        <w:widowControl w:val="0"/>
        <w:autoSpaceDE w:val="0"/>
        <w:autoSpaceDN w:val="0"/>
        <w:adjustRightInd w:val="0"/>
        <w:spacing w:line="480" w:lineRule="auto"/>
        <w:ind w:left="-187"/>
        <w:jc w:val="both"/>
        <w:rPr>
          <w:rFonts w:eastAsiaTheme="minorEastAsia"/>
          <w:b/>
          <w:bCs/>
          <w:iCs/>
          <w:color w:val="212121"/>
          <w:sz w:val="22"/>
          <w:szCs w:val="22"/>
          <w:shd w:val="clear" w:color="auto" w:fill="FFFFFF"/>
          <w:lang w:eastAsia="ko-KR"/>
        </w:rPr>
      </w:pPr>
      <w:r w:rsidRPr="000E169A">
        <w:rPr>
          <w:rFonts w:eastAsiaTheme="minorEastAsia"/>
          <w:b/>
          <w:bCs/>
          <w:iCs/>
          <w:color w:val="212121"/>
          <w:sz w:val="22"/>
          <w:szCs w:val="22"/>
          <w:shd w:val="clear" w:color="auto" w:fill="FFFFFF"/>
          <w:lang w:eastAsia="ko-KR"/>
        </w:rPr>
        <w:t xml:space="preserve">Supplementary Figure </w:t>
      </w:r>
      <w:r w:rsidR="0079023A" w:rsidRPr="000E169A">
        <w:rPr>
          <w:rFonts w:eastAsiaTheme="minorEastAsia" w:hint="eastAsia"/>
          <w:b/>
          <w:bCs/>
          <w:iCs/>
          <w:color w:val="212121"/>
          <w:sz w:val="22"/>
          <w:szCs w:val="22"/>
          <w:shd w:val="clear" w:color="auto" w:fill="FFFFFF"/>
          <w:lang w:eastAsia="ko-KR"/>
        </w:rPr>
        <w:t>7</w:t>
      </w:r>
      <w:r w:rsidRPr="000E169A">
        <w:rPr>
          <w:rFonts w:eastAsiaTheme="minorEastAsia"/>
          <w:b/>
          <w:bCs/>
          <w:iCs/>
          <w:color w:val="212121"/>
          <w:sz w:val="22"/>
          <w:szCs w:val="22"/>
          <w:shd w:val="clear" w:color="auto" w:fill="FFFFFF"/>
          <w:lang w:eastAsia="ko-KR"/>
        </w:rPr>
        <w:t>. AT-RvD1 restores saliva secretion in mF</w:t>
      </w:r>
      <w:r w:rsidR="0059484B" w:rsidRPr="000E169A">
        <w:rPr>
          <w:rFonts w:eastAsiaTheme="minorEastAsia" w:hint="eastAsia"/>
          <w:b/>
          <w:bCs/>
          <w:iCs/>
          <w:color w:val="212121"/>
          <w:sz w:val="22"/>
          <w:szCs w:val="22"/>
          <w:shd w:val="clear" w:color="auto" w:fill="FFFFFF"/>
          <w:lang w:eastAsia="ko-KR"/>
        </w:rPr>
        <w:t>pr</w:t>
      </w:r>
      <w:r w:rsidRPr="000E169A">
        <w:rPr>
          <w:rFonts w:eastAsiaTheme="minorEastAsia"/>
          <w:b/>
          <w:bCs/>
          <w:iCs/>
          <w:color w:val="212121"/>
          <w:sz w:val="22"/>
          <w:szCs w:val="22"/>
          <w:shd w:val="clear" w:color="auto" w:fill="FFFFFF"/>
          <w:lang w:eastAsia="ko-KR"/>
        </w:rPr>
        <w:t>2 mice treated with LPS.</w:t>
      </w:r>
      <w:r w:rsidRPr="000E169A">
        <w:rPr>
          <w:rFonts w:eastAsiaTheme="minorEastAsia"/>
          <w:iCs/>
          <w:color w:val="212121"/>
          <w:sz w:val="22"/>
          <w:szCs w:val="22"/>
          <w:shd w:val="clear" w:color="auto" w:fill="FFFFFF"/>
          <w:lang w:eastAsia="ko-KR"/>
        </w:rPr>
        <w:t xml:space="preserve"> Mice were anesthetized and stimulated with pilocarpine. Then, saliva was collected for 20 min</w:t>
      </w:r>
      <w:r w:rsidR="00DC6549">
        <w:rPr>
          <w:rFonts w:eastAsiaTheme="minorEastAsia"/>
          <w:iCs/>
          <w:color w:val="212121"/>
          <w:sz w:val="22"/>
          <w:szCs w:val="22"/>
          <w:shd w:val="clear" w:color="auto" w:fill="FFFFFF"/>
          <w:lang w:eastAsia="ko-KR"/>
        </w:rPr>
        <w:t>utes</w:t>
      </w:r>
      <w:r w:rsidRPr="000E169A">
        <w:rPr>
          <w:rFonts w:eastAsiaTheme="minorEastAsia"/>
          <w:iCs/>
          <w:color w:val="212121"/>
          <w:sz w:val="22"/>
          <w:szCs w:val="22"/>
          <w:shd w:val="clear" w:color="auto" w:fill="FFFFFF"/>
          <w:lang w:eastAsia="ko-KR"/>
        </w:rPr>
        <w:t>. Data represent the means ± SD of n = 7 mice per condition and statistical</w:t>
      </w:r>
      <w:r w:rsidR="00B44C10" w:rsidRPr="000E169A">
        <w:rPr>
          <w:rFonts w:eastAsiaTheme="minorEastAsia"/>
          <w:iCs/>
          <w:color w:val="212121"/>
          <w:sz w:val="22"/>
          <w:szCs w:val="22"/>
          <w:shd w:val="clear" w:color="auto" w:fill="FFFFFF"/>
          <w:lang w:eastAsia="ko-KR"/>
        </w:rPr>
        <w:t xml:space="preserve"> significance was assessed by one-way </w:t>
      </w:r>
      <w:r w:rsidR="00B44C10" w:rsidRPr="000E169A">
        <w:rPr>
          <w:iCs/>
          <w:color w:val="212121"/>
          <w:sz w:val="22"/>
          <w:szCs w:val="22"/>
          <w:shd w:val="clear" w:color="auto" w:fill="FFFFFF"/>
        </w:rPr>
        <w:t>ANOVA</w:t>
      </w:r>
      <w:r w:rsidR="00B44C10" w:rsidRPr="000E169A">
        <w:rPr>
          <w:rFonts w:eastAsiaTheme="minorEastAsia"/>
          <w:iCs/>
          <w:color w:val="212121"/>
          <w:sz w:val="22"/>
          <w:szCs w:val="22"/>
          <w:shd w:val="clear" w:color="auto" w:fill="FFFFFF"/>
          <w:lang w:eastAsia="ko-KR"/>
        </w:rPr>
        <w:t xml:space="preserve"> (</w:t>
      </w:r>
      <w:r w:rsidR="00B44C10" w:rsidRPr="000E169A">
        <w:rPr>
          <w:iCs/>
          <w:color w:val="212121"/>
          <w:sz w:val="22"/>
          <w:szCs w:val="22"/>
          <w:shd w:val="clear" w:color="auto" w:fill="FFFFFF"/>
        </w:rPr>
        <w:t xml:space="preserve">where </w:t>
      </w:r>
      <w:r w:rsidR="00B44C10" w:rsidRPr="000E169A">
        <w:rPr>
          <w:i/>
          <w:color w:val="212121"/>
          <w:sz w:val="22"/>
          <w:szCs w:val="22"/>
          <w:shd w:val="clear" w:color="auto" w:fill="FFFFFF"/>
        </w:rPr>
        <w:t>*</w:t>
      </w:r>
      <w:r w:rsidR="00B44C10" w:rsidRPr="000E169A">
        <w:rPr>
          <w:i/>
          <w:iCs/>
          <w:color w:val="212121"/>
          <w:sz w:val="22"/>
          <w:szCs w:val="22"/>
          <w:shd w:val="clear" w:color="auto" w:fill="FFFFFF"/>
        </w:rPr>
        <w:t>p</w:t>
      </w:r>
      <w:r w:rsidR="00B44C10" w:rsidRPr="000E169A">
        <w:rPr>
          <w:iCs/>
          <w:color w:val="212121"/>
          <w:sz w:val="22"/>
          <w:szCs w:val="22"/>
          <w:shd w:val="clear" w:color="auto" w:fill="FFFFFF"/>
        </w:rPr>
        <w:t xml:space="preserve"> ≤ 0.05 is considered statistically significant) </w:t>
      </w:r>
      <w:r w:rsidR="00B44C10" w:rsidRPr="000E169A">
        <w:rPr>
          <w:rFonts w:eastAsiaTheme="minorEastAsia"/>
          <w:iCs/>
          <w:color w:val="212121"/>
          <w:sz w:val="22"/>
          <w:szCs w:val="22"/>
          <w:shd w:val="clear" w:color="auto" w:fill="FFFFFF"/>
          <w:lang w:eastAsia="ko-KR"/>
        </w:rPr>
        <w:t xml:space="preserve">followed by Dunnett's </w:t>
      </w:r>
      <w:r w:rsidRPr="000E169A">
        <w:rPr>
          <w:rFonts w:eastAsiaTheme="minorEastAsia"/>
          <w:iCs/>
          <w:color w:val="212121"/>
          <w:sz w:val="22"/>
          <w:szCs w:val="22"/>
          <w:shd w:val="clear" w:color="auto" w:fill="FFFFFF"/>
          <w:lang w:eastAsia="ko-KR"/>
        </w:rPr>
        <w:t>post-hoc test for multiple</w:t>
      </w:r>
      <w:r w:rsidR="008D2757" w:rsidRPr="000E169A">
        <w:rPr>
          <w:rFonts w:eastAsiaTheme="minorEastAsia"/>
          <w:iCs/>
          <w:color w:val="212121"/>
          <w:sz w:val="22"/>
          <w:szCs w:val="22"/>
          <w:shd w:val="clear" w:color="auto" w:fill="FFFFFF"/>
          <w:lang w:eastAsia="ko-KR"/>
        </w:rPr>
        <w:t xml:space="preserve"> comparisons</w:t>
      </w:r>
      <w:r w:rsidRPr="000E169A">
        <w:rPr>
          <w:rFonts w:eastAsiaTheme="minorEastAsia"/>
          <w:iCs/>
          <w:color w:val="212121"/>
          <w:sz w:val="22"/>
          <w:szCs w:val="22"/>
          <w:shd w:val="clear" w:color="auto" w:fill="FFFFFF"/>
          <w:lang w:eastAsia="ko-KR"/>
        </w:rPr>
        <w:t>. The saliva flow rate from C57BL/6J mice treated with LPS was significantly reduced. In contrast, mice treated with AT-RvD1 + LPS showed a significant increase in saliva flow rate</w:t>
      </w:r>
      <w:r w:rsidR="00181BED" w:rsidRPr="000E169A">
        <w:rPr>
          <w:rFonts w:eastAsiaTheme="minorEastAsia" w:hint="eastAsia"/>
          <w:iCs/>
          <w:color w:val="212121"/>
          <w:sz w:val="22"/>
          <w:szCs w:val="22"/>
          <w:shd w:val="clear" w:color="auto" w:fill="FFFFFF"/>
          <w:lang w:eastAsia="ko-KR"/>
        </w:rPr>
        <w:t xml:space="preserve"> </w:t>
      </w:r>
      <w:r w:rsidR="00181BED" w:rsidRPr="000E169A">
        <w:rPr>
          <w:rFonts w:eastAsiaTheme="minorEastAsia"/>
          <w:iCs/>
          <w:color w:val="212121"/>
          <w:sz w:val="22"/>
          <w:szCs w:val="22"/>
          <w:shd w:val="clear" w:color="auto" w:fill="FFFFFF"/>
          <w:lang w:eastAsia="ko-KR"/>
        </w:rPr>
        <w:t>compared to those treated with LPS alone</w:t>
      </w:r>
      <w:r w:rsidRPr="000E169A">
        <w:rPr>
          <w:rFonts w:eastAsiaTheme="minorEastAsia"/>
          <w:iCs/>
          <w:color w:val="212121"/>
          <w:sz w:val="22"/>
          <w:szCs w:val="22"/>
          <w:shd w:val="clear" w:color="auto" w:fill="FFFFFF"/>
          <w:lang w:eastAsia="ko-KR"/>
        </w:rPr>
        <w:t>.</w:t>
      </w:r>
      <w:r w:rsidRPr="000E169A">
        <w:rPr>
          <w:rFonts w:eastAsiaTheme="minorEastAsia"/>
          <w:b/>
          <w:bCs/>
          <w:iCs/>
          <w:color w:val="212121"/>
          <w:sz w:val="22"/>
          <w:szCs w:val="22"/>
          <w:shd w:val="clear" w:color="auto" w:fill="FFFFFF"/>
          <w:lang w:eastAsia="ko-KR"/>
        </w:rPr>
        <w:t xml:space="preserve"> </w:t>
      </w:r>
    </w:p>
    <w:p w14:paraId="6C9FE515" w14:textId="1FF9206F" w:rsidR="00BE7061" w:rsidRPr="000E169A" w:rsidRDefault="000C00DC" w:rsidP="000C00DC">
      <w:pPr>
        <w:widowControl w:val="0"/>
        <w:autoSpaceDE w:val="0"/>
        <w:autoSpaceDN w:val="0"/>
        <w:adjustRightInd w:val="0"/>
        <w:spacing w:line="480" w:lineRule="auto"/>
        <w:ind w:left="-187"/>
        <w:jc w:val="center"/>
        <w:rPr>
          <w:rFonts w:eastAsiaTheme="minorEastAsia"/>
          <w:b/>
          <w:bCs/>
          <w:iCs/>
          <w:color w:val="212121"/>
          <w:sz w:val="22"/>
          <w:szCs w:val="22"/>
          <w:shd w:val="clear" w:color="auto" w:fill="FFFFFF"/>
          <w:lang w:eastAsia="ko-KR"/>
        </w:rPr>
      </w:pPr>
      <w:r w:rsidRPr="000E169A">
        <w:rPr>
          <w:rFonts w:eastAsiaTheme="minorEastAsia"/>
          <w:b/>
          <w:bCs/>
          <w:iCs/>
          <w:noProof/>
          <w:color w:val="212121"/>
          <w:sz w:val="22"/>
          <w:szCs w:val="22"/>
          <w:shd w:val="clear" w:color="auto" w:fill="FFFFFF"/>
          <w:lang w:eastAsia="ko-KR"/>
        </w:rPr>
        <w:lastRenderedPageBreak/>
        <w:drawing>
          <wp:inline distT="0" distB="0" distL="0" distR="0" wp14:anchorId="5B898769" wp14:editId="4C3D7DF2">
            <wp:extent cx="2447925" cy="3203575"/>
            <wp:effectExtent l="0" t="0" r="9525" b="0"/>
            <wp:docPr id="17842518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7925" cy="3203575"/>
                    </a:xfrm>
                    <a:prstGeom prst="rect">
                      <a:avLst/>
                    </a:prstGeom>
                    <a:noFill/>
                    <a:ln>
                      <a:noFill/>
                    </a:ln>
                  </pic:spPr>
                </pic:pic>
              </a:graphicData>
            </a:graphic>
          </wp:inline>
        </w:drawing>
      </w:r>
    </w:p>
    <w:p w14:paraId="06C76925" w14:textId="579B318B" w:rsidR="00B900CB" w:rsidRPr="000E169A" w:rsidRDefault="00B900CB" w:rsidP="00B900CB">
      <w:pPr>
        <w:widowControl w:val="0"/>
        <w:autoSpaceDE w:val="0"/>
        <w:autoSpaceDN w:val="0"/>
        <w:adjustRightInd w:val="0"/>
        <w:spacing w:line="480" w:lineRule="auto"/>
        <w:ind w:left="-187"/>
        <w:jc w:val="both"/>
        <w:rPr>
          <w:rFonts w:eastAsiaTheme="minorEastAsia"/>
          <w:iCs/>
          <w:color w:val="212121"/>
          <w:sz w:val="22"/>
          <w:szCs w:val="22"/>
          <w:shd w:val="clear" w:color="auto" w:fill="FFFFFF"/>
          <w:lang w:eastAsia="ko-KR"/>
        </w:rPr>
      </w:pPr>
      <w:bookmarkStart w:id="2" w:name="_Hlk181105332"/>
      <w:r w:rsidRPr="000E169A">
        <w:rPr>
          <w:rFonts w:eastAsiaTheme="minorEastAsia"/>
          <w:b/>
          <w:bCs/>
          <w:iCs/>
          <w:color w:val="212121"/>
          <w:sz w:val="22"/>
          <w:szCs w:val="22"/>
          <w:shd w:val="clear" w:color="auto" w:fill="FFFFFF"/>
          <w:lang w:eastAsia="ko-KR"/>
        </w:rPr>
        <w:t xml:space="preserve">Supplementary Figure </w:t>
      </w:r>
      <w:r w:rsidR="0079023A" w:rsidRPr="000E169A">
        <w:rPr>
          <w:rFonts w:eastAsiaTheme="minorEastAsia" w:hint="eastAsia"/>
          <w:b/>
          <w:bCs/>
          <w:iCs/>
          <w:color w:val="212121"/>
          <w:sz w:val="22"/>
          <w:szCs w:val="22"/>
          <w:shd w:val="clear" w:color="auto" w:fill="FFFFFF"/>
          <w:lang w:eastAsia="ko-KR"/>
        </w:rPr>
        <w:t>8</w:t>
      </w:r>
      <w:r w:rsidRPr="000E169A">
        <w:rPr>
          <w:rFonts w:eastAsiaTheme="minorEastAsia"/>
          <w:b/>
          <w:bCs/>
          <w:iCs/>
          <w:color w:val="212121"/>
          <w:sz w:val="22"/>
          <w:szCs w:val="22"/>
          <w:shd w:val="clear" w:color="auto" w:fill="FFFFFF"/>
          <w:lang w:eastAsia="ko-KR"/>
        </w:rPr>
        <w:t xml:space="preserve">. AT-RvD1 restores saliva secretion in hFPR2 mice treated with LPS. </w:t>
      </w:r>
      <w:r w:rsidRPr="000E169A">
        <w:rPr>
          <w:rFonts w:eastAsiaTheme="minorEastAsia"/>
          <w:iCs/>
          <w:color w:val="212121"/>
          <w:sz w:val="22"/>
          <w:szCs w:val="22"/>
          <w:shd w:val="clear" w:color="auto" w:fill="FFFFFF"/>
          <w:lang w:eastAsia="ko-KR"/>
        </w:rPr>
        <w:t>Mice were anesthetized and stimulated with pilocarpine. Then, saliva was collected for 20 min</w:t>
      </w:r>
      <w:r w:rsidR="00DC6549">
        <w:rPr>
          <w:rFonts w:eastAsiaTheme="minorEastAsia"/>
          <w:iCs/>
          <w:color w:val="212121"/>
          <w:sz w:val="22"/>
          <w:szCs w:val="22"/>
          <w:shd w:val="clear" w:color="auto" w:fill="FFFFFF"/>
          <w:lang w:eastAsia="ko-KR"/>
        </w:rPr>
        <w:t>utes</w:t>
      </w:r>
      <w:r w:rsidRPr="000E169A">
        <w:rPr>
          <w:rFonts w:eastAsiaTheme="minorEastAsia"/>
          <w:iCs/>
          <w:color w:val="212121"/>
          <w:sz w:val="22"/>
          <w:szCs w:val="22"/>
          <w:shd w:val="clear" w:color="auto" w:fill="FFFFFF"/>
          <w:lang w:eastAsia="ko-KR"/>
        </w:rPr>
        <w:t xml:space="preserve">. Data represent the means ± SD of n = 7 mice per condition and statistical significance was assessed by </w:t>
      </w:r>
      <w:r w:rsidR="00B44C10" w:rsidRPr="000E169A">
        <w:rPr>
          <w:rFonts w:eastAsiaTheme="minorEastAsia"/>
          <w:iCs/>
          <w:color w:val="212121"/>
          <w:sz w:val="22"/>
          <w:szCs w:val="22"/>
          <w:shd w:val="clear" w:color="auto" w:fill="FFFFFF"/>
          <w:lang w:eastAsia="ko-KR"/>
        </w:rPr>
        <w:t xml:space="preserve">one-way </w:t>
      </w:r>
      <w:r w:rsidR="00B44C10" w:rsidRPr="000E169A">
        <w:rPr>
          <w:iCs/>
          <w:color w:val="212121"/>
          <w:sz w:val="22"/>
          <w:szCs w:val="22"/>
          <w:shd w:val="clear" w:color="auto" w:fill="FFFFFF"/>
        </w:rPr>
        <w:t>ANOVA</w:t>
      </w:r>
      <w:r w:rsidR="00B44C10" w:rsidRPr="000E169A">
        <w:rPr>
          <w:rFonts w:eastAsiaTheme="minorEastAsia"/>
          <w:iCs/>
          <w:color w:val="212121"/>
          <w:sz w:val="22"/>
          <w:szCs w:val="22"/>
          <w:shd w:val="clear" w:color="auto" w:fill="FFFFFF"/>
          <w:lang w:eastAsia="ko-KR"/>
        </w:rPr>
        <w:t xml:space="preserve"> (</w:t>
      </w:r>
      <w:r w:rsidR="00B44C10" w:rsidRPr="000E169A">
        <w:rPr>
          <w:iCs/>
          <w:color w:val="212121"/>
          <w:sz w:val="22"/>
          <w:szCs w:val="22"/>
          <w:shd w:val="clear" w:color="auto" w:fill="FFFFFF"/>
        </w:rPr>
        <w:t xml:space="preserve">where </w:t>
      </w:r>
      <w:r w:rsidR="00B44C10" w:rsidRPr="000E169A">
        <w:rPr>
          <w:i/>
          <w:color w:val="212121"/>
          <w:sz w:val="22"/>
          <w:szCs w:val="22"/>
          <w:shd w:val="clear" w:color="auto" w:fill="FFFFFF"/>
        </w:rPr>
        <w:t>*</w:t>
      </w:r>
      <w:r w:rsidR="00B44C10" w:rsidRPr="000E169A">
        <w:rPr>
          <w:i/>
          <w:iCs/>
          <w:color w:val="212121"/>
          <w:sz w:val="22"/>
          <w:szCs w:val="22"/>
          <w:shd w:val="clear" w:color="auto" w:fill="FFFFFF"/>
        </w:rPr>
        <w:t>p</w:t>
      </w:r>
      <w:r w:rsidR="00B44C10" w:rsidRPr="000E169A">
        <w:rPr>
          <w:iCs/>
          <w:color w:val="212121"/>
          <w:sz w:val="22"/>
          <w:szCs w:val="22"/>
          <w:shd w:val="clear" w:color="auto" w:fill="FFFFFF"/>
        </w:rPr>
        <w:t xml:space="preserve"> ≤ 0.05 is considered statistically significant) </w:t>
      </w:r>
      <w:r w:rsidR="00B44C10" w:rsidRPr="000E169A">
        <w:rPr>
          <w:rFonts w:eastAsiaTheme="minorEastAsia"/>
          <w:iCs/>
          <w:color w:val="212121"/>
          <w:sz w:val="22"/>
          <w:szCs w:val="22"/>
          <w:shd w:val="clear" w:color="auto" w:fill="FFFFFF"/>
          <w:lang w:eastAsia="ko-KR"/>
        </w:rPr>
        <w:t xml:space="preserve">followed by </w:t>
      </w:r>
      <w:r w:rsidRPr="000E169A">
        <w:rPr>
          <w:rFonts w:eastAsiaTheme="minorEastAsia"/>
          <w:iCs/>
          <w:color w:val="212121"/>
          <w:sz w:val="22"/>
          <w:szCs w:val="22"/>
          <w:shd w:val="clear" w:color="auto" w:fill="FFFFFF"/>
          <w:lang w:eastAsia="ko-KR"/>
        </w:rPr>
        <w:t xml:space="preserve">Dunnett's post-hoc test for multiple comparisons. The saliva volume from hFPR2 mice treated with LPS was significantly reduced. In contrast, mice treated with AT-RvD1 + LPS showed a significant increase in saliva volume </w:t>
      </w:r>
      <w:r w:rsidR="000C00DC" w:rsidRPr="000E169A">
        <w:rPr>
          <w:rFonts w:eastAsiaTheme="minorEastAsia"/>
          <w:iCs/>
          <w:color w:val="212121"/>
          <w:sz w:val="22"/>
          <w:szCs w:val="22"/>
          <w:shd w:val="clear" w:color="auto" w:fill="FFFFFF"/>
          <w:lang w:eastAsia="ko-KR"/>
        </w:rPr>
        <w:t>compared to those treated with LPS alone</w:t>
      </w:r>
      <w:r w:rsidRPr="000E169A">
        <w:rPr>
          <w:rFonts w:eastAsiaTheme="minorEastAsia"/>
          <w:iCs/>
          <w:color w:val="212121"/>
          <w:sz w:val="22"/>
          <w:szCs w:val="22"/>
          <w:shd w:val="clear" w:color="auto" w:fill="FFFFFF"/>
          <w:lang w:eastAsia="ko-KR"/>
        </w:rPr>
        <w:t xml:space="preserve">. </w:t>
      </w:r>
    </w:p>
    <w:bookmarkEnd w:id="2"/>
    <w:p w14:paraId="7303CA35" w14:textId="77777777" w:rsidR="00A55F82" w:rsidRPr="000E169A" w:rsidRDefault="00A55F82" w:rsidP="00A55F82">
      <w:pPr>
        <w:widowControl w:val="0"/>
        <w:autoSpaceDE w:val="0"/>
        <w:autoSpaceDN w:val="0"/>
        <w:adjustRightInd w:val="0"/>
        <w:spacing w:line="480" w:lineRule="auto"/>
        <w:ind w:left="-187"/>
        <w:jc w:val="center"/>
        <w:rPr>
          <w:rFonts w:eastAsiaTheme="minorEastAsia"/>
          <w:b/>
          <w:bCs/>
          <w:iCs/>
          <w:color w:val="212121"/>
          <w:sz w:val="22"/>
          <w:szCs w:val="22"/>
          <w:shd w:val="clear" w:color="auto" w:fill="FFFFFF"/>
          <w:lang w:eastAsia="ko-KR"/>
        </w:rPr>
      </w:pPr>
      <w:r w:rsidRPr="000E169A">
        <w:rPr>
          <w:rFonts w:eastAsiaTheme="minorEastAsia"/>
          <w:b/>
          <w:bCs/>
          <w:iCs/>
          <w:noProof/>
          <w:color w:val="212121"/>
          <w:sz w:val="22"/>
          <w:szCs w:val="22"/>
          <w:shd w:val="clear" w:color="auto" w:fill="FFFFFF"/>
          <w:lang w:eastAsia="ko-KR"/>
        </w:rPr>
        <w:lastRenderedPageBreak/>
        <w:drawing>
          <wp:inline distT="0" distB="0" distL="0" distR="0" wp14:anchorId="345AF0AC" wp14:editId="15B3F943">
            <wp:extent cx="2447925" cy="3203575"/>
            <wp:effectExtent l="0" t="0" r="9525" b="0"/>
            <wp:docPr id="18656052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925" cy="3203575"/>
                    </a:xfrm>
                    <a:prstGeom prst="rect">
                      <a:avLst/>
                    </a:prstGeom>
                    <a:noFill/>
                    <a:ln>
                      <a:noFill/>
                    </a:ln>
                  </pic:spPr>
                </pic:pic>
              </a:graphicData>
            </a:graphic>
          </wp:inline>
        </w:drawing>
      </w:r>
    </w:p>
    <w:p w14:paraId="14D8F023" w14:textId="4F29E94B" w:rsidR="00D076F8" w:rsidRPr="000E169A" w:rsidRDefault="00B900CB" w:rsidP="000E169A">
      <w:pPr>
        <w:widowControl w:val="0"/>
        <w:autoSpaceDE w:val="0"/>
        <w:autoSpaceDN w:val="0"/>
        <w:adjustRightInd w:val="0"/>
        <w:spacing w:line="480" w:lineRule="auto"/>
        <w:ind w:left="-187"/>
        <w:jc w:val="both"/>
        <w:rPr>
          <w:rFonts w:eastAsiaTheme="minorEastAsia"/>
          <w:iCs/>
          <w:color w:val="212121"/>
          <w:sz w:val="22"/>
          <w:szCs w:val="22"/>
          <w:shd w:val="clear" w:color="auto" w:fill="FFFFFF"/>
          <w:lang w:eastAsia="ko-KR"/>
        </w:rPr>
      </w:pPr>
      <w:bookmarkStart w:id="3" w:name="_Hlk181105443"/>
      <w:r w:rsidRPr="000E169A">
        <w:rPr>
          <w:rFonts w:eastAsiaTheme="minorEastAsia"/>
          <w:b/>
          <w:bCs/>
          <w:iCs/>
          <w:color w:val="212121"/>
          <w:sz w:val="22"/>
          <w:szCs w:val="22"/>
          <w:shd w:val="clear" w:color="auto" w:fill="FFFFFF"/>
          <w:lang w:eastAsia="ko-KR"/>
        </w:rPr>
        <w:t xml:space="preserve">Supplementary Figure </w:t>
      </w:r>
      <w:r w:rsidR="0079023A" w:rsidRPr="000E169A">
        <w:rPr>
          <w:rFonts w:eastAsiaTheme="minorEastAsia" w:hint="eastAsia"/>
          <w:b/>
          <w:bCs/>
          <w:iCs/>
          <w:color w:val="212121"/>
          <w:sz w:val="22"/>
          <w:szCs w:val="22"/>
          <w:shd w:val="clear" w:color="auto" w:fill="FFFFFF"/>
          <w:lang w:eastAsia="ko-KR"/>
        </w:rPr>
        <w:t>9</w:t>
      </w:r>
      <w:r w:rsidRPr="000E169A">
        <w:rPr>
          <w:rFonts w:eastAsiaTheme="minorEastAsia"/>
          <w:b/>
          <w:bCs/>
          <w:iCs/>
          <w:color w:val="212121"/>
          <w:sz w:val="22"/>
          <w:szCs w:val="22"/>
          <w:shd w:val="clear" w:color="auto" w:fill="FFFFFF"/>
          <w:lang w:eastAsia="ko-KR"/>
        </w:rPr>
        <w:t xml:space="preserve">. Body weight of hFPR2 mice. </w:t>
      </w:r>
      <w:r w:rsidRPr="000E169A">
        <w:rPr>
          <w:rFonts w:eastAsiaTheme="minorEastAsia"/>
          <w:iCs/>
          <w:color w:val="212121"/>
          <w:sz w:val="22"/>
          <w:szCs w:val="22"/>
          <w:shd w:val="clear" w:color="auto" w:fill="FFFFFF"/>
          <w:lang w:eastAsia="ko-KR"/>
        </w:rPr>
        <w:t xml:space="preserve">Data represent the means ± SD of n = 7 mice per condition and statistical significance </w:t>
      </w:r>
      <w:r w:rsidR="00B44C10" w:rsidRPr="000E169A">
        <w:rPr>
          <w:rFonts w:eastAsiaTheme="minorEastAsia"/>
          <w:iCs/>
          <w:color w:val="212121"/>
          <w:sz w:val="22"/>
          <w:szCs w:val="22"/>
          <w:shd w:val="clear" w:color="auto" w:fill="FFFFFF"/>
          <w:lang w:eastAsia="ko-KR"/>
        </w:rPr>
        <w:t xml:space="preserve">was assessed by one-way </w:t>
      </w:r>
      <w:r w:rsidR="00B44C10" w:rsidRPr="000E169A">
        <w:rPr>
          <w:iCs/>
          <w:color w:val="212121"/>
          <w:sz w:val="22"/>
          <w:szCs w:val="22"/>
          <w:shd w:val="clear" w:color="auto" w:fill="FFFFFF"/>
        </w:rPr>
        <w:t>ANOVA</w:t>
      </w:r>
      <w:r w:rsidR="00B44C10" w:rsidRPr="000E169A">
        <w:rPr>
          <w:rFonts w:eastAsiaTheme="minorEastAsia"/>
          <w:iCs/>
          <w:color w:val="212121"/>
          <w:sz w:val="22"/>
          <w:szCs w:val="22"/>
          <w:shd w:val="clear" w:color="auto" w:fill="FFFFFF"/>
          <w:lang w:eastAsia="ko-KR"/>
        </w:rPr>
        <w:t xml:space="preserve"> (</w:t>
      </w:r>
      <w:r w:rsidR="00B44C10" w:rsidRPr="000E169A">
        <w:rPr>
          <w:iCs/>
          <w:color w:val="212121"/>
          <w:sz w:val="22"/>
          <w:szCs w:val="22"/>
          <w:shd w:val="clear" w:color="auto" w:fill="FFFFFF"/>
        </w:rPr>
        <w:t xml:space="preserve">where </w:t>
      </w:r>
      <w:r w:rsidR="00B44C10" w:rsidRPr="000E169A">
        <w:rPr>
          <w:i/>
          <w:color w:val="212121"/>
          <w:sz w:val="22"/>
          <w:szCs w:val="22"/>
          <w:shd w:val="clear" w:color="auto" w:fill="FFFFFF"/>
        </w:rPr>
        <w:t>*</w:t>
      </w:r>
      <w:r w:rsidR="00B44C10" w:rsidRPr="000E169A">
        <w:rPr>
          <w:i/>
          <w:iCs/>
          <w:color w:val="212121"/>
          <w:sz w:val="22"/>
          <w:szCs w:val="22"/>
          <w:shd w:val="clear" w:color="auto" w:fill="FFFFFF"/>
        </w:rPr>
        <w:t>p</w:t>
      </w:r>
      <w:r w:rsidR="00B44C10" w:rsidRPr="000E169A">
        <w:rPr>
          <w:iCs/>
          <w:color w:val="212121"/>
          <w:sz w:val="22"/>
          <w:szCs w:val="22"/>
          <w:shd w:val="clear" w:color="auto" w:fill="FFFFFF"/>
        </w:rPr>
        <w:t xml:space="preserve"> ≤ 0.05 is considered statistically significant) </w:t>
      </w:r>
      <w:r w:rsidR="00B44C10" w:rsidRPr="000E169A">
        <w:rPr>
          <w:rFonts w:eastAsiaTheme="minorEastAsia"/>
          <w:iCs/>
          <w:color w:val="212121"/>
          <w:sz w:val="22"/>
          <w:szCs w:val="22"/>
          <w:shd w:val="clear" w:color="auto" w:fill="FFFFFF"/>
          <w:lang w:eastAsia="ko-KR"/>
        </w:rPr>
        <w:t xml:space="preserve">followed by </w:t>
      </w:r>
      <w:r w:rsidRPr="000E169A">
        <w:rPr>
          <w:rFonts w:eastAsiaTheme="minorEastAsia"/>
          <w:iCs/>
          <w:color w:val="212121"/>
          <w:sz w:val="22"/>
          <w:szCs w:val="22"/>
          <w:shd w:val="clear" w:color="auto" w:fill="FFFFFF"/>
          <w:lang w:eastAsia="ko-KR"/>
        </w:rPr>
        <w:t>Dunnett's post-hoc test for multiple comparisons to the LPS treated group. * = significant difference from the LPS treated group; n.s. = no significant difference from the LPS treated group. The weight from hFPR2 mice treated with LPS was significantly reduced when compared to PBS-treated healthy controls.</w:t>
      </w:r>
      <w:bookmarkEnd w:id="3"/>
      <w:r w:rsidR="00592222" w:rsidRPr="000E169A">
        <w:rPr>
          <w:rFonts w:eastAsiaTheme="minorEastAsia"/>
          <w:iCs/>
          <w:color w:val="212121"/>
          <w:kern w:val="2"/>
          <w:sz w:val="22"/>
          <w:szCs w:val="22"/>
          <w:shd w:val="clear" w:color="auto" w:fill="FFFFFF"/>
          <w:lang w:eastAsia="ko-KR"/>
          <w14:ligatures w14:val="standardContextual"/>
        </w:rPr>
        <w:fldChar w:fldCharType="begin"/>
      </w:r>
      <w:r w:rsidR="00592222" w:rsidRPr="000E169A">
        <w:rPr>
          <w:rFonts w:eastAsiaTheme="minorEastAsia"/>
          <w:iCs/>
          <w:color w:val="212121"/>
          <w:sz w:val="22"/>
          <w:szCs w:val="22"/>
          <w:shd w:val="clear" w:color="auto" w:fill="FFFFFF"/>
          <w:lang w:eastAsia="ko-KR"/>
        </w:rPr>
        <w:instrText xml:space="preserve"> ADDIN EN.REFLIST </w:instrText>
      </w:r>
      <w:r w:rsidR="00592222" w:rsidRPr="000E169A">
        <w:rPr>
          <w:rFonts w:eastAsiaTheme="minorEastAsia"/>
          <w:iCs/>
          <w:color w:val="212121"/>
          <w:kern w:val="2"/>
          <w:sz w:val="22"/>
          <w:szCs w:val="22"/>
          <w:shd w:val="clear" w:color="auto" w:fill="FFFFFF"/>
          <w:lang w:eastAsia="ko-KR"/>
          <w14:ligatures w14:val="standardContextual"/>
        </w:rPr>
        <w:fldChar w:fldCharType="separate"/>
      </w:r>
      <w:r w:rsidR="00592222" w:rsidRPr="000E169A">
        <w:rPr>
          <w:rFonts w:eastAsiaTheme="minorEastAsia"/>
          <w:iCs/>
          <w:color w:val="212121"/>
          <w:sz w:val="22"/>
          <w:szCs w:val="22"/>
          <w:shd w:val="clear" w:color="auto" w:fill="FFFFFF"/>
          <w:lang w:eastAsia="ko-KR"/>
        </w:rPr>
        <w:fldChar w:fldCharType="end"/>
      </w:r>
    </w:p>
    <w:sectPr w:rsidR="00D076F8" w:rsidRPr="000E169A" w:rsidSect="004C561A">
      <w:headerReference w:type="default" r:id="rId18"/>
      <w:footerReference w:type="default" r:id="rId1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654B" w14:textId="77777777" w:rsidR="009F0F5E" w:rsidRDefault="009F0F5E">
      <w:r>
        <w:separator/>
      </w:r>
    </w:p>
  </w:endnote>
  <w:endnote w:type="continuationSeparator" w:id="0">
    <w:p w14:paraId="0A62BA49" w14:textId="77777777" w:rsidR="009F0F5E" w:rsidRDefault="009F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050220"/>
      <w:docPartObj>
        <w:docPartGallery w:val="Page Numbers (Bottom of Page)"/>
        <w:docPartUnique/>
      </w:docPartObj>
    </w:sdtPr>
    <w:sdtEndPr>
      <w:rPr>
        <w:noProof/>
      </w:rPr>
    </w:sdtEndPr>
    <w:sdtContent>
      <w:p w14:paraId="7D959E1F" w14:textId="0EFA44CA" w:rsidR="00AB0C56" w:rsidRDefault="00AB0C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BE05F6" w14:textId="77777777" w:rsidR="007119D9" w:rsidRDefault="00711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226D" w14:textId="77777777" w:rsidR="009F0F5E" w:rsidRDefault="009F0F5E">
      <w:r>
        <w:separator/>
      </w:r>
    </w:p>
  </w:footnote>
  <w:footnote w:type="continuationSeparator" w:id="0">
    <w:p w14:paraId="3EF435CE" w14:textId="77777777" w:rsidR="009F0F5E" w:rsidRDefault="009F0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B029" w14:textId="550711EA" w:rsidR="00D52658" w:rsidRPr="00D52658" w:rsidRDefault="00D52658">
    <w:pPr>
      <w:pStyle w:val="Header"/>
      <w:rPr>
        <w:rFonts w:eastAsiaTheme="minorEastAsia"/>
        <w:lang w:eastAsia="ko-KR"/>
      </w:rPr>
    </w:pPr>
    <w:r>
      <w:t>Appendix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74F42"/>
    <w:multiLevelType w:val="hybridMultilevel"/>
    <w:tmpl w:val="BB542FBE"/>
    <w:lvl w:ilvl="0" w:tplc="EAECF5C6">
      <w:start w:val="1"/>
      <w:numFmt w:val="bullet"/>
      <w:lvlText w:val="•"/>
      <w:lvlJc w:val="left"/>
      <w:pPr>
        <w:tabs>
          <w:tab w:val="num" w:pos="720"/>
        </w:tabs>
        <w:ind w:left="720" w:hanging="360"/>
      </w:pPr>
      <w:rPr>
        <w:rFonts w:ascii="Arial" w:hAnsi="Arial" w:hint="default"/>
      </w:rPr>
    </w:lvl>
    <w:lvl w:ilvl="1" w:tplc="6412886C" w:tentative="1">
      <w:start w:val="1"/>
      <w:numFmt w:val="bullet"/>
      <w:lvlText w:val="•"/>
      <w:lvlJc w:val="left"/>
      <w:pPr>
        <w:tabs>
          <w:tab w:val="num" w:pos="1440"/>
        </w:tabs>
        <w:ind w:left="1440" w:hanging="360"/>
      </w:pPr>
      <w:rPr>
        <w:rFonts w:ascii="Arial" w:hAnsi="Arial" w:hint="default"/>
      </w:rPr>
    </w:lvl>
    <w:lvl w:ilvl="2" w:tplc="FEB64FF2" w:tentative="1">
      <w:start w:val="1"/>
      <w:numFmt w:val="bullet"/>
      <w:lvlText w:val="•"/>
      <w:lvlJc w:val="left"/>
      <w:pPr>
        <w:tabs>
          <w:tab w:val="num" w:pos="2160"/>
        </w:tabs>
        <w:ind w:left="2160" w:hanging="360"/>
      </w:pPr>
      <w:rPr>
        <w:rFonts w:ascii="Arial" w:hAnsi="Arial" w:hint="default"/>
      </w:rPr>
    </w:lvl>
    <w:lvl w:ilvl="3" w:tplc="8D9C3BE0" w:tentative="1">
      <w:start w:val="1"/>
      <w:numFmt w:val="bullet"/>
      <w:lvlText w:val="•"/>
      <w:lvlJc w:val="left"/>
      <w:pPr>
        <w:tabs>
          <w:tab w:val="num" w:pos="2880"/>
        </w:tabs>
        <w:ind w:left="2880" w:hanging="360"/>
      </w:pPr>
      <w:rPr>
        <w:rFonts w:ascii="Arial" w:hAnsi="Arial" w:hint="default"/>
      </w:rPr>
    </w:lvl>
    <w:lvl w:ilvl="4" w:tplc="6E16CF84" w:tentative="1">
      <w:start w:val="1"/>
      <w:numFmt w:val="bullet"/>
      <w:lvlText w:val="•"/>
      <w:lvlJc w:val="left"/>
      <w:pPr>
        <w:tabs>
          <w:tab w:val="num" w:pos="3600"/>
        </w:tabs>
        <w:ind w:left="3600" w:hanging="360"/>
      </w:pPr>
      <w:rPr>
        <w:rFonts w:ascii="Arial" w:hAnsi="Arial" w:hint="default"/>
      </w:rPr>
    </w:lvl>
    <w:lvl w:ilvl="5" w:tplc="A502D316" w:tentative="1">
      <w:start w:val="1"/>
      <w:numFmt w:val="bullet"/>
      <w:lvlText w:val="•"/>
      <w:lvlJc w:val="left"/>
      <w:pPr>
        <w:tabs>
          <w:tab w:val="num" w:pos="4320"/>
        </w:tabs>
        <w:ind w:left="4320" w:hanging="360"/>
      </w:pPr>
      <w:rPr>
        <w:rFonts w:ascii="Arial" w:hAnsi="Arial" w:hint="default"/>
      </w:rPr>
    </w:lvl>
    <w:lvl w:ilvl="6" w:tplc="9BF8EFD8" w:tentative="1">
      <w:start w:val="1"/>
      <w:numFmt w:val="bullet"/>
      <w:lvlText w:val="•"/>
      <w:lvlJc w:val="left"/>
      <w:pPr>
        <w:tabs>
          <w:tab w:val="num" w:pos="5040"/>
        </w:tabs>
        <w:ind w:left="5040" w:hanging="360"/>
      </w:pPr>
      <w:rPr>
        <w:rFonts w:ascii="Arial" w:hAnsi="Arial" w:hint="default"/>
      </w:rPr>
    </w:lvl>
    <w:lvl w:ilvl="7" w:tplc="BDBED99E" w:tentative="1">
      <w:start w:val="1"/>
      <w:numFmt w:val="bullet"/>
      <w:lvlText w:val="•"/>
      <w:lvlJc w:val="left"/>
      <w:pPr>
        <w:tabs>
          <w:tab w:val="num" w:pos="5760"/>
        </w:tabs>
        <w:ind w:left="5760" w:hanging="360"/>
      </w:pPr>
      <w:rPr>
        <w:rFonts w:ascii="Arial" w:hAnsi="Arial" w:hint="default"/>
      </w:rPr>
    </w:lvl>
    <w:lvl w:ilvl="8" w:tplc="3C96A4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9A38AC"/>
    <w:multiLevelType w:val="multilevel"/>
    <w:tmpl w:val="9176C0A8"/>
    <w:lvl w:ilvl="0">
      <w:start w:val="1"/>
      <w:numFmt w:val="decimal"/>
      <w:lvlText w:val="%1."/>
      <w:lvlJc w:val="left"/>
      <w:pPr>
        <w:ind w:left="180" w:hanging="360"/>
      </w:pPr>
      <w:rPr>
        <w:rFonts w:hint="default"/>
      </w:rPr>
    </w:lvl>
    <w:lvl w:ilvl="1">
      <w:start w:val="1"/>
      <w:numFmt w:val="decimal"/>
      <w:isLgl/>
      <w:lvlText w:val="%1.%2."/>
      <w:lvlJc w:val="left"/>
      <w:pPr>
        <w:ind w:left="180" w:hanging="360"/>
      </w:pPr>
      <w:rPr>
        <w:rFonts w:hint="default"/>
      </w:rPr>
    </w:lvl>
    <w:lvl w:ilvl="2">
      <w:start w:val="1"/>
      <w:numFmt w:val="decimal"/>
      <w:isLgl/>
      <w:lvlText w:val="%1.%2.%3."/>
      <w:lvlJc w:val="left"/>
      <w:pPr>
        <w:ind w:left="540" w:hanging="720"/>
      </w:pPr>
      <w:rPr>
        <w:rFonts w:hint="default"/>
      </w:rPr>
    </w:lvl>
    <w:lvl w:ilvl="3">
      <w:start w:val="1"/>
      <w:numFmt w:val="decimal"/>
      <w:isLgl/>
      <w:lvlText w:val="%1.%2.%3.%4."/>
      <w:lvlJc w:val="left"/>
      <w:pPr>
        <w:ind w:left="540" w:hanging="72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900" w:hanging="108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260" w:hanging="1440"/>
      </w:pPr>
      <w:rPr>
        <w:rFonts w:hint="default"/>
      </w:rPr>
    </w:lvl>
    <w:lvl w:ilvl="8">
      <w:start w:val="1"/>
      <w:numFmt w:val="decimal"/>
      <w:isLgl/>
      <w:lvlText w:val="%1.%2.%3.%4.%5.%6.%7.%8.%9."/>
      <w:lvlJc w:val="left"/>
      <w:pPr>
        <w:ind w:left="1620" w:hanging="1800"/>
      </w:pPr>
      <w:rPr>
        <w:rFonts w:hint="default"/>
      </w:rPr>
    </w:lvl>
  </w:abstractNum>
  <w:abstractNum w:abstractNumId="2" w15:restartNumberingAfterBreak="0">
    <w:nsid w:val="278D7777"/>
    <w:multiLevelType w:val="hybridMultilevel"/>
    <w:tmpl w:val="F9388B5C"/>
    <w:lvl w:ilvl="0" w:tplc="3014CF86">
      <w:start w:val="1"/>
      <w:numFmt w:val="decimal"/>
      <w:lvlText w:val="%1."/>
      <w:lvlJc w:val="left"/>
      <w:pPr>
        <w:ind w:left="180" w:hanging="360"/>
      </w:pPr>
      <w:rPr>
        <w:rFonts w:eastAsiaTheme="minorEastAsia" w:hint="default"/>
        <w:color w:val="212121"/>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3AD24CC5"/>
    <w:multiLevelType w:val="hybridMultilevel"/>
    <w:tmpl w:val="E296379E"/>
    <w:lvl w:ilvl="0" w:tplc="0D90A340">
      <w:start w:val="1"/>
      <w:numFmt w:val="bullet"/>
      <w:lvlText w:val="•"/>
      <w:lvlJc w:val="left"/>
      <w:pPr>
        <w:tabs>
          <w:tab w:val="num" w:pos="720"/>
        </w:tabs>
        <w:ind w:left="720" w:hanging="360"/>
      </w:pPr>
      <w:rPr>
        <w:rFonts w:ascii="Arial" w:hAnsi="Arial" w:hint="default"/>
      </w:rPr>
    </w:lvl>
    <w:lvl w:ilvl="1" w:tplc="777C6380" w:tentative="1">
      <w:start w:val="1"/>
      <w:numFmt w:val="bullet"/>
      <w:lvlText w:val="•"/>
      <w:lvlJc w:val="left"/>
      <w:pPr>
        <w:tabs>
          <w:tab w:val="num" w:pos="1440"/>
        </w:tabs>
        <w:ind w:left="1440" w:hanging="360"/>
      </w:pPr>
      <w:rPr>
        <w:rFonts w:ascii="Arial" w:hAnsi="Arial" w:hint="default"/>
      </w:rPr>
    </w:lvl>
    <w:lvl w:ilvl="2" w:tplc="BD04BBF0" w:tentative="1">
      <w:start w:val="1"/>
      <w:numFmt w:val="bullet"/>
      <w:lvlText w:val="•"/>
      <w:lvlJc w:val="left"/>
      <w:pPr>
        <w:tabs>
          <w:tab w:val="num" w:pos="2160"/>
        </w:tabs>
        <w:ind w:left="2160" w:hanging="360"/>
      </w:pPr>
      <w:rPr>
        <w:rFonts w:ascii="Arial" w:hAnsi="Arial" w:hint="default"/>
      </w:rPr>
    </w:lvl>
    <w:lvl w:ilvl="3" w:tplc="7562B542" w:tentative="1">
      <w:start w:val="1"/>
      <w:numFmt w:val="bullet"/>
      <w:lvlText w:val="•"/>
      <w:lvlJc w:val="left"/>
      <w:pPr>
        <w:tabs>
          <w:tab w:val="num" w:pos="2880"/>
        </w:tabs>
        <w:ind w:left="2880" w:hanging="360"/>
      </w:pPr>
      <w:rPr>
        <w:rFonts w:ascii="Arial" w:hAnsi="Arial" w:hint="default"/>
      </w:rPr>
    </w:lvl>
    <w:lvl w:ilvl="4" w:tplc="1BEA2158" w:tentative="1">
      <w:start w:val="1"/>
      <w:numFmt w:val="bullet"/>
      <w:lvlText w:val="•"/>
      <w:lvlJc w:val="left"/>
      <w:pPr>
        <w:tabs>
          <w:tab w:val="num" w:pos="3600"/>
        </w:tabs>
        <w:ind w:left="3600" w:hanging="360"/>
      </w:pPr>
      <w:rPr>
        <w:rFonts w:ascii="Arial" w:hAnsi="Arial" w:hint="default"/>
      </w:rPr>
    </w:lvl>
    <w:lvl w:ilvl="5" w:tplc="7C00777A" w:tentative="1">
      <w:start w:val="1"/>
      <w:numFmt w:val="bullet"/>
      <w:lvlText w:val="•"/>
      <w:lvlJc w:val="left"/>
      <w:pPr>
        <w:tabs>
          <w:tab w:val="num" w:pos="4320"/>
        </w:tabs>
        <w:ind w:left="4320" w:hanging="360"/>
      </w:pPr>
      <w:rPr>
        <w:rFonts w:ascii="Arial" w:hAnsi="Arial" w:hint="default"/>
      </w:rPr>
    </w:lvl>
    <w:lvl w:ilvl="6" w:tplc="E0A0E510" w:tentative="1">
      <w:start w:val="1"/>
      <w:numFmt w:val="bullet"/>
      <w:lvlText w:val="•"/>
      <w:lvlJc w:val="left"/>
      <w:pPr>
        <w:tabs>
          <w:tab w:val="num" w:pos="5040"/>
        </w:tabs>
        <w:ind w:left="5040" w:hanging="360"/>
      </w:pPr>
      <w:rPr>
        <w:rFonts w:ascii="Arial" w:hAnsi="Arial" w:hint="default"/>
      </w:rPr>
    </w:lvl>
    <w:lvl w:ilvl="7" w:tplc="25E62A70" w:tentative="1">
      <w:start w:val="1"/>
      <w:numFmt w:val="bullet"/>
      <w:lvlText w:val="•"/>
      <w:lvlJc w:val="left"/>
      <w:pPr>
        <w:tabs>
          <w:tab w:val="num" w:pos="5760"/>
        </w:tabs>
        <w:ind w:left="5760" w:hanging="360"/>
      </w:pPr>
      <w:rPr>
        <w:rFonts w:ascii="Arial" w:hAnsi="Arial" w:hint="default"/>
      </w:rPr>
    </w:lvl>
    <w:lvl w:ilvl="8" w:tplc="54D85A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E5B4B42"/>
    <w:multiLevelType w:val="hybridMultilevel"/>
    <w:tmpl w:val="E52A1D7C"/>
    <w:lvl w:ilvl="0" w:tplc="A3B28AFC">
      <w:start w:val="1"/>
      <w:numFmt w:val="bullet"/>
      <w:lvlText w:val="•"/>
      <w:lvlJc w:val="left"/>
      <w:pPr>
        <w:tabs>
          <w:tab w:val="num" w:pos="720"/>
        </w:tabs>
        <w:ind w:left="720" w:hanging="360"/>
      </w:pPr>
      <w:rPr>
        <w:rFonts w:ascii="Arial" w:hAnsi="Arial" w:hint="default"/>
      </w:rPr>
    </w:lvl>
    <w:lvl w:ilvl="1" w:tplc="66F4F4EE" w:tentative="1">
      <w:start w:val="1"/>
      <w:numFmt w:val="bullet"/>
      <w:lvlText w:val="•"/>
      <w:lvlJc w:val="left"/>
      <w:pPr>
        <w:tabs>
          <w:tab w:val="num" w:pos="1440"/>
        </w:tabs>
        <w:ind w:left="1440" w:hanging="360"/>
      </w:pPr>
      <w:rPr>
        <w:rFonts w:ascii="Arial" w:hAnsi="Arial" w:hint="default"/>
      </w:rPr>
    </w:lvl>
    <w:lvl w:ilvl="2" w:tplc="0C56B53A" w:tentative="1">
      <w:start w:val="1"/>
      <w:numFmt w:val="bullet"/>
      <w:lvlText w:val="•"/>
      <w:lvlJc w:val="left"/>
      <w:pPr>
        <w:tabs>
          <w:tab w:val="num" w:pos="2160"/>
        </w:tabs>
        <w:ind w:left="2160" w:hanging="360"/>
      </w:pPr>
      <w:rPr>
        <w:rFonts w:ascii="Arial" w:hAnsi="Arial" w:hint="default"/>
      </w:rPr>
    </w:lvl>
    <w:lvl w:ilvl="3" w:tplc="232EEF1C" w:tentative="1">
      <w:start w:val="1"/>
      <w:numFmt w:val="bullet"/>
      <w:lvlText w:val="•"/>
      <w:lvlJc w:val="left"/>
      <w:pPr>
        <w:tabs>
          <w:tab w:val="num" w:pos="2880"/>
        </w:tabs>
        <w:ind w:left="2880" w:hanging="360"/>
      </w:pPr>
      <w:rPr>
        <w:rFonts w:ascii="Arial" w:hAnsi="Arial" w:hint="default"/>
      </w:rPr>
    </w:lvl>
    <w:lvl w:ilvl="4" w:tplc="C4044142" w:tentative="1">
      <w:start w:val="1"/>
      <w:numFmt w:val="bullet"/>
      <w:lvlText w:val="•"/>
      <w:lvlJc w:val="left"/>
      <w:pPr>
        <w:tabs>
          <w:tab w:val="num" w:pos="3600"/>
        </w:tabs>
        <w:ind w:left="3600" w:hanging="360"/>
      </w:pPr>
      <w:rPr>
        <w:rFonts w:ascii="Arial" w:hAnsi="Arial" w:hint="default"/>
      </w:rPr>
    </w:lvl>
    <w:lvl w:ilvl="5" w:tplc="DDB8782C" w:tentative="1">
      <w:start w:val="1"/>
      <w:numFmt w:val="bullet"/>
      <w:lvlText w:val="•"/>
      <w:lvlJc w:val="left"/>
      <w:pPr>
        <w:tabs>
          <w:tab w:val="num" w:pos="4320"/>
        </w:tabs>
        <w:ind w:left="4320" w:hanging="360"/>
      </w:pPr>
      <w:rPr>
        <w:rFonts w:ascii="Arial" w:hAnsi="Arial" w:hint="default"/>
      </w:rPr>
    </w:lvl>
    <w:lvl w:ilvl="6" w:tplc="9920E884" w:tentative="1">
      <w:start w:val="1"/>
      <w:numFmt w:val="bullet"/>
      <w:lvlText w:val="•"/>
      <w:lvlJc w:val="left"/>
      <w:pPr>
        <w:tabs>
          <w:tab w:val="num" w:pos="5040"/>
        </w:tabs>
        <w:ind w:left="5040" w:hanging="360"/>
      </w:pPr>
      <w:rPr>
        <w:rFonts w:ascii="Arial" w:hAnsi="Arial" w:hint="default"/>
      </w:rPr>
    </w:lvl>
    <w:lvl w:ilvl="7" w:tplc="C07494CE" w:tentative="1">
      <w:start w:val="1"/>
      <w:numFmt w:val="bullet"/>
      <w:lvlText w:val="•"/>
      <w:lvlJc w:val="left"/>
      <w:pPr>
        <w:tabs>
          <w:tab w:val="num" w:pos="5760"/>
        </w:tabs>
        <w:ind w:left="5760" w:hanging="360"/>
      </w:pPr>
      <w:rPr>
        <w:rFonts w:ascii="Arial" w:hAnsi="Arial" w:hint="default"/>
      </w:rPr>
    </w:lvl>
    <w:lvl w:ilvl="8" w:tplc="059803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20D4A11"/>
    <w:multiLevelType w:val="multilevel"/>
    <w:tmpl w:val="45FE82C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042A2D"/>
    <w:multiLevelType w:val="hybridMultilevel"/>
    <w:tmpl w:val="06427BC0"/>
    <w:lvl w:ilvl="0" w:tplc="2AE26C3E">
      <w:start w:val="1"/>
      <w:numFmt w:val="decimal"/>
      <w:lvlText w:val="%1)"/>
      <w:lvlJc w:val="left"/>
      <w:pPr>
        <w:ind w:left="180" w:hanging="360"/>
      </w:pPr>
      <w:rPr>
        <w:rFonts w:hint="default"/>
        <w:b w:val="0"/>
        <w:color w:val="212121"/>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15:restartNumberingAfterBreak="0">
    <w:nsid w:val="73A83FAE"/>
    <w:multiLevelType w:val="multilevel"/>
    <w:tmpl w:val="80ACCA4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A1C6367"/>
    <w:multiLevelType w:val="hybridMultilevel"/>
    <w:tmpl w:val="7BC6F0B6"/>
    <w:lvl w:ilvl="0" w:tplc="1E980208">
      <w:start w:val="1"/>
      <w:numFmt w:val="bullet"/>
      <w:lvlText w:val="•"/>
      <w:lvlJc w:val="left"/>
      <w:pPr>
        <w:tabs>
          <w:tab w:val="num" w:pos="720"/>
        </w:tabs>
        <w:ind w:left="720" w:hanging="360"/>
      </w:pPr>
      <w:rPr>
        <w:rFonts w:ascii="Arial" w:hAnsi="Arial" w:hint="default"/>
      </w:rPr>
    </w:lvl>
    <w:lvl w:ilvl="1" w:tplc="2ABE2E98" w:tentative="1">
      <w:start w:val="1"/>
      <w:numFmt w:val="bullet"/>
      <w:lvlText w:val="•"/>
      <w:lvlJc w:val="left"/>
      <w:pPr>
        <w:tabs>
          <w:tab w:val="num" w:pos="1440"/>
        </w:tabs>
        <w:ind w:left="1440" w:hanging="360"/>
      </w:pPr>
      <w:rPr>
        <w:rFonts w:ascii="Arial" w:hAnsi="Arial" w:hint="default"/>
      </w:rPr>
    </w:lvl>
    <w:lvl w:ilvl="2" w:tplc="CFAEC07A" w:tentative="1">
      <w:start w:val="1"/>
      <w:numFmt w:val="bullet"/>
      <w:lvlText w:val="•"/>
      <w:lvlJc w:val="left"/>
      <w:pPr>
        <w:tabs>
          <w:tab w:val="num" w:pos="2160"/>
        </w:tabs>
        <w:ind w:left="2160" w:hanging="360"/>
      </w:pPr>
      <w:rPr>
        <w:rFonts w:ascii="Arial" w:hAnsi="Arial" w:hint="default"/>
      </w:rPr>
    </w:lvl>
    <w:lvl w:ilvl="3" w:tplc="BD4CA38A" w:tentative="1">
      <w:start w:val="1"/>
      <w:numFmt w:val="bullet"/>
      <w:lvlText w:val="•"/>
      <w:lvlJc w:val="left"/>
      <w:pPr>
        <w:tabs>
          <w:tab w:val="num" w:pos="2880"/>
        </w:tabs>
        <w:ind w:left="2880" w:hanging="360"/>
      </w:pPr>
      <w:rPr>
        <w:rFonts w:ascii="Arial" w:hAnsi="Arial" w:hint="default"/>
      </w:rPr>
    </w:lvl>
    <w:lvl w:ilvl="4" w:tplc="5FF23CC8" w:tentative="1">
      <w:start w:val="1"/>
      <w:numFmt w:val="bullet"/>
      <w:lvlText w:val="•"/>
      <w:lvlJc w:val="left"/>
      <w:pPr>
        <w:tabs>
          <w:tab w:val="num" w:pos="3600"/>
        </w:tabs>
        <w:ind w:left="3600" w:hanging="360"/>
      </w:pPr>
      <w:rPr>
        <w:rFonts w:ascii="Arial" w:hAnsi="Arial" w:hint="default"/>
      </w:rPr>
    </w:lvl>
    <w:lvl w:ilvl="5" w:tplc="1B54D978" w:tentative="1">
      <w:start w:val="1"/>
      <w:numFmt w:val="bullet"/>
      <w:lvlText w:val="•"/>
      <w:lvlJc w:val="left"/>
      <w:pPr>
        <w:tabs>
          <w:tab w:val="num" w:pos="4320"/>
        </w:tabs>
        <w:ind w:left="4320" w:hanging="360"/>
      </w:pPr>
      <w:rPr>
        <w:rFonts w:ascii="Arial" w:hAnsi="Arial" w:hint="default"/>
      </w:rPr>
    </w:lvl>
    <w:lvl w:ilvl="6" w:tplc="86F4D65E" w:tentative="1">
      <w:start w:val="1"/>
      <w:numFmt w:val="bullet"/>
      <w:lvlText w:val="•"/>
      <w:lvlJc w:val="left"/>
      <w:pPr>
        <w:tabs>
          <w:tab w:val="num" w:pos="5040"/>
        </w:tabs>
        <w:ind w:left="5040" w:hanging="360"/>
      </w:pPr>
      <w:rPr>
        <w:rFonts w:ascii="Arial" w:hAnsi="Arial" w:hint="default"/>
      </w:rPr>
    </w:lvl>
    <w:lvl w:ilvl="7" w:tplc="8708AEF2" w:tentative="1">
      <w:start w:val="1"/>
      <w:numFmt w:val="bullet"/>
      <w:lvlText w:val="•"/>
      <w:lvlJc w:val="left"/>
      <w:pPr>
        <w:tabs>
          <w:tab w:val="num" w:pos="5760"/>
        </w:tabs>
        <w:ind w:left="5760" w:hanging="360"/>
      </w:pPr>
      <w:rPr>
        <w:rFonts w:ascii="Arial" w:hAnsi="Arial" w:hint="default"/>
      </w:rPr>
    </w:lvl>
    <w:lvl w:ilvl="8" w:tplc="14EC1F82" w:tentative="1">
      <w:start w:val="1"/>
      <w:numFmt w:val="bullet"/>
      <w:lvlText w:val="•"/>
      <w:lvlJc w:val="left"/>
      <w:pPr>
        <w:tabs>
          <w:tab w:val="num" w:pos="6480"/>
        </w:tabs>
        <w:ind w:left="6480" w:hanging="360"/>
      </w:pPr>
      <w:rPr>
        <w:rFonts w:ascii="Arial" w:hAnsi="Arial" w:hint="default"/>
      </w:rPr>
    </w:lvl>
  </w:abstractNum>
  <w:num w:numId="1" w16cid:durableId="174466967">
    <w:abstractNumId w:val="6"/>
  </w:num>
  <w:num w:numId="2" w16cid:durableId="263536971">
    <w:abstractNumId w:val="1"/>
  </w:num>
  <w:num w:numId="3" w16cid:durableId="1736194675">
    <w:abstractNumId w:val="5"/>
  </w:num>
  <w:num w:numId="4" w16cid:durableId="1078748734">
    <w:abstractNumId w:val="7"/>
  </w:num>
  <w:num w:numId="5" w16cid:durableId="367414667">
    <w:abstractNumId w:val="3"/>
  </w:num>
  <w:num w:numId="6" w16cid:durableId="65803779">
    <w:abstractNumId w:val="0"/>
  </w:num>
  <w:num w:numId="7" w16cid:durableId="11535884">
    <w:abstractNumId w:val="8"/>
  </w:num>
  <w:num w:numId="8" w16cid:durableId="1633055284">
    <w:abstractNumId w:val="4"/>
  </w:num>
  <w:num w:numId="9" w16cid:durableId="181863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evwf0f5wfedqeawttxfae6vraefd0z9x2e&quot;&gt;WaShu&lt;record-ids&gt;&lt;item&gt;89&lt;/item&gt;&lt;item&gt;90&lt;/item&gt;&lt;/record-ids&gt;&lt;/item&gt;&lt;/Libraries&gt;"/>
    <w:docVar w:name="EN.UseJSCitationFormat" w:val="False"/>
  </w:docVars>
  <w:rsids>
    <w:rsidRoot w:val="00766394"/>
    <w:rsid w:val="000017E9"/>
    <w:rsid w:val="00004863"/>
    <w:rsid w:val="00004DE4"/>
    <w:rsid w:val="000067A8"/>
    <w:rsid w:val="00010AA8"/>
    <w:rsid w:val="00012C96"/>
    <w:rsid w:val="0001481C"/>
    <w:rsid w:val="00016AF2"/>
    <w:rsid w:val="00016FF7"/>
    <w:rsid w:val="000227B7"/>
    <w:rsid w:val="00022D00"/>
    <w:rsid w:val="000252C2"/>
    <w:rsid w:val="000303D4"/>
    <w:rsid w:val="0003461A"/>
    <w:rsid w:val="000441FF"/>
    <w:rsid w:val="00046C22"/>
    <w:rsid w:val="00050C9A"/>
    <w:rsid w:val="00055918"/>
    <w:rsid w:val="000559E1"/>
    <w:rsid w:val="000568BB"/>
    <w:rsid w:val="00056B2D"/>
    <w:rsid w:val="00060339"/>
    <w:rsid w:val="000645C9"/>
    <w:rsid w:val="00066990"/>
    <w:rsid w:val="000732AB"/>
    <w:rsid w:val="0007477F"/>
    <w:rsid w:val="000760E1"/>
    <w:rsid w:val="00080210"/>
    <w:rsid w:val="0008057A"/>
    <w:rsid w:val="00081B36"/>
    <w:rsid w:val="0008357C"/>
    <w:rsid w:val="00086B9A"/>
    <w:rsid w:val="00090A13"/>
    <w:rsid w:val="00090AF1"/>
    <w:rsid w:val="00092396"/>
    <w:rsid w:val="00095C82"/>
    <w:rsid w:val="00096CC4"/>
    <w:rsid w:val="000A4F38"/>
    <w:rsid w:val="000A7A22"/>
    <w:rsid w:val="000B1604"/>
    <w:rsid w:val="000B2CE8"/>
    <w:rsid w:val="000B57E9"/>
    <w:rsid w:val="000B58EF"/>
    <w:rsid w:val="000B61D1"/>
    <w:rsid w:val="000B75C1"/>
    <w:rsid w:val="000C00DC"/>
    <w:rsid w:val="000C4727"/>
    <w:rsid w:val="000C664E"/>
    <w:rsid w:val="000C6B0D"/>
    <w:rsid w:val="000C7A5D"/>
    <w:rsid w:val="000D2BF9"/>
    <w:rsid w:val="000D5AC8"/>
    <w:rsid w:val="000D6C30"/>
    <w:rsid w:val="000D7BFE"/>
    <w:rsid w:val="000E0BAE"/>
    <w:rsid w:val="000E0BE3"/>
    <w:rsid w:val="000E169A"/>
    <w:rsid w:val="000E224B"/>
    <w:rsid w:val="000E2A4A"/>
    <w:rsid w:val="000E3113"/>
    <w:rsid w:val="000E69C0"/>
    <w:rsid w:val="000E6A04"/>
    <w:rsid w:val="000F102E"/>
    <w:rsid w:val="000F3B54"/>
    <w:rsid w:val="000F42CE"/>
    <w:rsid w:val="000F4C55"/>
    <w:rsid w:val="000F6A54"/>
    <w:rsid w:val="00101849"/>
    <w:rsid w:val="001068A5"/>
    <w:rsid w:val="00107476"/>
    <w:rsid w:val="001102B8"/>
    <w:rsid w:val="001103AA"/>
    <w:rsid w:val="0011338A"/>
    <w:rsid w:val="00113DE6"/>
    <w:rsid w:val="001164CC"/>
    <w:rsid w:val="00123CF7"/>
    <w:rsid w:val="00125809"/>
    <w:rsid w:val="001263FC"/>
    <w:rsid w:val="001276BF"/>
    <w:rsid w:val="00133B62"/>
    <w:rsid w:val="00140B7C"/>
    <w:rsid w:val="001412D4"/>
    <w:rsid w:val="00143B9D"/>
    <w:rsid w:val="00151AFC"/>
    <w:rsid w:val="00155888"/>
    <w:rsid w:val="00155A9C"/>
    <w:rsid w:val="00160802"/>
    <w:rsid w:val="00161A3D"/>
    <w:rsid w:val="00165013"/>
    <w:rsid w:val="001661DC"/>
    <w:rsid w:val="00166827"/>
    <w:rsid w:val="00166ECB"/>
    <w:rsid w:val="00174366"/>
    <w:rsid w:val="0017695A"/>
    <w:rsid w:val="0018043E"/>
    <w:rsid w:val="00180826"/>
    <w:rsid w:val="00181BED"/>
    <w:rsid w:val="00192625"/>
    <w:rsid w:val="001A1090"/>
    <w:rsid w:val="001A135F"/>
    <w:rsid w:val="001A1363"/>
    <w:rsid w:val="001A2F2E"/>
    <w:rsid w:val="001A6F2A"/>
    <w:rsid w:val="001B0C77"/>
    <w:rsid w:val="001B0E48"/>
    <w:rsid w:val="001B3E6B"/>
    <w:rsid w:val="001B5227"/>
    <w:rsid w:val="001B5F1D"/>
    <w:rsid w:val="001B7C61"/>
    <w:rsid w:val="001C7D6E"/>
    <w:rsid w:val="001D2682"/>
    <w:rsid w:val="001D6A3C"/>
    <w:rsid w:val="001E12B0"/>
    <w:rsid w:val="001E12C9"/>
    <w:rsid w:val="001E16FB"/>
    <w:rsid w:val="001E323B"/>
    <w:rsid w:val="001E3378"/>
    <w:rsid w:val="001E43AB"/>
    <w:rsid w:val="001E4D3F"/>
    <w:rsid w:val="001E7AFE"/>
    <w:rsid w:val="001F368F"/>
    <w:rsid w:val="001F3BF4"/>
    <w:rsid w:val="001F3D97"/>
    <w:rsid w:val="001F5D2B"/>
    <w:rsid w:val="00201F6A"/>
    <w:rsid w:val="00207AE1"/>
    <w:rsid w:val="00211C5F"/>
    <w:rsid w:val="00212FA5"/>
    <w:rsid w:val="00213C98"/>
    <w:rsid w:val="002142C1"/>
    <w:rsid w:val="0021431B"/>
    <w:rsid w:val="002160F5"/>
    <w:rsid w:val="002202AB"/>
    <w:rsid w:val="00221A63"/>
    <w:rsid w:val="002234C3"/>
    <w:rsid w:val="00237CF5"/>
    <w:rsid w:val="00242785"/>
    <w:rsid w:val="002442E0"/>
    <w:rsid w:val="002442E3"/>
    <w:rsid w:val="00253E27"/>
    <w:rsid w:val="00254C8C"/>
    <w:rsid w:val="00255A92"/>
    <w:rsid w:val="002563E7"/>
    <w:rsid w:val="0026265D"/>
    <w:rsid w:val="00270B47"/>
    <w:rsid w:val="00270D04"/>
    <w:rsid w:val="002710B1"/>
    <w:rsid w:val="00277341"/>
    <w:rsid w:val="00280E66"/>
    <w:rsid w:val="002823BA"/>
    <w:rsid w:val="002851C3"/>
    <w:rsid w:val="002925F2"/>
    <w:rsid w:val="00293668"/>
    <w:rsid w:val="00295909"/>
    <w:rsid w:val="00296607"/>
    <w:rsid w:val="002A49AB"/>
    <w:rsid w:val="002A4CCC"/>
    <w:rsid w:val="002A528D"/>
    <w:rsid w:val="002B02D3"/>
    <w:rsid w:val="002B03CC"/>
    <w:rsid w:val="002B2002"/>
    <w:rsid w:val="002B4182"/>
    <w:rsid w:val="002C4149"/>
    <w:rsid w:val="002D2306"/>
    <w:rsid w:val="002D33A0"/>
    <w:rsid w:val="002D5B2B"/>
    <w:rsid w:val="002E0D67"/>
    <w:rsid w:val="002E0E1B"/>
    <w:rsid w:val="002E408F"/>
    <w:rsid w:val="002E7552"/>
    <w:rsid w:val="002F2C92"/>
    <w:rsid w:val="002F3808"/>
    <w:rsid w:val="002F4FD8"/>
    <w:rsid w:val="002F57FF"/>
    <w:rsid w:val="002F5E68"/>
    <w:rsid w:val="002F6020"/>
    <w:rsid w:val="002F6C16"/>
    <w:rsid w:val="003000B1"/>
    <w:rsid w:val="00300591"/>
    <w:rsid w:val="00301467"/>
    <w:rsid w:val="00301F25"/>
    <w:rsid w:val="003024FC"/>
    <w:rsid w:val="00304791"/>
    <w:rsid w:val="00305782"/>
    <w:rsid w:val="003059ED"/>
    <w:rsid w:val="00305F21"/>
    <w:rsid w:val="00306E38"/>
    <w:rsid w:val="003115A7"/>
    <w:rsid w:val="003136CE"/>
    <w:rsid w:val="00316BBD"/>
    <w:rsid w:val="00316CF9"/>
    <w:rsid w:val="0032046D"/>
    <w:rsid w:val="00320D42"/>
    <w:rsid w:val="003258CA"/>
    <w:rsid w:val="0033041D"/>
    <w:rsid w:val="003306D0"/>
    <w:rsid w:val="003309CB"/>
    <w:rsid w:val="00330DED"/>
    <w:rsid w:val="00332E0D"/>
    <w:rsid w:val="00340F97"/>
    <w:rsid w:val="003455A7"/>
    <w:rsid w:val="0035096A"/>
    <w:rsid w:val="003535B6"/>
    <w:rsid w:val="003575FF"/>
    <w:rsid w:val="00360288"/>
    <w:rsid w:val="00360C19"/>
    <w:rsid w:val="0036340A"/>
    <w:rsid w:val="00367E04"/>
    <w:rsid w:val="00372A4F"/>
    <w:rsid w:val="00373522"/>
    <w:rsid w:val="00374B88"/>
    <w:rsid w:val="003760DC"/>
    <w:rsid w:val="00376208"/>
    <w:rsid w:val="00381626"/>
    <w:rsid w:val="00384C74"/>
    <w:rsid w:val="003865A2"/>
    <w:rsid w:val="00390A2D"/>
    <w:rsid w:val="00393015"/>
    <w:rsid w:val="00393241"/>
    <w:rsid w:val="00396899"/>
    <w:rsid w:val="003A05F3"/>
    <w:rsid w:val="003A0D8F"/>
    <w:rsid w:val="003A2A87"/>
    <w:rsid w:val="003A3FCD"/>
    <w:rsid w:val="003B32D2"/>
    <w:rsid w:val="003B5523"/>
    <w:rsid w:val="003B708A"/>
    <w:rsid w:val="003C31E9"/>
    <w:rsid w:val="003C3817"/>
    <w:rsid w:val="003C4806"/>
    <w:rsid w:val="003C7BCD"/>
    <w:rsid w:val="003D02B9"/>
    <w:rsid w:val="003D1F7C"/>
    <w:rsid w:val="003D30AB"/>
    <w:rsid w:val="003D560B"/>
    <w:rsid w:val="003E1567"/>
    <w:rsid w:val="003E3057"/>
    <w:rsid w:val="003E5AD8"/>
    <w:rsid w:val="003E6772"/>
    <w:rsid w:val="00400D52"/>
    <w:rsid w:val="004067A9"/>
    <w:rsid w:val="0041224F"/>
    <w:rsid w:val="004138F4"/>
    <w:rsid w:val="00414241"/>
    <w:rsid w:val="004147FD"/>
    <w:rsid w:val="00417B6F"/>
    <w:rsid w:val="00423A89"/>
    <w:rsid w:val="00426C71"/>
    <w:rsid w:val="00427153"/>
    <w:rsid w:val="00427FE2"/>
    <w:rsid w:val="00430450"/>
    <w:rsid w:val="0043069D"/>
    <w:rsid w:val="00437CE4"/>
    <w:rsid w:val="004430D4"/>
    <w:rsid w:val="00443A0F"/>
    <w:rsid w:val="00443C67"/>
    <w:rsid w:val="0044449E"/>
    <w:rsid w:val="004468B7"/>
    <w:rsid w:val="00450C6B"/>
    <w:rsid w:val="00450CE0"/>
    <w:rsid w:val="00451D8E"/>
    <w:rsid w:val="004541A0"/>
    <w:rsid w:val="00455F04"/>
    <w:rsid w:val="004560A3"/>
    <w:rsid w:val="00457F16"/>
    <w:rsid w:val="00461146"/>
    <w:rsid w:val="004653D3"/>
    <w:rsid w:val="004704C1"/>
    <w:rsid w:val="004714C7"/>
    <w:rsid w:val="00471C00"/>
    <w:rsid w:val="0047508F"/>
    <w:rsid w:val="0047648E"/>
    <w:rsid w:val="00480601"/>
    <w:rsid w:val="0048164A"/>
    <w:rsid w:val="004878DE"/>
    <w:rsid w:val="0049030C"/>
    <w:rsid w:val="004905A9"/>
    <w:rsid w:val="004923F9"/>
    <w:rsid w:val="00493F66"/>
    <w:rsid w:val="004A0BD5"/>
    <w:rsid w:val="004A27AF"/>
    <w:rsid w:val="004A35FC"/>
    <w:rsid w:val="004B030C"/>
    <w:rsid w:val="004B2BE5"/>
    <w:rsid w:val="004B33A2"/>
    <w:rsid w:val="004B42C2"/>
    <w:rsid w:val="004B525D"/>
    <w:rsid w:val="004B60BE"/>
    <w:rsid w:val="004C09A4"/>
    <w:rsid w:val="004C13F9"/>
    <w:rsid w:val="004C2468"/>
    <w:rsid w:val="004C561A"/>
    <w:rsid w:val="004C6F31"/>
    <w:rsid w:val="004C6FF6"/>
    <w:rsid w:val="004D09D4"/>
    <w:rsid w:val="004D09F1"/>
    <w:rsid w:val="004D1298"/>
    <w:rsid w:val="004D3464"/>
    <w:rsid w:val="004D4F1E"/>
    <w:rsid w:val="004D679C"/>
    <w:rsid w:val="004D78F3"/>
    <w:rsid w:val="004D7C2A"/>
    <w:rsid w:val="004E05B3"/>
    <w:rsid w:val="004E1D3F"/>
    <w:rsid w:val="004E686F"/>
    <w:rsid w:val="004E731A"/>
    <w:rsid w:val="004F1A9B"/>
    <w:rsid w:val="004F2208"/>
    <w:rsid w:val="004F2224"/>
    <w:rsid w:val="004F25A0"/>
    <w:rsid w:val="004F4EA2"/>
    <w:rsid w:val="004F52C8"/>
    <w:rsid w:val="004F6397"/>
    <w:rsid w:val="004F6F23"/>
    <w:rsid w:val="004F6F9B"/>
    <w:rsid w:val="004F7042"/>
    <w:rsid w:val="004F74BA"/>
    <w:rsid w:val="0050272F"/>
    <w:rsid w:val="00502DA2"/>
    <w:rsid w:val="00503909"/>
    <w:rsid w:val="005051EB"/>
    <w:rsid w:val="00510EAA"/>
    <w:rsid w:val="00511C38"/>
    <w:rsid w:val="00513128"/>
    <w:rsid w:val="00513397"/>
    <w:rsid w:val="00515E2A"/>
    <w:rsid w:val="005167F3"/>
    <w:rsid w:val="00517712"/>
    <w:rsid w:val="00521E0C"/>
    <w:rsid w:val="00521E8A"/>
    <w:rsid w:val="00522754"/>
    <w:rsid w:val="005247C9"/>
    <w:rsid w:val="00530C0D"/>
    <w:rsid w:val="00532825"/>
    <w:rsid w:val="005339A9"/>
    <w:rsid w:val="005346D5"/>
    <w:rsid w:val="005367DC"/>
    <w:rsid w:val="00536AE0"/>
    <w:rsid w:val="0054162E"/>
    <w:rsid w:val="0054468E"/>
    <w:rsid w:val="0055196C"/>
    <w:rsid w:val="00552C8E"/>
    <w:rsid w:val="00555BAF"/>
    <w:rsid w:val="00555C51"/>
    <w:rsid w:val="00557366"/>
    <w:rsid w:val="00557C40"/>
    <w:rsid w:val="0056224D"/>
    <w:rsid w:val="005636C5"/>
    <w:rsid w:val="00574C3C"/>
    <w:rsid w:val="005756CE"/>
    <w:rsid w:val="005810C9"/>
    <w:rsid w:val="0058185B"/>
    <w:rsid w:val="00581D3D"/>
    <w:rsid w:val="00583686"/>
    <w:rsid w:val="00584373"/>
    <w:rsid w:val="005900B2"/>
    <w:rsid w:val="00592222"/>
    <w:rsid w:val="0059484B"/>
    <w:rsid w:val="00596E40"/>
    <w:rsid w:val="005A1BF5"/>
    <w:rsid w:val="005A2F82"/>
    <w:rsid w:val="005A34BE"/>
    <w:rsid w:val="005A35AB"/>
    <w:rsid w:val="005A507F"/>
    <w:rsid w:val="005A6609"/>
    <w:rsid w:val="005A7C14"/>
    <w:rsid w:val="005B29C5"/>
    <w:rsid w:val="005B2FFA"/>
    <w:rsid w:val="005B555F"/>
    <w:rsid w:val="005C11BA"/>
    <w:rsid w:val="005C5580"/>
    <w:rsid w:val="005C7BAF"/>
    <w:rsid w:val="005D1F03"/>
    <w:rsid w:val="005D39EC"/>
    <w:rsid w:val="005D6B4E"/>
    <w:rsid w:val="005E189A"/>
    <w:rsid w:val="005E1DBA"/>
    <w:rsid w:val="005E2C72"/>
    <w:rsid w:val="005F2672"/>
    <w:rsid w:val="005F3493"/>
    <w:rsid w:val="005F3AC0"/>
    <w:rsid w:val="005F3F74"/>
    <w:rsid w:val="00601150"/>
    <w:rsid w:val="00601EBD"/>
    <w:rsid w:val="0060490E"/>
    <w:rsid w:val="00605F5D"/>
    <w:rsid w:val="006062EF"/>
    <w:rsid w:val="006075F4"/>
    <w:rsid w:val="00607821"/>
    <w:rsid w:val="00610D83"/>
    <w:rsid w:val="00615424"/>
    <w:rsid w:val="00621522"/>
    <w:rsid w:val="006221B8"/>
    <w:rsid w:val="00622260"/>
    <w:rsid w:val="00625A0E"/>
    <w:rsid w:val="00626F93"/>
    <w:rsid w:val="006373E4"/>
    <w:rsid w:val="00642470"/>
    <w:rsid w:val="00642759"/>
    <w:rsid w:val="006434DF"/>
    <w:rsid w:val="00643730"/>
    <w:rsid w:val="00646F52"/>
    <w:rsid w:val="00651441"/>
    <w:rsid w:val="006564E3"/>
    <w:rsid w:val="00656D60"/>
    <w:rsid w:val="00661A7C"/>
    <w:rsid w:val="00664334"/>
    <w:rsid w:val="006659DC"/>
    <w:rsid w:val="00666462"/>
    <w:rsid w:val="00666B76"/>
    <w:rsid w:val="0067053F"/>
    <w:rsid w:val="00673A53"/>
    <w:rsid w:val="0067485D"/>
    <w:rsid w:val="00674F71"/>
    <w:rsid w:val="00675B43"/>
    <w:rsid w:val="00676B4F"/>
    <w:rsid w:val="0067785A"/>
    <w:rsid w:val="0067788F"/>
    <w:rsid w:val="00680439"/>
    <w:rsid w:val="00681129"/>
    <w:rsid w:val="00681A1C"/>
    <w:rsid w:val="00682F4F"/>
    <w:rsid w:val="006830FB"/>
    <w:rsid w:val="0069027A"/>
    <w:rsid w:val="006908C5"/>
    <w:rsid w:val="00691A61"/>
    <w:rsid w:val="006A01EE"/>
    <w:rsid w:val="006A33BB"/>
    <w:rsid w:val="006A46CB"/>
    <w:rsid w:val="006A4C82"/>
    <w:rsid w:val="006A5D1A"/>
    <w:rsid w:val="006B0C98"/>
    <w:rsid w:val="006B571B"/>
    <w:rsid w:val="006C1E23"/>
    <w:rsid w:val="006C278B"/>
    <w:rsid w:val="006C338D"/>
    <w:rsid w:val="006D2CCB"/>
    <w:rsid w:val="006D6BE6"/>
    <w:rsid w:val="006D762F"/>
    <w:rsid w:val="006E03E6"/>
    <w:rsid w:val="006E2BE7"/>
    <w:rsid w:val="006E2FA1"/>
    <w:rsid w:val="006E4765"/>
    <w:rsid w:val="006E508A"/>
    <w:rsid w:val="006E5627"/>
    <w:rsid w:val="006E7E9B"/>
    <w:rsid w:val="006F148F"/>
    <w:rsid w:val="006F2797"/>
    <w:rsid w:val="006F6030"/>
    <w:rsid w:val="006F70D9"/>
    <w:rsid w:val="006F7DA4"/>
    <w:rsid w:val="007029F4"/>
    <w:rsid w:val="007031C3"/>
    <w:rsid w:val="00710478"/>
    <w:rsid w:val="007119D9"/>
    <w:rsid w:val="00712274"/>
    <w:rsid w:val="0071370E"/>
    <w:rsid w:val="007159FB"/>
    <w:rsid w:val="00720720"/>
    <w:rsid w:val="0072092B"/>
    <w:rsid w:val="00722EF1"/>
    <w:rsid w:val="0072421D"/>
    <w:rsid w:val="00724C40"/>
    <w:rsid w:val="00725922"/>
    <w:rsid w:val="00741087"/>
    <w:rsid w:val="0074208F"/>
    <w:rsid w:val="0074553C"/>
    <w:rsid w:val="00747C00"/>
    <w:rsid w:val="00751902"/>
    <w:rsid w:val="00755B46"/>
    <w:rsid w:val="0075733E"/>
    <w:rsid w:val="00761EB9"/>
    <w:rsid w:val="0076259A"/>
    <w:rsid w:val="00762FAF"/>
    <w:rsid w:val="00764302"/>
    <w:rsid w:val="00766394"/>
    <w:rsid w:val="0077583F"/>
    <w:rsid w:val="0077767C"/>
    <w:rsid w:val="007848AD"/>
    <w:rsid w:val="00785E00"/>
    <w:rsid w:val="007876CD"/>
    <w:rsid w:val="00787AD9"/>
    <w:rsid w:val="0079023A"/>
    <w:rsid w:val="0079301D"/>
    <w:rsid w:val="00794578"/>
    <w:rsid w:val="0079463C"/>
    <w:rsid w:val="00797AB4"/>
    <w:rsid w:val="007A35B8"/>
    <w:rsid w:val="007A67FF"/>
    <w:rsid w:val="007B3322"/>
    <w:rsid w:val="007B4639"/>
    <w:rsid w:val="007C0987"/>
    <w:rsid w:val="007C6EBC"/>
    <w:rsid w:val="007D3370"/>
    <w:rsid w:val="007D4785"/>
    <w:rsid w:val="007D47FF"/>
    <w:rsid w:val="007D5952"/>
    <w:rsid w:val="007E164C"/>
    <w:rsid w:val="007E226C"/>
    <w:rsid w:val="007E5DC5"/>
    <w:rsid w:val="007E7ADB"/>
    <w:rsid w:val="007F0A84"/>
    <w:rsid w:val="007F78BD"/>
    <w:rsid w:val="00800DF9"/>
    <w:rsid w:val="008038FB"/>
    <w:rsid w:val="00804E98"/>
    <w:rsid w:val="008058A8"/>
    <w:rsid w:val="00805A14"/>
    <w:rsid w:val="00805F1D"/>
    <w:rsid w:val="00806BD1"/>
    <w:rsid w:val="00811CEF"/>
    <w:rsid w:val="0081533A"/>
    <w:rsid w:val="00816521"/>
    <w:rsid w:val="00816671"/>
    <w:rsid w:val="00816DDE"/>
    <w:rsid w:val="008173C4"/>
    <w:rsid w:val="00820085"/>
    <w:rsid w:val="0082197F"/>
    <w:rsid w:val="008249AF"/>
    <w:rsid w:val="00824FDF"/>
    <w:rsid w:val="008253D4"/>
    <w:rsid w:val="0083047A"/>
    <w:rsid w:val="00831F00"/>
    <w:rsid w:val="0083554F"/>
    <w:rsid w:val="008355A3"/>
    <w:rsid w:val="00837FFC"/>
    <w:rsid w:val="00845B58"/>
    <w:rsid w:val="008473F5"/>
    <w:rsid w:val="0085124A"/>
    <w:rsid w:val="008522CD"/>
    <w:rsid w:val="00853D6C"/>
    <w:rsid w:val="00860119"/>
    <w:rsid w:val="00863CFC"/>
    <w:rsid w:val="008668EA"/>
    <w:rsid w:val="008720CC"/>
    <w:rsid w:val="0087289A"/>
    <w:rsid w:val="00873058"/>
    <w:rsid w:val="008743A7"/>
    <w:rsid w:val="00875236"/>
    <w:rsid w:val="0087675D"/>
    <w:rsid w:val="00876BCA"/>
    <w:rsid w:val="00881821"/>
    <w:rsid w:val="00881D72"/>
    <w:rsid w:val="00883C0D"/>
    <w:rsid w:val="00885C82"/>
    <w:rsid w:val="00891196"/>
    <w:rsid w:val="00896C5E"/>
    <w:rsid w:val="008A3571"/>
    <w:rsid w:val="008A58D8"/>
    <w:rsid w:val="008A6F93"/>
    <w:rsid w:val="008B33FA"/>
    <w:rsid w:val="008B457C"/>
    <w:rsid w:val="008C0907"/>
    <w:rsid w:val="008C121C"/>
    <w:rsid w:val="008C130A"/>
    <w:rsid w:val="008C3D8E"/>
    <w:rsid w:val="008C700D"/>
    <w:rsid w:val="008C7867"/>
    <w:rsid w:val="008D2570"/>
    <w:rsid w:val="008D2757"/>
    <w:rsid w:val="008D69C0"/>
    <w:rsid w:val="008E0D31"/>
    <w:rsid w:val="008E1347"/>
    <w:rsid w:val="008F2D20"/>
    <w:rsid w:val="008F47E1"/>
    <w:rsid w:val="008F4C50"/>
    <w:rsid w:val="008F4E72"/>
    <w:rsid w:val="008F740A"/>
    <w:rsid w:val="008F7961"/>
    <w:rsid w:val="008F7BC7"/>
    <w:rsid w:val="00900D42"/>
    <w:rsid w:val="009036C3"/>
    <w:rsid w:val="0090544F"/>
    <w:rsid w:val="00907FD8"/>
    <w:rsid w:val="00912132"/>
    <w:rsid w:val="00914124"/>
    <w:rsid w:val="00914AE7"/>
    <w:rsid w:val="009177B8"/>
    <w:rsid w:val="00921972"/>
    <w:rsid w:val="00922EFD"/>
    <w:rsid w:val="0092373D"/>
    <w:rsid w:val="00924A41"/>
    <w:rsid w:val="00924B29"/>
    <w:rsid w:val="00925C68"/>
    <w:rsid w:val="009271B6"/>
    <w:rsid w:val="00950F0A"/>
    <w:rsid w:val="00951650"/>
    <w:rsid w:val="0095254B"/>
    <w:rsid w:val="00954080"/>
    <w:rsid w:val="009613F5"/>
    <w:rsid w:val="0096523F"/>
    <w:rsid w:val="00965EB2"/>
    <w:rsid w:val="00966E09"/>
    <w:rsid w:val="009733FD"/>
    <w:rsid w:val="0097342B"/>
    <w:rsid w:val="00975EDB"/>
    <w:rsid w:val="00976BC6"/>
    <w:rsid w:val="00983F76"/>
    <w:rsid w:val="00986D3A"/>
    <w:rsid w:val="00997650"/>
    <w:rsid w:val="009A0E5B"/>
    <w:rsid w:val="009A43D0"/>
    <w:rsid w:val="009B018B"/>
    <w:rsid w:val="009B1694"/>
    <w:rsid w:val="009B2AF9"/>
    <w:rsid w:val="009B2B7E"/>
    <w:rsid w:val="009B3357"/>
    <w:rsid w:val="009B457A"/>
    <w:rsid w:val="009B4F04"/>
    <w:rsid w:val="009B5072"/>
    <w:rsid w:val="009C23DC"/>
    <w:rsid w:val="009C4711"/>
    <w:rsid w:val="009C4734"/>
    <w:rsid w:val="009C792B"/>
    <w:rsid w:val="009C79CB"/>
    <w:rsid w:val="009D068A"/>
    <w:rsid w:val="009D2465"/>
    <w:rsid w:val="009D3D5D"/>
    <w:rsid w:val="009D7E8B"/>
    <w:rsid w:val="009E291B"/>
    <w:rsid w:val="009E2C8B"/>
    <w:rsid w:val="009E2E65"/>
    <w:rsid w:val="009E2FA0"/>
    <w:rsid w:val="009E40CC"/>
    <w:rsid w:val="009E6814"/>
    <w:rsid w:val="009E6B5C"/>
    <w:rsid w:val="009F0DAE"/>
    <w:rsid w:val="009F0F5E"/>
    <w:rsid w:val="009F4DC4"/>
    <w:rsid w:val="00A00BED"/>
    <w:rsid w:val="00A014EF"/>
    <w:rsid w:val="00A07398"/>
    <w:rsid w:val="00A077C2"/>
    <w:rsid w:val="00A07C26"/>
    <w:rsid w:val="00A11118"/>
    <w:rsid w:val="00A135C1"/>
    <w:rsid w:val="00A14955"/>
    <w:rsid w:val="00A20A6B"/>
    <w:rsid w:val="00A21561"/>
    <w:rsid w:val="00A219CD"/>
    <w:rsid w:val="00A24AF2"/>
    <w:rsid w:val="00A25276"/>
    <w:rsid w:val="00A27123"/>
    <w:rsid w:val="00A363B0"/>
    <w:rsid w:val="00A43CB3"/>
    <w:rsid w:val="00A444CC"/>
    <w:rsid w:val="00A45290"/>
    <w:rsid w:val="00A459B8"/>
    <w:rsid w:val="00A50227"/>
    <w:rsid w:val="00A50DC8"/>
    <w:rsid w:val="00A51FE9"/>
    <w:rsid w:val="00A529DF"/>
    <w:rsid w:val="00A54970"/>
    <w:rsid w:val="00A5576B"/>
    <w:rsid w:val="00A55F82"/>
    <w:rsid w:val="00A56A03"/>
    <w:rsid w:val="00A60EE4"/>
    <w:rsid w:val="00A642A7"/>
    <w:rsid w:val="00A667F8"/>
    <w:rsid w:val="00A66B21"/>
    <w:rsid w:val="00A718BE"/>
    <w:rsid w:val="00A7218E"/>
    <w:rsid w:val="00A754E8"/>
    <w:rsid w:val="00A802AB"/>
    <w:rsid w:val="00A82647"/>
    <w:rsid w:val="00A86506"/>
    <w:rsid w:val="00A8794E"/>
    <w:rsid w:val="00A90303"/>
    <w:rsid w:val="00A93B4B"/>
    <w:rsid w:val="00A96ACB"/>
    <w:rsid w:val="00A971C0"/>
    <w:rsid w:val="00AA0EE3"/>
    <w:rsid w:val="00AA3437"/>
    <w:rsid w:val="00AA3DAB"/>
    <w:rsid w:val="00AA6D67"/>
    <w:rsid w:val="00AB0C56"/>
    <w:rsid w:val="00AB1504"/>
    <w:rsid w:val="00AB236D"/>
    <w:rsid w:val="00AB24B1"/>
    <w:rsid w:val="00AB2648"/>
    <w:rsid w:val="00AB335F"/>
    <w:rsid w:val="00AB4DE0"/>
    <w:rsid w:val="00AC02FA"/>
    <w:rsid w:val="00AC0DF7"/>
    <w:rsid w:val="00AC1176"/>
    <w:rsid w:val="00AC3AF7"/>
    <w:rsid w:val="00AC46BA"/>
    <w:rsid w:val="00AC650E"/>
    <w:rsid w:val="00AC737A"/>
    <w:rsid w:val="00AC7437"/>
    <w:rsid w:val="00AD05F1"/>
    <w:rsid w:val="00AD40BD"/>
    <w:rsid w:val="00AD67B0"/>
    <w:rsid w:val="00AD7E14"/>
    <w:rsid w:val="00AE0270"/>
    <w:rsid w:val="00AE08D8"/>
    <w:rsid w:val="00AE306B"/>
    <w:rsid w:val="00AE5ABE"/>
    <w:rsid w:val="00AE7ABC"/>
    <w:rsid w:val="00AE7E4F"/>
    <w:rsid w:val="00AF0158"/>
    <w:rsid w:val="00AF2170"/>
    <w:rsid w:val="00AF2EF2"/>
    <w:rsid w:val="00AF3477"/>
    <w:rsid w:val="00AF4921"/>
    <w:rsid w:val="00AF62C6"/>
    <w:rsid w:val="00B01A9D"/>
    <w:rsid w:val="00B02E92"/>
    <w:rsid w:val="00B05011"/>
    <w:rsid w:val="00B05064"/>
    <w:rsid w:val="00B05D18"/>
    <w:rsid w:val="00B062F8"/>
    <w:rsid w:val="00B06CFB"/>
    <w:rsid w:val="00B07A44"/>
    <w:rsid w:val="00B07EDC"/>
    <w:rsid w:val="00B106AA"/>
    <w:rsid w:val="00B12B07"/>
    <w:rsid w:val="00B12B40"/>
    <w:rsid w:val="00B13B32"/>
    <w:rsid w:val="00B15126"/>
    <w:rsid w:val="00B16052"/>
    <w:rsid w:val="00B161CE"/>
    <w:rsid w:val="00B166D1"/>
    <w:rsid w:val="00B22341"/>
    <w:rsid w:val="00B23FAC"/>
    <w:rsid w:val="00B24BA9"/>
    <w:rsid w:val="00B254D4"/>
    <w:rsid w:val="00B26178"/>
    <w:rsid w:val="00B26C12"/>
    <w:rsid w:val="00B276AD"/>
    <w:rsid w:val="00B27CA0"/>
    <w:rsid w:val="00B30CC7"/>
    <w:rsid w:val="00B32B27"/>
    <w:rsid w:val="00B34B07"/>
    <w:rsid w:val="00B3544A"/>
    <w:rsid w:val="00B407B5"/>
    <w:rsid w:val="00B40FC5"/>
    <w:rsid w:val="00B43CCA"/>
    <w:rsid w:val="00B44C10"/>
    <w:rsid w:val="00B51248"/>
    <w:rsid w:val="00B52D2F"/>
    <w:rsid w:val="00B54E9F"/>
    <w:rsid w:val="00B56107"/>
    <w:rsid w:val="00B5662D"/>
    <w:rsid w:val="00B56E6C"/>
    <w:rsid w:val="00B56EF3"/>
    <w:rsid w:val="00B571B3"/>
    <w:rsid w:val="00B62344"/>
    <w:rsid w:val="00B62F0B"/>
    <w:rsid w:val="00B6344C"/>
    <w:rsid w:val="00B638BD"/>
    <w:rsid w:val="00B66B0B"/>
    <w:rsid w:val="00B67167"/>
    <w:rsid w:val="00B708F4"/>
    <w:rsid w:val="00B71436"/>
    <w:rsid w:val="00B73923"/>
    <w:rsid w:val="00B74528"/>
    <w:rsid w:val="00B75208"/>
    <w:rsid w:val="00B8345A"/>
    <w:rsid w:val="00B83690"/>
    <w:rsid w:val="00B90029"/>
    <w:rsid w:val="00B900CB"/>
    <w:rsid w:val="00B90D80"/>
    <w:rsid w:val="00B914E6"/>
    <w:rsid w:val="00B922EF"/>
    <w:rsid w:val="00B922F5"/>
    <w:rsid w:val="00B942A2"/>
    <w:rsid w:val="00B9492F"/>
    <w:rsid w:val="00BA38BB"/>
    <w:rsid w:val="00BA6A45"/>
    <w:rsid w:val="00BA6CD8"/>
    <w:rsid w:val="00BB3196"/>
    <w:rsid w:val="00BB39D8"/>
    <w:rsid w:val="00BB3E20"/>
    <w:rsid w:val="00BB639A"/>
    <w:rsid w:val="00BC1FEA"/>
    <w:rsid w:val="00BC4D18"/>
    <w:rsid w:val="00BC56FC"/>
    <w:rsid w:val="00BC7A4C"/>
    <w:rsid w:val="00BC7CC7"/>
    <w:rsid w:val="00BD0186"/>
    <w:rsid w:val="00BD0452"/>
    <w:rsid w:val="00BD6BEC"/>
    <w:rsid w:val="00BE042B"/>
    <w:rsid w:val="00BE5328"/>
    <w:rsid w:val="00BE7061"/>
    <w:rsid w:val="00BE7B66"/>
    <w:rsid w:val="00BF63DF"/>
    <w:rsid w:val="00C00019"/>
    <w:rsid w:val="00C00D92"/>
    <w:rsid w:val="00C05CC8"/>
    <w:rsid w:val="00C12AE1"/>
    <w:rsid w:val="00C12CF5"/>
    <w:rsid w:val="00C14344"/>
    <w:rsid w:val="00C15482"/>
    <w:rsid w:val="00C17B86"/>
    <w:rsid w:val="00C209D6"/>
    <w:rsid w:val="00C22044"/>
    <w:rsid w:val="00C22B28"/>
    <w:rsid w:val="00C23A8C"/>
    <w:rsid w:val="00C26117"/>
    <w:rsid w:val="00C31F38"/>
    <w:rsid w:val="00C327B4"/>
    <w:rsid w:val="00C33A65"/>
    <w:rsid w:val="00C36ABD"/>
    <w:rsid w:val="00C36BC4"/>
    <w:rsid w:val="00C36DEF"/>
    <w:rsid w:val="00C42BBD"/>
    <w:rsid w:val="00C431C0"/>
    <w:rsid w:val="00C44A84"/>
    <w:rsid w:val="00C45587"/>
    <w:rsid w:val="00C54824"/>
    <w:rsid w:val="00C624CA"/>
    <w:rsid w:val="00C647D2"/>
    <w:rsid w:val="00C67197"/>
    <w:rsid w:val="00C67276"/>
    <w:rsid w:val="00C67556"/>
    <w:rsid w:val="00C71C71"/>
    <w:rsid w:val="00C746F6"/>
    <w:rsid w:val="00C80ED7"/>
    <w:rsid w:val="00C824FD"/>
    <w:rsid w:val="00C83350"/>
    <w:rsid w:val="00C836C2"/>
    <w:rsid w:val="00C84702"/>
    <w:rsid w:val="00C85E4E"/>
    <w:rsid w:val="00C86394"/>
    <w:rsid w:val="00C869D9"/>
    <w:rsid w:val="00C90A9F"/>
    <w:rsid w:val="00C94701"/>
    <w:rsid w:val="00C95253"/>
    <w:rsid w:val="00C95462"/>
    <w:rsid w:val="00C9752E"/>
    <w:rsid w:val="00CA0914"/>
    <w:rsid w:val="00CA0A07"/>
    <w:rsid w:val="00CA46BA"/>
    <w:rsid w:val="00CA4AD5"/>
    <w:rsid w:val="00CA5566"/>
    <w:rsid w:val="00CA5CB3"/>
    <w:rsid w:val="00CB0AD5"/>
    <w:rsid w:val="00CB3FD2"/>
    <w:rsid w:val="00CB4C27"/>
    <w:rsid w:val="00CC01D9"/>
    <w:rsid w:val="00CC1AD8"/>
    <w:rsid w:val="00CC20C7"/>
    <w:rsid w:val="00CC31E0"/>
    <w:rsid w:val="00CC53BC"/>
    <w:rsid w:val="00CD1FD0"/>
    <w:rsid w:val="00CD5766"/>
    <w:rsid w:val="00CE464D"/>
    <w:rsid w:val="00CE5136"/>
    <w:rsid w:val="00CE7DB5"/>
    <w:rsid w:val="00CF24D7"/>
    <w:rsid w:val="00CF29FF"/>
    <w:rsid w:val="00CF6AC8"/>
    <w:rsid w:val="00D01DB6"/>
    <w:rsid w:val="00D06CA3"/>
    <w:rsid w:val="00D076F8"/>
    <w:rsid w:val="00D10461"/>
    <w:rsid w:val="00D106A6"/>
    <w:rsid w:val="00D109C3"/>
    <w:rsid w:val="00D109E8"/>
    <w:rsid w:val="00D134AB"/>
    <w:rsid w:val="00D13864"/>
    <w:rsid w:val="00D142A2"/>
    <w:rsid w:val="00D15CFB"/>
    <w:rsid w:val="00D15EB7"/>
    <w:rsid w:val="00D26984"/>
    <w:rsid w:val="00D31262"/>
    <w:rsid w:val="00D31A07"/>
    <w:rsid w:val="00D33F06"/>
    <w:rsid w:val="00D354EF"/>
    <w:rsid w:val="00D36054"/>
    <w:rsid w:val="00D40158"/>
    <w:rsid w:val="00D43B98"/>
    <w:rsid w:val="00D44AAD"/>
    <w:rsid w:val="00D45E01"/>
    <w:rsid w:val="00D5111F"/>
    <w:rsid w:val="00D52658"/>
    <w:rsid w:val="00D54497"/>
    <w:rsid w:val="00D553F2"/>
    <w:rsid w:val="00D561E7"/>
    <w:rsid w:val="00D566D1"/>
    <w:rsid w:val="00D6016F"/>
    <w:rsid w:val="00D621B8"/>
    <w:rsid w:val="00D656C8"/>
    <w:rsid w:val="00D6571D"/>
    <w:rsid w:val="00D70799"/>
    <w:rsid w:val="00D72088"/>
    <w:rsid w:val="00D740D4"/>
    <w:rsid w:val="00D82E30"/>
    <w:rsid w:val="00D83D7E"/>
    <w:rsid w:val="00D8732E"/>
    <w:rsid w:val="00D907A4"/>
    <w:rsid w:val="00D91F82"/>
    <w:rsid w:val="00D931FE"/>
    <w:rsid w:val="00D9336B"/>
    <w:rsid w:val="00DA3083"/>
    <w:rsid w:val="00DA366D"/>
    <w:rsid w:val="00DA3B04"/>
    <w:rsid w:val="00DA48D5"/>
    <w:rsid w:val="00DB0F1A"/>
    <w:rsid w:val="00DB1680"/>
    <w:rsid w:val="00DB1AB2"/>
    <w:rsid w:val="00DB3D80"/>
    <w:rsid w:val="00DC11F6"/>
    <w:rsid w:val="00DC3965"/>
    <w:rsid w:val="00DC3B34"/>
    <w:rsid w:val="00DC3B5D"/>
    <w:rsid w:val="00DC6549"/>
    <w:rsid w:val="00DC6844"/>
    <w:rsid w:val="00DC7C6E"/>
    <w:rsid w:val="00DD07D5"/>
    <w:rsid w:val="00DD16A3"/>
    <w:rsid w:val="00DD2467"/>
    <w:rsid w:val="00DD3A4C"/>
    <w:rsid w:val="00DD5C49"/>
    <w:rsid w:val="00DE0FD9"/>
    <w:rsid w:val="00DE1054"/>
    <w:rsid w:val="00DE1459"/>
    <w:rsid w:val="00DE3741"/>
    <w:rsid w:val="00DE508B"/>
    <w:rsid w:val="00DE6403"/>
    <w:rsid w:val="00DE6553"/>
    <w:rsid w:val="00DE6E3B"/>
    <w:rsid w:val="00DE7D00"/>
    <w:rsid w:val="00DF3821"/>
    <w:rsid w:val="00DF6BE9"/>
    <w:rsid w:val="00E01D72"/>
    <w:rsid w:val="00E029B9"/>
    <w:rsid w:val="00E02A80"/>
    <w:rsid w:val="00E0402C"/>
    <w:rsid w:val="00E0568E"/>
    <w:rsid w:val="00E06535"/>
    <w:rsid w:val="00E07225"/>
    <w:rsid w:val="00E14232"/>
    <w:rsid w:val="00E150C2"/>
    <w:rsid w:val="00E15910"/>
    <w:rsid w:val="00E16624"/>
    <w:rsid w:val="00E17AAB"/>
    <w:rsid w:val="00E2115C"/>
    <w:rsid w:val="00E21C8D"/>
    <w:rsid w:val="00E27164"/>
    <w:rsid w:val="00E3337C"/>
    <w:rsid w:val="00E36996"/>
    <w:rsid w:val="00E41F5A"/>
    <w:rsid w:val="00E42E13"/>
    <w:rsid w:val="00E4362F"/>
    <w:rsid w:val="00E4497A"/>
    <w:rsid w:val="00E4597D"/>
    <w:rsid w:val="00E6004F"/>
    <w:rsid w:val="00E63B54"/>
    <w:rsid w:val="00E648FA"/>
    <w:rsid w:val="00E67AB5"/>
    <w:rsid w:val="00E72246"/>
    <w:rsid w:val="00E75244"/>
    <w:rsid w:val="00E823D3"/>
    <w:rsid w:val="00E83945"/>
    <w:rsid w:val="00E844FD"/>
    <w:rsid w:val="00E8733F"/>
    <w:rsid w:val="00E87908"/>
    <w:rsid w:val="00E91DB2"/>
    <w:rsid w:val="00E91F10"/>
    <w:rsid w:val="00E92263"/>
    <w:rsid w:val="00E961F7"/>
    <w:rsid w:val="00EA08DB"/>
    <w:rsid w:val="00EA0C1D"/>
    <w:rsid w:val="00EA2247"/>
    <w:rsid w:val="00EA484E"/>
    <w:rsid w:val="00EA6096"/>
    <w:rsid w:val="00EA629F"/>
    <w:rsid w:val="00EB01F6"/>
    <w:rsid w:val="00EB1C85"/>
    <w:rsid w:val="00EB2A76"/>
    <w:rsid w:val="00EC0814"/>
    <w:rsid w:val="00EC0FA4"/>
    <w:rsid w:val="00EC1F28"/>
    <w:rsid w:val="00EC2275"/>
    <w:rsid w:val="00EC3A3D"/>
    <w:rsid w:val="00EC7072"/>
    <w:rsid w:val="00ED028D"/>
    <w:rsid w:val="00ED2CCF"/>
    <w:rsid w:val="00EE0515"/>
    <w:rsid w:val="00EE21C9"/>
    <w:rsid w:val="00EE23E0"/>
    <w:rsid w:val="00EE2AC1"/>
    <w:rsid w:val="00EE5A83"/>
    <w:rsid w:val="00EF64A7"/>
    <w:rsid w:val="00F04187"/>
    <w:rsid w:val="00F06DEF"/>
    <w:rsid w:val="00F10905"/>
    <w:rsid w:val="00F123DD"/>
    <w:rsid w:val="00F14155"/>
    <w:rsid w:val="00F165FB"/>
    <w:rsid w:val="00F16A86"/>
    <w:rsid w:val="00F20D7C"/>
    <w:rsid w:val="00F227EB"/>
    <w:rsid w:val="00F237C4"/>
    <w:rsid w:val="00F244EA"/>
    <w:rsid w:val="00F2517E"/>
    <w:rsid w:val="00F27598"/>
    <w:rsid w:val="00F27AFB"/>
    <w:rsid w:val="00F33725"/>
    <w:rsid w:val="00F337AD"/>
    <w:rsid w:val="00F3590F"/>
    <w:rsid w:val="00F3599C"/>
    <w:rsid w:val="00F36402"/>
    <w:rsid w:val="00F4003F"/>
    <w:rsid w:val="00F40422"/>
    <w:rsid w:val="00F408BF"/>
    <w:rsid w:val="00F5197C"/>
    <w:rsid w:val="00F52933"/>
    <w:rsid w:val="00F53D62"/>
    <w:rsid w:val="00F546C6"/>
    <w:rsid w:val="00F54CE2"/>
    <w:rsid w:val="00F54FF4"/>
    <w:rsid w:val="00F55FA6"/>
    <w:rsid w:val="00F56891"/>
    <w:rsid w:val="00F618D0"/>
    <w:rsid w:val="00F619C0"/>
    <w:rsid w:val="00F74DF1"/>
    <w:rsid w:val="00F75356"/>
    <w:rsid w:val="00F75499"/>
    <w:rsid w:val="00F8417E"/>
    <w:rsid w:val="00F845D5"/>
    <w:rsid w:val="00F90641"/>
    <w:rsid w:val="00F9244C"/>
    <w:rsid w:val="00F92CF2"/>
    <w:rsid w:val="00F95CB7"/>
    <w:rsid w:val="00F968B1"/>
    <w:rsid w:val="00F96BA0"/>
    <w:rsid w:val="00FB1174"/>
    <w:rsid w:val="00FB1363"/>
    <w:rsid w:val="00FB6DD5"/>
    <w:rsid w:val="00FC09E7"/>
    <w:rsid w:val="00FC11F9"/>
    <w:rsid w:val="00FC4519"/>
    <w:rsid w:val="00FC493C"/>
    <w:rsid w:val="00FC7760"/>
    <w:rsid w:val="00FC7C49"/>
    <w:rsid w:val="00FD2901"/>
    <w:rsid w:val="00FD636B"/>
    <w:rsid w:val="00FE0245"/>
    <w:rsid w:val="00FE032F"/>
    <w:rsid w:val="00FE2B5D"/>
    <w:rsid w:val="00FE47EC"/>
    <w:rsid w:val="00FE7ADC"/>
    <w:rsid w:val="00FF4B22"/>
    <w:rsid w:val="00FF5605"/>
    <w:rsid w:val="00FF71FE"/>
    <w:rsid w:val="00FF7C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6EA14"/>
  <w15:chartTrackingRefBased/>
  <w15:docId w15:val="{55E73A3F-4555-6E46-BAD8-FA32C804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A7C"/>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D6C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459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6B7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F2C92"/>
    <w:rPr>
      <w:u w:val="single"/>
    </w:rPr>
  </w:style>
  <w:style w:type="paragraph" w:styleId="Footer">
    <w:name w:val="footer"/>
    <w:basedOn w:val="Normal"/>
    <w:link w:val="FooterChar"/>
    <w:uiPriority w:val="99"/>
    <w:unhideWhenUsed/>
    <w:rsid w:val="002F2C92"/>
    <w:pPr>
      <w:tabs>
        <w:tab w:val="center" w:pos="4680"/>
        <w:tab w:val="right" w:pos="9360"/>
      </w:tabs>
    </w:pPr>
    <w:rPr>
      <w:rFonts w:eastAsia="Calibri"/>
      <w:lang w:bidi="en-US"/>
    </w:rPr>
  </w:style>
  <w:style w:type="character" w:customStyle="1" w:styleId="FooterChar">
    <w:name w:val="Footer Char"/>
    <w:basedOn w:val="DefaultParagraphFont"/>
    <w:link w:val="Footer"/>
    <w:uiPriority w:val="99"/>
    <w:rsid w:val="002F2C92"/>
    <w:rPr>
      <w:rFonts w:ascii="Times New Roman" w:eastAsia="Calibri" w:hAnsi="Times New Roman" w:cs="Times New Roman"/>
      <w:kern w:val="0"/>
      <w:lang w:bidi="en-US"/>
      <w14:ligatures w14:val="none"/>
    </w:rPr>
  </w:style>
  <w:style w:type="paragraph" w:styleId="ListParagraph">
    <w:name w:val="List Paragraph"/>
    <w:basedOn w:val="Normal"/>
    <w:uiPriority w:val="34"/>
    <w:qFormat/>
    <w:rsid w:val="00643730"/>
    <w:pPr>
      <w:ind w:left="720"/>
      <w:contextualSpacing/>
    </w:pPr>
    <w:rPr>
      <w:rFonts w:asciiTheme="minorHAnsi" w:eastAsiaTheme="minorHAnsi" w:hAnsiTheme="minorHAnsi" w:cstheme="minorBidi"/>
      <w:kern w:val="2"/>
      <w14:ligatures w14:val="standardContextual"/>
    </w:rPr>
  </w:style>
  <w:style w:type="character" w:styleId="CommentReference">
    <w:name w:val="annotation reference"/>
    <w:basedOn w:val="DefaultParagraphFont"/>
    <w:uiPriority w:val="99"/>
    <w:semiHidden/>
    <w:unhideWhenUsed/>
    <w:rsid w:val="000B58EF"/>
    <w:rPr>
      <w:sz w:val="16"/>
      <w:szCs w:val="16"/>
    </w:rPr>
  </w:style>
  <w:style w:type="paragraph" w:styleId="CommentText">
    <w:name w:val="annotation text"/>
    <w:basedOn w:val="Normal"/>
    <w:link w:val="CommentTextChar"/>
    <w:uiPriority w:val="99"/>
    <w:unhideWhenUsed/>
    <w:rsid w:val="000B58EF"/>
    <w:rPr>
      <w:rFonts w:asciiTheme="minorHAnsi" w:eastAsia="Batang"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0B58EF"/>
    <w:rPr>
      <w:rFonts w:eastAsia="Batang"/>
      <w:sz w:val="20"/>
      <w:szCs w:val="20"/>
    </w:rPr>
  </w:style>
  <w:style w:type="paragraph" w:styleId="Caption">
    <w:name w:val="caption"/>
    <w:basedOn w:val="Normal"/>
    <w:next w:val="Normal"/>
    <w:uiPriority w:val="35"/>
    <w:semiHidden/>
    <w:unhideWhenUsed/>
    <w:qFormat/>
    <w:rsid w:val="000B58EF"/>
    <w:pPr>
      <w:spacing w:after="200"/>
    </w:pPr>
    <w:rPr>
      <w:rFonts w:asciiTheme="minorHAnsi" w:eastAsia="Batang" w:hAnsiTheme="minorHAnsi" w:cstheme="minorBidi"/>
      <w:i/>
      <w:iCs/>
      <w:color w:val="44546A" w:themeColor="text2"/>
      <w:kern w:val="2"/>
      <w:sz w:val="18"/>
      <w:szCs w:val="18"/>
      <w14:ligatures w14:val="standardContextual"/>
    </w:rPr>
  </w:style>
  <w:style w:type="paragraph" w:customStyle="1" w:styleId="EndNoteBibliographyTitle">
    <w:name w:val="EndNote Bibliography Title"/>
    <w:basedOn w:val="Normal"/>
    <w:link w:val="EndNoteBibliographyTitleChar"/>
    <w:rsid w:val="00B708F4"/>
    <w:pPr>
      <w:jc w:val="center"/>
    </w:pPr>
    <w:rPr>
      <w:rFonts w:ascii="Calibri" w:eastAsiaTheme="minorHAnsi" w:hAnsi="Calibri" w:cs="Calibri"/>
      <w:kern w:val="2"/>
      <w14:ligatures w14:val="standardContextual"/>
    </w:rPr>
  </w:style>
  <w:style w:type="character" w:customStyle="1" w:styleId="EndNoteBibliographyTitleChar">
    <w:name w:val="EndNote Bibliography Title Char"/>
    <w:basedOn w:val="DefaultParagraphFont"/>
    <w:link w:val="EndNoteBibliographyTitle"/>
    <w:rsid w:val="00B708F4"/>
    <w:rPr>
      <w:rFonts w:ascii="Calibri" w:eastAsiaTheme="minorHAnsi" w:hAnsi="Calibri" w:cs="Calibri"/>
    </w:rPr>
  </w:style>
  <w:style w:type="paragraph" w:customStyle="1" w:styleId="EndNoteBibliography">
    <w:name w:val="EndNote Bibliography"/>
    <w:basedOn w:val="Normal"/>
    <w:link w:val="EndNoteBibliographyChar"/>
    <w:rsid w:val="00B708F4"/>
    <w:rPr>
      <w:rFonts w:ascii="Calibri" w:eastAsiaTheme="minorHAnsi" w:hAnsi="Calibri" w:cs="Calibri"/>
      <w:kern w:val="2"/>
      <w14:ligatures w14:val="standardContextual"/>
    </w:rPr>
  </w:style>
  <w:style w:type="character" w:customStyle="1" w:styleId="EndNoteBibliographyChar">
    <w:name w:val="EndNote Bibliography Char"/>
    <w:basedOn w:val="DefaultParagraphFont"/>
    <w:link w:val="EndNoteBibliography"/>
    <w:rsid w:val="00B708F4"/>
    <w:rPr>
      <w:rFonts w:ascii="Calibri" w:eastAsiaTheme="minorHAnsi" w:hAnsi="Calibri" w:cs="Calibri"/>
    </w:rPr>
  </w:style>
  <w:style w:type="character" w:styleId="Emphasis">
    <w:name w:val="Emphasis"/>
    <w:basedOn w:val="DefaultParagraphFont"/>
    <w:uiPriority w:val="20"/>
    <w:qFormat/>
    <w:rsid w:val="00455F04"/>
    <w:rPr>
      <w:i/>
      <w:iCs/>
    </w:rPr>
  </w:style>
  <w:style w:type="paragraph" w:customStyle="1" w:styleId="p">
    <w:name w:val="p"/>
    <w:basedOn w:val="Normal"/>
    <w:rsid w:val="00876BCA"/>
    <w:pPr>
      <w:spacing w:before="100" w:beforeAutospacing="1" w:after="100" w:afterAutospacing="1"/>
    </w:pPr>
  </w:style>
  <w:style w:type="character" w:customStyle="1" w:styleId="figpopup-sensitive-area">
    <w:name w:val="figpopup-sensitive-area"/>
    <w:basedOn w:val="DefaultParagraphFont"/>
    <w:rsid w:val="00876BCA"/>
  </w:style>
  <w:style w:type="character" w:customStyle="1" w:styleId="Heading3Char">
    <w:name w:val="Heading 3 Char"/>
    <w:basedOn w:val="DefaultParagraphFont"/>
    <w:link w:val="Heading3"/>
    <w:uiPriority w:val="9"/>
    <w:rsid w:val="00666B76"/>
    <w:rPr>
      <w:rFonts w:ascii="Times New Roman" w:eastAsia="Times New Roman" w:hAnsi="Times New Roman" w:cs="Times New Roman"/>
      <w:b/>
      <w:bCs/>
      <w:kern w:val="0"/>
      <w:sz w:val="27"/>
      <w:szCs w:val="27"/>
      <w14:ligatures w14:val="none"/>
    </w:rPr>
  </w:style>
  <w:style w:type="paragraph" w:customStyle="1" w:styleId="elementtoproof">
    <w:name w:val="elementtoproof"/>
    <w:basedOn w:val="Normal"/>
    <w:rsid w:val="00B638BD"/>
    <w:rPr>
      <w:rFonts w:ascii="Aptos" w:eastAsiaTheme="minorHAnsi" w:hAnsi="Aptos" w:cs="Calibri"/>
    </w:rPr>
  </w:style>
  <w:style w:type="character" w:customStyle="1" w:styleId="apple-converted-space">
    <w:name w:val="apple-converted-space"/>
    <w:basedOn w:val="DefaultParagraphFont"/>
    <w:rsid w:val="002F5E68"/>
  </w:style>
  <w:style w:type="paragraph" w:styleId="NormalWeb">
    <w:name w:val="Normal (Web)"/>
    <w:basedOn w:val="Normal"/>
    <w:uiPriority w:val="99"/>
    <w:semiHidden/>
    <w:unhideWhenUsed/>
    <w:rsid w:val="00676B4F"/>
    <w:pPr>
      <w:spacing w:before="100" w:beforeAutospacing="1" w:after="100" w:afterAutospacing="1"/>
    </w:pPr>
  </w:style>
  <w:style w:type="paragraph" w:styleId="Revision">
    <w:name w:val="Revision"/>
    <w:hidden/>
    <w:uiPriority w:val="99"/>
    <w:semiHidden/>
    <w:rsid w:val="00712274"/>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B26C12"/>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B26C12"/>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F90641"/>
    <w:rPr>
      <w:color w:val="605E5C"/>
      <w:shd w:val="clear" w:color="auto" w:fill="E1DFDD"/>
    </w:rPr>
  </w:style>
  <w:style w:type="character" w:customStyle="1" w:styleId="Heading1Char">
    <w:name w:val="Heading 1 Char"/>
    <w:basedOn w:val="DefaultParagraphFont"/>
    <w:link w:val="Heading1"/>
    <w:uiPriority w:val="9"/>
    <w:rsid w:val="000D6C30"/>
    <w:rPr>
      <w:rFonts w:asciiTheme="majorHAnsi" w:eastAsiaTheme="majorEastAsia" w:hAnsiTheme="majorHAnsi" w:cstheme="majorBidi"/>
      <w:color w:val="2F5496" w:themeColor="accent1" w:themeShade="BF"/>
      <w:kern w:val="0"/>
      <w:sz w:val="32"/>
      <w:szCs w:val="32"/>
      <w14:ligatures w14:val="none"/>
    </w:rPr>
  </w:style>
  <w:style w:type="character" w:customStyle="1" w:styleId="title-text">
    <w:name w:val="title-text"/>
    <w:basedOn w:val="DefaultParagraphFont"/>
    <w:rsid w:val="000D6C30"/>
  </w:style>
  <w:style w:type="character" w:styleId="Strong">
    <w:name w:val="Strong"/>
    <w:basedOn w:val="DefaultParagraphFont"/>
    <w:uiPriority w:val="22"/>
    <w:qFormat/>
    <w:rsid w:val="00F8417E"/>
    <w:rPr>
      <w:b/>
      <w:bCs/>
    </w:rPr>
  </w:style>
  <w:style w:type="paragraph" w:styleId="Header">
    <w:name w:val="header"/>
    <w:basedOn w:val="Normal"/>
    <w:link w:val="HeaderChar"/>
    <w:uiPriority w:val="99"/>
    <w:unhideWhenUsed/>
    <w:rsid w:val="00D52658"/>
    <w:pPr>
      <w:tabs>
        <w:tab w:val="center" w:pos="4680"/>
        <w:tab w:val="right" w:pos="9360"/>
      </w:tabs>
    </w:pPr>
  </w:style>
  <w:style w:type="character" w:customStyle="1" w:styleId="HeaderChar">
    <w:name w:val="Header Char"/>
    <w:basedOn w:val="DefaultParagraphFont"/>
    <w:link w:val="Header"/>
    <w:uiPriority w:val="99"/>
    <w:rsid w:val="00D52658"/>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4C561A"/>
  </w:style>
  <w:style w:type="character" w:customStyle="1" w:styleId="Heading2Char">
    <w:name w:val="Heading 2 Char"/>
    <w:basedOn w:val="DefaultParagraphFont"/>
    <w:link w:val="Heading2"/>
    <w:uiPriority w:val="9"/>
    <w:semiHidden/>
    <w:rsid w:val="00A459B8"/>
    <w:rPr>
      <w:rFonts w:asciiTheme="majorHAnsi" w:eastAsiaTheme="majorEastAsia" w:hAnsiTheme="majorHAnsi" w:cstheme="majorBidi"/>
      <w:color w:val="2F5496" w:themeColor="accent1" w:themeShade="BF"/>
      <w:kern w:val="0"/>
      <w:sz w:val="26"/>
      <w:szCs w:val="26"/>
      <w14:ligatures w14:val="none"/>
    </w:rPr>
  </w:style>
  <w:style w:type="character" w:styleId="FollowedHyperlink">
    <w:name w:val="FollowedHyperlink"/>
    <w:basedOn w:val="DefaultParagraphFont"/>
    <w:uiPriority w:val="99"/>
    <w:semiHidden/>
    <w:unhideWhenUsed/>
    <w:rsid w:val="005922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653">
      <w:bodyDiv w:val="1"/>
      <w:marLeft w:val="0"/>
      <w:marRight w:val="0"/>
      <w:marTop w:val="0"/>
      <w:marBottom w:val="0"/>
      <w:divBdr>
        <w:top w:val="none" w:sz="0" w:space="0" w:color="auto"/>
        <w:left w:val="none" w:sz="0" w:space="0" w:color="auto"/>
        <w:bottom w:val="none" w:sz="0" w:space="0" w:color="auto"/>
        <w:right w:val="none" w:sz="0" w:space="0" w:color="auto"/>
      </w:divBdr>
    </w:div>
    <w:div w:id="17312911">
      <w:bodyDiv w:val="1"/>
      <w:marLeft w:val="0"/>
      <w:marRight w:val="0"/>
      <w:marTop w:val="0"/>
      <w:marBottom w:val="0"/>
      <w:divBdr>
        <w:top w:val="none" w:sz="0" w:space="0" w:color="auto"/>
        <w:left w:val="none" w:sz="0" w:space="0" w:color="auto"/>
        <w:bottom w:val="none" w:sz="0" w:space="0" w:color="auto"/>
        <w:right w:val="none" w:sz="0" w:space="0" w:color="auto"/>
      </w:divBdr>
    </w:div>
    <w:div w:id="83772216">
      <w:bodyDiv w:val="1"/>
      <w:marLeft w:val="0"/>
      <w:marRight w:val="0"/>
      <w:marTop w:val="0"/>
      <w:marBottom w:val="0"/>
      <w:divBdr>
        <w:top w:val="none" w:sz="0" w:space="0" w:color="auto"/>
        <w:left w:val="none" w:sz="0" w:space="0" w:color="auto"/>
        <w:bottom w:val="none" w:sz="0" w:space="0" w:color="auto"/>
        <w:right w:val="none" w:sz="0" w:space="0" w:color="auto"/>
      </w:divBdr>
    </w:div>
    <w:div w:id="149911176">
      <w:bodyDiv w:val="1"/>
      <w:marLeft w:val="0"/>
      <w:marRight w:val="0"/>
      <w:marTop w:val="0"/>
      <w:marBottom w:val="0"/>
      <w:divBdr>
        <w:top w:val="none" w:sz="0" w:space="0" w:color="auto"/>
        <w:left w:val="none" w:sz="0" w:space="0" w:color="auto"/>
        <w:bottom w:val="none" w:sz="0" w:space="0" w:color="auto"/>
        <w:right w:val="none" w:sz="0" w:space="0" w:color="auto"/>
      </w:divBdr>
    </w:div>
    <w:div w:id="150634315">
      <w:bodyDiv w:val="1"/>
      <w:marLeft w:val="0"/>
      <w:marRight w:val="0"/>
      <w:marTop w:val="0"/>
      <w:marBottom w:val="0"/>
      <w:divBdr>
        <w:top w:val="none" w:sz="0" w:space="0" w:color="auto"/>
        <w:left w:val="none" w:sz="0" w:space="0" w:color="auto"/>
        <w:bottom w:val="none" w:sz="0" w:space="0" w:color="auto"/>
        <w:right w:val="none" w:sz="0" w:space="0" w:color="auto"/>
      </w:divBdr>
      <w:divsChild>
        <w:div w:id="233853264">
          <w:marLeft w:val="0"/>
          <w:marRight w:val="0"/>
          <w:marTop w:val="400"/>
          <w:marBottom w:val="400"/>
          <w:divBdr>
            <w:top w:val="single" w:sz="6" w:space="20" w:color="EAC3AF"/>
            <w:left w:val="single" w:sz="6" w:space="20" w:color="EAC3AF"/>
            <w:bottom w:val="single" w:sz="6" w:space="20" w:color="EAC3AF"/>
            <w:right w:val="single" w:sz="6" w:space="20" w:color="EAC3AF"/>
          </w:divBdr>
        </w:div>
      </w:divsChild>
    </w:div>
    <w:div w:id="158081588">
      <w:bodyDiv w:val="1"/>
      <w:marLeft w:val="0"/>
      <w:marRight w:val="0"/>
      <w:marTop w:val="0"/>
      <w:marBottom w:val="0"/>
      <w:divBdr>
        <w:top w:val="none" w:sz="0" w:space="0" w:color="auto"/>
        <w:left w:val="none" w:sz="0" w:space="0" w:color="auto"/>
        <w:bottom w:val="none" w:sz="0" w:space="0" w:color="auto"/>
        <w:right w:val="none" w:sz="0" w:space="0" w:color="auto"/>
      </w:divBdr>
      <w:divsChild>
        <w:div w:id="1462730114">
          <w:marLeft w:val="0"/>
          <w:marRight w:val="0"/>
          <w:marTop w:val="400"/>
          <w:marBottom w:val="400"/>
          <w:divBdr>
            <w:top w:val="none" w:sz="0" w:space="0" w:color="auto"/>
            <w:left w:val="none" w:sz="0" w:space="0" w:color="auto"/>
            <w:bottom w:val="none" w:sz="0" w:space="0" w:color="auto"/>
            <w:right w:val="none" w:sz="0" w:space="0" w:color="auto"/>
          </w:divBdr>
        </w:div>
        <w:div w:id="537469164">
          <w:marLeft w:val="0"/>
          <w:marRight w:val="0"/>
          <w:marTop w:val="400"/>
          <w:marBottom w:val="400"/>
          <w:divBdr>
            <w:top w:val="none" w:sz="0" w:space="0" w:color="auto"/>
            <w:left w:val="none" w:sz="0" w:space="0" w:color="auto"/>
            <w:bottom w:val="none" w:sz="0" w:space="0" w:color="auto"/>
            <w:right w:val="none" w:sz="0" w:space="0" w:color="auto"/>
          </w:divBdr>
        </w:div>
      </w:divsChild>
    </w:div>
    <w:div w:id="196281502">
      <w:bodyDiv w:val="1"/>
      <w:marLeft w:val="0"/>
      <w:marRight w:val="0"/>
      <w:marTop w:val="0"/>
      <w:marBottom w:val="0"/>
      <w:divBdr>
        <w:top w:val="none" w:sz="0" w:space="0" w:color="auto"/>
        <w:left w:val="none" w:sz="0" w:space="0" w:color="auto"/>
        <w:bottom w:val="none" w:sz="0" w:space="0" w:color="auto"/>
        <w:right w:val="none" w:sz="0" w:space="0" w:color="auto"/>
      </w:divBdr>
    </w:div>
    <w:div w:id="282228836">
      <w:bodyDiv w:val="1"/>
      <w:marLeft w:val="0"/>
      <w:marRight w:val="0"/>
      <w:marTop w:val="0"/>
      <w:marBottom w:val="0"/>
      <w:divBdr>
        <w:top w:val="none" w:sz="0" w:space="0" w:color="auto"/>
        <w:left w:val="none" w:sz="0" w:space="0" w:color="auto"/>
        <w:bottom w:val="none" w:sz="0" w:space="0" w:color="auto"/>
        <w:right w:val="none" w:sz="0" w:space="0" w:color="auto"/>
      </w:divBdr>
    </w:div>
    <w:div w:id="305937241">
      <w:bodyDiv w:val="1"/>
      <w:marLeft w:val="0"/>
      <w:marRight w:val="0"/>
      <w:marTop w:val="0"/>
      <w:marBottom w:val="0"/>
      <w:divBdr>
        <w:top w:val="none" w:sz="0" w:space="0" w:color="auto"/>
        <w:left w:val="none" w:sz="0" w:space="0" w:color="auto"/>
        <w:bottom w:val="none" w:sz="0" w:space="0" w:color="auto"/>
        <w:right w:val="none" w:sz="0" w:space="0" w:color="auto"/>
      </w:divBdr>
    </w:div>
    <w:div w:id="331372719">
      <w:bodyDiv w:val="1"/>
      <w:marLeft w:val="0"/>
      <w:marRight w:val="0"/>
      <w:marTop w:val="0"/>
      <w:marBottom w:val="0"/>
      <w:divBdr>
        <w:top w:val="none" w:sz="0" w:space="0" w:color="auto"/>
        <w:left w:val="none" w:sz="0" w:space="0" w:color="auto"/>
        <w:bottom w:val="none" w:sz="0" w:space="0" w:color="auto"/>
        <w:right w:val="none" w:sz="0" w:space="0" w:color="auto"/>
      </w:divBdr>
      <w:divsChild>
        <w:div w:id="914512175">
          <w:marLeft w:val="0"/>
          <w:marRight w:val="0"/>
          <w:marTop w:val="0"/>
          <w:marBottom w:val="0"/>
          <w:divBdr>
            <w:top w:val="none" w:sz="0" w:space="0" w:color="auto"/>
            <w:left w:val="none" w:sz="0" w:space="0" w:color="auto"/>
            <w:bottom w:val="none" w:sz="0" w:space="0" w:color="auto"/>
            <w:right w:val="none" w:sz="0" w:space="0" w:color="auto"/>
          </w:divBdr>
          <w:divsChild>
            <w:div w:id="864948040">
              <w:marLeft w:val="0"/>
              <w:marRight w:val="0"/>
              <w:marTop w:val="120"/>
              <w:marBottom w:val="0"/>
              <w:divBdr>
                <w:top w:val="none" w:sz="0" w:space="0" w:color="auto"/>
                <w:left w:val="none" w:sz="0" w:space="0" w:color="auto"/>
                <w:bottom w:val="none" w:sz="0" w:space="0" w:color="auto"/>
                <w:right w:val="none" w:sz="0" w:space="0" w:color="auto"/>
              </w:divBdr>
            </w:div>
          </w:divsChild>
        </w:div>
        <w:div w:id="2058581724">
          <w:marLeft w:val="0"/>
          <w:marRight w:val="0"/>
          <w:marTop w:val="0"/>
          <w:marBottom w:val="0"/>
          <w:divBdr>
            <w:top w:val="none" w:sz="0" w:space="0" w:color="auto"/>
            <w:left w:val="none" w:sz="0" w:space="0" w:color="auto"/>
            <w:bottom w:val="none" w:sz="0" w:space="0" w:color="auto"/>
            <w:right w:val="none" w:sz="0" w:space="0" w:color="auto"/>
          </w:divBdr>
        </w:div>
      </w:divsChild>
    </w:div>
    <w:div w:id="354843736">
      <w:bodyDiv w:val="1"/>
      <w:marLeft w:val="0"/>
      <w:marRight w:val="0"/>
      <w:marTop w:val="0"/>
      <w:marBottom w:val="0"/>
      <w:divBdr>
        <w:top w:val="none" w:sz="0" w:space="0" w:color="auto"/>
        <w:left w:val="none" w:sz="0" w:space="0" w:color="auto"/>
        <w:bottom w:val="none" w:sz="0" w:space="0" w:color="auto"/>
        <w:right w:val="none" w:sz="0" w:space="0" w:color="auto"/>
      </w:divBdr>
    </w:div>
    <w:div w:id="358624253">
      <w:bodyDiv w:val="1"/>
      <w:marLeft w:val="0"/>
      <w:marRight w:val="0"/>
      <w:marTop w:val="0"/>
      <w:marBottom w:val="0"/>
      <w:divBdr>
        <w:top w:val="none" w:sz="0" w:space="0" w:color="auto"/>
        <w:left w:val="none" w:sz="0" w:space="0" w:color="auto"/>
        <w:bottom w:val="none" w:sz="0" w:space="0" w:color="auto"/>
        <w:right w:val="none" w:sz="0" w:space="0" w:color="auto"/>
      </w:divBdr>
    </w:div>
    <w:div w:id="412581706">
      <w:bodyDiv w:val="1"/>
      <w:marLeft w:val="0"/>
      <w:marRight w:val="0"/>
      <w:marTop w:val="0"/>
      <w:marBottom w:val="0"/>
      <w:divBdr>
        <w:top w:val="none" w:sz="0" w:space="0" w:color="auto"/>
        <w:left w:val="none" w:sz="0" w:space="0" w:color="auto"/>
        <w:bottom w:val="none" w:sz="0" w:space="0" w:color="auto"/>
        <w:right w:val="none" w:sz="0" w:space="0" w:color="auto"/>
      </w:divBdr>
    </w:div>
    <w:div w:id="451369133">
      <w:bodyDiv w:val="1"/>
      <w:marLeft w:val="0"/>
      <w:marRight w:val="0"/>
      <w:marTop w:val="0"/>
      <w:marBottom w:val="0"/>
      <w:divBdr>
        <w:top w:val="none" w:sz="0" w:space="0" w:color="auto"/>
        <w:left w:val="none" w:sz="0" w:space="0" w:color="auto"/>
        <w:bottom w:val="none" w:sz="0" w:space="0" w:color="auto"/>
        <w:right w:val="none" w:sz="0" w:space="0" w:color="auto"/>
      </w:divBdr>
    </w:div>
    <w:div w:id="482627428">
      <w:bodyDiv w:val="1"/>
      <w:marLeft w:val="0"/>
      <w:marRight w:val="0"/>
      <w:marTop w:val="0"/>
      <w:marBottom w:val="0"/>
      <w:divBdr>
        <w:top w:val="none" w:sz="0" w:space="0" w:color="auto"/>
        <w:left w:val="none" w:sz="0" w:space="0" w:color="auto"/>
        <w:bottom w:val="none" w:sz="0" w:space="0" w:color="auto"/>
        <w:right w:val="none" w:sz="0" w:space="0" w:color="auto"/>
      </w:divBdr>
    </w:div>
    <w:div w:id="492183603">
      <w:bodyDiv w:val="1"/>
      <w:marLeft w:val="0"/>
      <w:marRight w:val="0"/>
      <w:marTop w:val="0"/>
      <w:marBottom w:val="0"/>
      <w:divBdr>
        <w:top w:val="none" w:sz="0" w:space="0" w:color="auto"/>
        <w:left w:val="none" w:sz="0" w:space="0" w:color="auto"/>
        <w:bottom w:val="none" w:sz="0" w:space="0" w:color="auto"/>
        <w:right w:val="none" w:sz="0" w:space="0" w:color="auto"/>
      </w:divBdr>
    </w:div>
    <w:div w:id="518199491">
      <w:bodyDiv w:val="1"/>
      <w:marLeft w:val="0"/>
      <w:marRight w:val="0"/>
      <w:marTop w:val="0"/>
      <w:marBottom w:val="0"/>
      <w:divBdr>
        <w:top w:val="none" w:sz="0" w:space="0" w:color="auto"/>
        <w:left w:val="none" w:sz="0" w:space="0" w:color="auto"/>
        <w:bottom w:val="none" w:sz="0" w:space="0" w:color="auto"/>
        <w:right w:val="none" w:sz="0" w:space="0" w:color="auto"/>
      </w:divBdr>
    </w:div>
    <w:div w:id="553124679">
      <w:bodyDiv w:val="1"/>
      <w:marLeft w:val="0"/>
      <w:marRight w:val="0"/>
      <w:marTop w:val="0"/>
      <w:marBottom w:val="0"/>
      <w:divBdr>
        <w:top w:val="none" w:sz="0" w:space="0" w:color="auto"/>
        <w:left w:val="none" w:sz="0" w:space="0" w:color="auto"/>
        <w:bottom w:val="none" w:sz="0" w:space="0" w:color="auto"/>
        <w:right w:val="none" w:sz="0" w:space="0" w:color="auto"/>
      </w:divBdr>
    </w:div>
    <w:div w:id="650983639">
      <w:bodyDiv w:val="1"/>
      <w:marLeft w:val="0"/>
      <w:marRight w:val="0"/>
      <w:marTop w:val="0"/>
      <w:marBottom w:val="0"/>
      <w:divBdr>
        <w:top w:val="none" w:sz="0" w:space="0" w:color="auto"/>
        <w:left w:val="none" w:sz="0" w:space="0" w:color="auto"/>
        <w:bottom w:val="none" w:sz="0" w:space="0" w:color="auto"/>
        <w:right w:val="none" w:sz="0" w:space="0" w:color="auto"/>
      </w:divBdr>
    </w:div>
    <w:div w:id="670987849">
      <w:bodyDiv w:val="1"/>
      <w:marLeft w:val="0"/>
      <w:marRight w:val="0"/>
      <w:marTop w:val="0"/>
      <w:marBottom w:val="0"/>
      <w:divBdr>
        <w:top w:val="none" w:sz="0" w:space="0" w:color="auto"/>
        <w:left w:val="none" w:sz="0" w:space="0" w:color="auto"/>
        <w:bottom w:val="none" w:sz="0" w:space="0" w:color="auto"/>
        <w:right w:val="none" w:sz="0" w:space="0" w:color="auto"/>
      </w:divBdr>
    </w:div>
    <w:div w:id="680133253">
      <w:bodyDiv w:val="1"/>
      <w:marLeft w:val="0"/>
      <w:marRight w:val="0"/>
      <w:marTop w:val="0"/>
      <w:marBottom w:val="0"/>
      <w:divBdr>
        <w:top w:val="none" w:sz="0" w:space="0" w:color="auto"/>
        <w:left w:val="none" w:sz="0" w:space="0" w:color="auto"/>
        <w:bottom w:val="none" w:sz="0" w:space="0" w:color="auto"/>
        <w:right w:val="none" w:sz="0" w:space="0" w:color="auto"/>
      </w:divBdr>
    </w:div>
    <w:div w:id="747580479">
      <w:bodyDiv w:val="1"/>
      <w:marLeft w:val="0"/>
      <w:marRight w:val="0"/>
      <w:marTop w:val="0"/>
      <w:marBottom w:val="0"/>
      <w:divBdr>
        <w:top w:val="none" w:sz="0" w:space="0" w:color="auto"/>
        <w:left w:val="none" w:sz="0" w:space="0" w:color="auto"/>
        <w:bottom w:val="none" w:sz="0" w:space="0" w:color="auto"/>
        <w:right w:val="none" w:sz="0" w:space="0" w:color="auto"/>
      </w:divBdr>
    </w:div>
    <w:div w:id="875042648">
      <w:bodyDiv w:val="1"/>
      <w:marLeft w:val="0"/>
      <w:marRight w:val="0"/>
      <w:marTop w:val="0"/>
      <w:marBottom w:val="0"/>
      <w:divBdr>
        <w:top w:val="none" w:sz="0" w:space="0" w:color="auto"/>
        <w:left w:val="none" w:sz="0" w:space="0" w:color="auto"/>
        <w:bottom w:val="none" w:sz="0" w:space="0" w:color="auto"/>
        <w:right w:val="none" w:sz="0" w:space="0" w:color="auto"/>
      </w:divBdr>
    </w:div>
    <w:div w:id="936789880">
      <w:bodyDiv w:val="1"/>
      <w:marLeft w:val="0"/>
      <w:marRight w:val="0"/>
      <w:marTop w:val="0"/>
      <w:marBottom w:val="0"/>
      <w:divBdr>
        <w:top w:val="none" w:sz="0" w:space="0" w:color="auto"/>
        <w:left w:val="none" w:sz="0" w:space="0" w:color="auto"/>
        <w:bottom w:val="none" w:sz="0" w:space="0" w:color="auto"/>
        <w:right w:val="none" w:sz="0" w:space="0" w:color="auto"/>
      </w:divBdr>
      <w:divsChild>
        <w:div w:id="1857310640">
          <w:marLeft w:val="0"/>
          <w:marRight w:val="0"/>
          <w:marTop w:val="600"/>
          <w:marBottom w:val="45"/>
          <w:divBdr>
            <w:top w:val="none" w:sz="0" w:space="0" w:color="auto"/>
            <w:left w:val="none" w:sz="0" w:space="0" w:color="auto"/>
            <w:bottom w:val="none" w:sz="0" w:space="0" w:color="auto"/>
            <w:right w:val="none" w:sz="0" w:space="0" w:color="auto"/>
          </w:divBdr>
        </w:div>
      </w:divsChild>
    </w:div>
    <w:div w:id="978459373">
      <w:bodyDiv w:val="1"/>
      <w:marLeft w:val="0"/>
      <w:marRight w:val="0"/>
      <w:marTop w:val="0"/>
      <w:marBottom w:val="0"/>
      <w:divBdr>
        <w:top w:val="none" w:sz="0" w:space="0" w:color="auto"/>
        <w:left w:val="none" w:sz="0" w:space="0" w:color="auto"/>
        <w:bottom w:val="none" w:sz="0" w:space="0" w:color="auto"/>
        <w:right w:val="none" w:sz="0" w:space="0" w:color="auto"/>
      </w:divBdr>
      <w:divsChild>
        <w:div w:id="1386755050">
          <w:marLeft w:val="360"/>
          <w:marRight w:val="0"/>
          <w:marTop w:val="200"/>
          <w:marBottom w:val="0"/>
          <w:divBdr>
            <w:top w:val="none" w:sz="0" w:space="0" w:color="auto"/>
            <w:left w:val="none" w:sz="0" w:space="0" w:color="auto"/>
            <w:bottom w:val="none" w:sz="0" w:space="0" w:color="auto"/>
            <w:right w:val="none" w:sz="0" w:space="0" w:color="auto"/>
          </w:divBdr>
        </w:div>
      </w:divsChild>
    </w:div>
    <w:div w:id="1047804760">
      <w:bodyDiv w:val="1"/>
      <w:marLeft w:val="0"/>
      <w:marRight w:val="0"/>
      <w:marTop w:val="0"/>
      <w:marBottom w:val="0"/>
      <w:divBdr>
        <w:top w:val="none" w:sz="0" w:space="0" w:color="auto"/>
        <w:left w:val="none" w:sz="0" w:space="0" w:color="auto"/>
        <w:bottom w:val="none" w:sz="0" w:space="0" w:color="auto"/>
        <w:right w:val="none" w:sz="0" w:space="0" w:color="auto"/>
      </w:divBdr>
    </w:div>
    <w:div w:id="1058939553">
      <w:bodyDiv w:val="1"/>
      <w:marLeft w:val="0"/>
      <w:marRight w:val="0"/>
      <w:marTop w:val="0"/>
      <w:marBottom w:val="0"/>
      <w:divBdr>
        <w:top w:val="none" w:sz="0" w:space="0" w:color="auto"/>
        <w:left w:val="none" w:sz="0" w:space="0" w:color="auto"/>
        <w:bottom w:val="none" w:sz="0" w:space="0" w:color="auto"/>
        <w:right w:val="none" w:sz="0" w:space="0" w:color="auto"/>
      </w:divBdr>
    </w:div>
    <w:div w:id="1077676353">
      <w:bodyDiv w:val="1"/>
      <w:marLeft w:val="0"/>
      <w:marRight w:val="0"/>
      <w:marTop w:val="0"/>
      <w:marBottom w:val="0"/>
      <w:divBdr>
        <w:top w:val="none" w:sz="0" w:space="0" w:color="auto"/>
        <w:left w:val="none" w:sz="0" w:space="0" w:color="auto"/>
        <w:bottom w:val="none" w:sz="0" w:space="0" w:color="auto"/>
        <w:right w:val="none" w:sz="0" w:space="0" w:color="auto"/>
      </w:divBdr>
      <w:divsChild>
        <w:div w:id="600113754">
          <w:marLeft w:val="360"/>
          <w:marRight w:val="0"/>
          <w:marTop w:val="200"/>
          <w:marBottom w:val="0"/>
          <w:divBdr>
            <w:top w:val="none" w:sz="0" w:space="0" w:color="auto"/>
            <w:left w:val="none" w:sz="0" w:space="0" w:color="auto"/>
            <w:bottom w:val="none" w:sz="0" w:space="0" w:color="auto"/>
            <w:right w:val="none" w:sz="0" w:space="0" w:color="auto"/>
          </w:divBdr>
        </w:div>
      </w:divsChild>
    </w:div>
    <w:div w:id="1084297926">
      <w:bodyDiv w:val="1"/>
      <w:marLeft w:val="0"/>
      <w:marRight w:val="0"/>
      <w:marTop w:val="0"/>
      <w:marBottom w:val="0"/>
      <w:divBdr>
        <w:top w:val="none" w:sz="0" w:space="0" w:color="auto"/>
        <w:left w:val="none" w:sz="0" w:space="0" w:color="auto"/>
        <w:bottom w:val="none" w:sz="0" w:space="0" w:color="auto"/>
        <w:right w:val="none" w:sz="0" w:space="0" w:color="auto"/>
      </w:divBdr>
    </w:div>
    <w:div w:id="1128357668">
      <w:bodyDiv w:val="1"/>
      <w:marLeft w:val="0"/>
      <w:marRight w:val="0"/>
      <w:marTop w:val="0"/>
      <w:marBottom w:val="0"/>
      <w:divBdr>
        <w:top w:val="none" w:sz="0" w:space="0" w:color="auto"/>
        <w:left w:val="none" w:sz="0" w:space="0" w:color="auto"/>
        <w:bottom w:val="none" w:sz="0" w:space="0" w:color="auto"/>
        <w:right w:val="none" w:sz="0" w:space="0" w:color="auto"/>
      </w:divBdr>
    </w:div>
    <w:div w:id="1143813881">
      <w:bodyDiv w:val="1"/>
      <w:marLeft w:val="0"/>
      <w:marRight w:val="0"/>
      <w:marTop w:val="0"/>
      <w:marBottom w:val="0"/>
      <w:divBdr>
        <w:top w:val="none" w:sz="0" w:space="0" w:color="auto"/>
        <w:left w:val="none" w:sz="0" w:space="0" w:color="auto"/>
        <w:bottom w:val="none" w:sz="0" w:space="0" w:color="auto"/>
        <w:right w:val="none" w:sz="0" w:space="0" w:color="auto"/>
      </w:divBdr>
    </w:div>
    <w:div w:id="1170678496">
      <w:bodyDiv w:val="1"/>
      <w:marLeft w:val="0"/>
      <w:marRight w:val="0"/>
      <w:marTop w:val="0"/>
      <w:marBottom w:val="0"/>
      <w:divBdr>
        <w:top w:val="none" w:sz="0" w:space="0" w:color="auto"/>
        <w:left w:val="none" w:sz="0" w:space="0" w:color="auto"/>
        <w:bottom w:val="none" w:sz="0" w:space="0" w:color="auto"/>
        <w:right w:val="none" w:sz="0" w:space="0" w:color="auto"/>
      </w:divBdr>
      <w:divsChild>
        <w:div w:id="505946686">
          <w:marLeft w:val="360"/>
          <w:marRight w:val="0"/>
          <w:marTop w:val="200"/>
          <w:marBottom w:val="0"/>
          <w:divBdr>
            <w:top w:val="none" w:sz="0" w:space="0" w:color="auto"/>
            <w:left w:val="none" w:sz="0" w:space="0" w:color="auto"/>
            <w:bottom w:val="none" w:sz="0" w:space="0" w:color="auto"/>
            <w:right w:val="none" w:sz="0" w:space="0" w:color="auto"/>
          </w:divBdr>
        </w:div>
      </w:divsChild>
    </w:div>
    <w:div w:id="1175920698">
      <w:bodyDiv w:val="1"/>
      <w:marLeft w:val="0"/>
      <w:marRight w:val="0"/>
      <w:marTop w:val="0"/>
      <w:marBottom w:val="0"/>
      <w:divBdr>
        <w:top w:val="none" w:sz="0" w:space="0" w:color="auto"/>
        <w:left w:val="none" w:sz="0" w:space="0" w:color="auto"/>
        <w:bottom w:val="none" w:sz="0" w:space="0" w:color="auto"/>
        <w:right w:val="none" w:sz="0" w:space="0" w:color="auto"/>
      </w:divBdr>
    </w:div>
    <w:div w:id="1215393151">
      <w:bodyDiv w:val="1"/>
      <w:marLeft w:val="0"/>
      <w:marRight w:val="0"/>
      <w:marTop w:val="0"/>
      <w:marBottom w:val="0"/>
      <w:divBdr>
        <w:top w:val="none" w:sz="0" w:space="0" w:color="auto"/>
        <w:left w:val="none" w:sz="0" w:space="0" w:color="auto"/>
        <w:bottom w:val="none" w:sz="0" w:space="0" w:color="auto"/>
        <w:right w:val="none" w:sz="0" w:space="0" w:color="auto"/>
      </w:divBdr>
    </w:div>
    <w:div w:id="1254167409">
      <w:bodyDiv w:val="1"/>
      <w:marLeft w:val="0"/>
      <w:marRight w:val="0"/>
      <w:marTop w:val="0"/>
      <w:marBottom w:val="0"/>
      <w:divBdr>
        <w:top w:val="none" w:sz="0" w:space="0" w:color="auto"/>
        <w:left w:val="none" w:sz="0" w:space="0" w:color="auto"/>
        <w:bottom w:val="none" w:sz="0" w:space="0" w:color="auto"/>
        <w:right w:val="none" w:sz="0" w:space="0" w:color="auto"/>
      </w:divBdr>
    </w:div>
    <w:div w:id="1272592112">
      <w:bodyDiv w:val="1"/>
      <w:marLeft w:val="0"/>
      <w:marRight w:val="0"/>
      <w:marTop w:val="0"/>
      <w:marBottom w:val="0"/>
      <w:divBdr>
        <w:top w:val="none" w:sz="0" w:space="0" w:color="auto"/>
        <w:left w:val="none" w:sz="0" w:space="0" w:color="auto"/>
        <w:bottom w:val="none" w:sz="0" w:space="0" w:color="auto"/>
        <w:right w:val="none" w:sz="0" w:space="0" w:color="auto"/>
      </w:divBdr>
    </w:div>
    <w:div w:id="1286081716">
      <w:bodyDiv w:val="1"/>
      <w:marLeft w:val="0"/>
      <w:marRight w:val="0"/>
      <w:marTop w:val="0"/>
      <w:marBottom w:val="0"/>
      <w:divBdr>
        <w:top w:val="none" w:sz="0" w:space="0" w:color="auto"/>
        <w:left w:val="none" w:sz="0" w:space="0" w:color="auto"/>
        <w:bottom w:val="none" w:sz="0" w:space="0" w:color="auto"/>
        <w:right w:val="none" w:sz="0" w:space="0" w:color="auto"/>
      </w:divBdr>
    </w:div>
    <w:div w:id="1302921397">
      <w:bodyDiv w:val="1"/>
      <w:marLeft w:val="0"/>
      <w:marRight w:val="0"/>
      <w:marTop w:val="0"/>
      <w:marBottom w:val="0"/>
      <w:divBdr>
        <w:top w:val="none" w:sz="0" w:space="0" w:color="auto"/>
        <w:left w:val="none" w:sz="0" w:space="0" w:color="auto"/>
        <w:bottom w:val="none" w:sz="0" w:space="0" w:color="auto"/>
        <w:right w:val="none" w:sz="0" w:space="0" w:color="auto"/>
      </w:divBdr>
    </w:div>
    <w:div w:id="1321420096">
      <w:bodyDiv w:val="1"/>
      <w:marLeft w:val="0"/>
      <w:marRight w:val="0"/>
      <w:marTop w:val="0"/>
      <w:marBottom w:val="0"/>
      <w:divBdr>
        <w:top w:val="none" w:sz="0" w:space="0" w:color="auto"/>
        <w:left w:val="none" w:sz="0" w:space="0" w:color="auto"/>
        <w:bottom w:val="none" w:sz="0" w:space="0" w:color="auto"/>
        <w:right w:val="none" w:sz="0" w:space="0" w:color="auto"/>
      </w:divBdr>
    </w:div>
    <w:div w:id="1325207448">
      <w:bodyDiv w:val="1"/>
      <w:marLeft w:val="0"/>
      <w:marRight w:val="0"/>
      <w:marTop w:val="0"/>
      <w:marBottom w:val="0"/>
      <w:divBdr>
        <w:top w:val="none" w:sz="0" w:space="0" w:color="auto"/>
        <w:left w:val="none" w:sz="0" w:space="0" w:color="auto"/>
        <w:bottom w:val="none" w:sz="0" w:space="0" w:color="auto"/>
        <w:right w:val="none" w:sz="0" w:space="0" w:color="auto"/>
      </w:divBdr>
    </w:div>
    <w:div w:id="1361129421">
      <w:bodyDiv w:val="1"/>
      <w:marLeft w:val="0"/>
      <w:marRight w:val="0"/>
      <w:marTop w:val="0"/>
      <w:marBottom w:val="0"/>
      <w:divBdr>
        <w:top w:val="none" w:sz="0" w:space="0" w:color="auto"/>
        <w:left w:val="none" w:sz="0" w:space="0" w:color="auto"/>
        <w:bottom w:val="none" w:sz="0" w:space="0" w:color="auto"/>
        <w:right w:val="none" w:sz="0" w:space="0" w:color="auto"/>
      </w:divBdr>
    </w:div>
    <w:div w:id="1430390857">
      <w:bodyDiv w:val="1"/>
      <w:marLeft w:val="0"/>
      <w:marRight w:val="0"/>
      <w:marTop w:val="0"/>
      <w:marBottom w:val="0"/>
      <w:divBdr>
        <w:top w:val="none" w:sz="0" w:space="0" w:color="auto"/>
        <w:left w:val="none" w:sz="0" w:space="0" w:color="auto"/>
        <w:bottom w:val="none" w:sz="0" w:space="0" w:color="auto"/>
        <w:right w:val="none" w:sz="0" w:space="0" w:color="auto"/>
      </w:divBdr>
    </w:div>
    <w:div w:id="1548493242">
      <w:bodyDiv w:val="1"/>
      <w:marLeft w:val="0"/>
      <w:marRight w:val="0"/>
      <w:marTop w:val="0"/>
      <w:marBottom w:val="0"/>
      <w:divBdr>
        <w:top w:val="none" w:sz="0" w:space="0" w:color="auto"/>
        <w:left w:val="none" w:sz="0" w:space="0" w:color="auto"/>
        <w:bottom w:val="none" w:sz="0" w:space="0" w:color="auto"/>
        <w:right w:val="none" w:sz="0" w:space="0" w:color="auto"/>
      </w:divBdr>
    </w:div>
    <w:div w:id="1590501663">
      <w:bodyDiv w:val="1"/>
      <w:marLeft w:val="0"/>
      <w:marRight w:val="0"/>
      <w:marTop w:val="0"/>
      <w:marBottom w:val="0"/>
      <w:divBdr>
        <w:top w:val="none" w:sz="0" w:space="0" w:color="auto"/>
        <w:left w:val="none" w:sz="0" w:space="0" w:color="auto"/>
        <w:bottom w:val="none" w:sz="0" w:space="0" w:color="auto"/>
        <w:right w:val="none" w:sz="0" w:space="0" w:color="auto"/>
      </w:divBdr>
    </w:div>
    <w:div w:id="1590776616">
      <w:bodyDiv w:val="1"/>
      <w:marLeft w:val="0"/>
      <w:marRight w:val="0"/>
      <w:marTop w:val="0"/>
      <w:marBottom w:val="0"/>
      <w:divBdr>
        <w:top w:val="none" w:sz="0" w:space="0" w:color="auto"/>
        <w:left w:val="none" w:sz="0" w:space="0" w:color="auto"/>
        <w:bottom w:val="none" w:sz="0" w:space="0" w:color="auto"/>
        <w:right w:val="none" w:sz="0" w:space="0" w:color="auto"/>
      </w:divBdr>
    </w:div>
    <w:div w:id="1605721723">
      <w:bodyDiv w:val="1"/>
      <w:marLeft w:val="0"/>
      <w:marRight w:val="0"/>
      <w:marTop w:val="0"/>
      <w:marBottom w:val="0"/>
      <w:divBdr>
        <w:top w:val="none" w:sz="0" w:space="0" w:color="auto"/>
        <w:left w:val="none" w:sz="0" w:space="0" w:color="auto"/>
        <w:bottom w:val="none" w:sz="0" w:space="0" w:color="auto"/>
        <w:right w:val="none" w:sz="0" w:space="0" w:color="auto"/>
      </w:divBdr>
    </w:div>
    <w:div w:id="1615474774">
      <w:bodyDiv w:val="1"/>
      <w:marLeft w:val="0"/>
      <w:marRight w:val="0"/>
      <w:marTop w:val="0"/>
      <w:marBottom w:val="0"/>
      <w:divBdr>
        <w:top w:val="none" w:sz="0" w:space="0" w:color="auto"/>
        <w:left w:val="none" w:sz="0" w:space="0" w:color="auto"/>
        <w:bottom w:val="none" w:sz="0" w:space="0" w:color="auto"/>
        <w:right w:val="none" w:sz="0" w:space="0" w:color="auto"/>
      </w:divBdr>
    </w:div>
    <w:div w:id="1681735389">
      <w:bodyDiv w:val="1"/>
      <w:marLeft w:val="0"/>
      <w:marRight w:val="0"/>
      <w:marTop w:val="0"/>
      <w:marBottom w:val="0"/>
      <w:divBdr>
        <w:top w:val="none" w:sz="0" w:space="0" w:color="auto"/>
        <w:left w:val="none" w:sz="0" w:space="0" w:color="auto"/>
        <w:bottom w:val="none" w:sz="0" w:space="0" w:color="auto"/>
        <w:right w:val="none" w:sz="0" w:space="0" w:color="auto"/>
      </w:divBdr>
    </w:div>
    <w:div w:id="1683777874">
      <w:bodyDiv w:val="1"/>
      <w:marLeft w:val="0"/>
      <w:marRight w:val="0"/>
      <w:marTop w:val="0"/>
      <w:marBottom w:val="0"/>
      <w:divBdr>
        <w:top w:val="none" w:sz="0" w:space="0" w:color="auto"/>
        <w:left w:val="none" w:sz="0" w:space="0" w:color="auto"/>
        <w:bottom w:val="none" w:sz="0" w:space="0" w:color="auto"/>
        <w:right w:val="none" w:sz="0" w:space="0" w:color="auto"/>
      </w:divBdr>
    </w:div>
    <w:div w:id="1702440814">
      <w:bodyDiv w:val="1"/>
      <w:marLeft w:val="0"/>
      <w:marRight w:val="0"/>
      <w:marTop w:val="0"/>
      <w:marBottom w:val="0"/>
      <w:divBdr>
        <w:top w:val="none" w:sz="0" w:space="0" w:color="auto"/>
        <w:left w:val="none" w:sz="0" w:space="0" w:color="auto"/>
        <w:bottom w:val="none" w:sz="0" w:space="0" w:color="auto"/>
        <w:right w:val="none" w:sz="0" w:space="0" w:color="auto"/>
      </w:divBdr>
      <w:divsChild>
        <w:div w:id="1645311844">
          <w:marLeft w:val="0"/>
          <w:marRight w:val="0"/>
          <w:marTop w:val="0"/>
          <w:marBottom w:val="0"/>
          <w:divBdr>
            <w:top w:val="none" w:sz="0" w:space="0" w:color="auto"/>
            <w:left w:val="none" w:sz="0" w:space="0" w:color="auto"/>
            <w:bottom w:val="none" w:sz="0" w:space="0" w:color="auto"/>
            <w:right w:val="none" w:sz="0" w:space="0" w:color="auto"/>
          </w:divBdr>
          <w:divsChild>
            <w:div w:id="15087526">
              <w:marLeft w:val="0"/>
              <w:marRight w:val="0"/>
              <w:marTop w:val="120"/>
              <w:marBottom w:val="0"/>
              <w:divBdr>
                <w:top w:val="none" w:sz="0" w:space="0" w:color="auto"/>
                <w:left w:val="none" w:sz="0" w:space="0" w:color="auto"/>
                <w:bottom w:val="none" w:sz="0" w:space="0" w:color="auto"/>
                <w:right w:val="none" w:sz="0" w:space="0" w:color="auto"/>
              </w:divBdr>
            </w:div>
          </w:divsChild>
        </w:div>
        <w:div w:id="1488546559">
          <w:marLeft w:val="0"/>
          <w:marRight w:val="0"/>
          <w:marTop w:val="0"/>
          <w:marBottom w:val="0"/>
          <w:divBdr>
            <w:top w:val="none" w:sz="0" w:space="0" w:color="auto"/>
            <w:left w:val="none" w:sz="0" w:space="0" w:color="auto"/>
            <w:bottom w:val="none" w:sz="0" w:space="0" w:color="auto"/>
            <w:right w:val="none" w:sz="0" w:space="0" w:color="auto"/>
          </w:divBdr>
        </w:div>
      </w:divsChild>
    </w:div>
    <w:div w:id="1772167843">
      <w:bodyDiv w:val="1"/>
      <w:marLeft w:val="0"/>
      <w:marRight w:val="0"/>
      <w:marTop w:val="0"/>
      <w:marBottom w:val="0"/>
      <w:divBdr>
        <w:top w:val="none" w:sz="0" w:space="0" w:color="auto"/>
        <w:left w:val="none" w:sz="0" w:space="0" w:color="auto"/>
        <w:bottom w:val="none" w:sz="0" w:space="0" w:color="auto"/>
        <w:right w:val="none" w:sz="0" w:space="0" w:color="auto"/>
      </w:divBdr>
    </w:div>
    <w:div w:id="1802453607">
      <w:bodyDiv w:val="1"/>
      <w:marLeft w:val="0"/>
      <w:marRight w:val="0"/>
      <w:marTop w:val="0"/>
      <w:marBottom w:val="0"/>
      <w:divBdr>
        <w:top w:val="none" w:sz="0" w:space="0" w:color="auto"/>
        <w:left w:val="none" w:sz="0" w:space="0" w:color="auto"/>
        <w:bottom w:val="none" w:sz="0" w:space="0" w:color="auto"/>
        <w:right w:val="none" w:sz="0" w:space="0" w:color="auto"/>
      </w:divBdr>
    </w:div>
    <w:div w:id="1804811672">
      <w:bodyDiv w:val="1"/>
      <w:marLeft w:val="0"/>
      <w:marRight w:val="0"/>
      <w:marTop w:val="0"/>
      <w:marBottom w:val="0"/>
      <w:divBdr>
        <w:top w:val="none" w:sz="0" w:space="0" w:color="auto"/>
        <w:left w:val="none" w:sz="0" w:space="0" w:color="auto"/>
        <w:bottom w:val="none" w:sz="0" w:space="0" w:color="auto"/>
        <w:right w:val="none" w:sz="0" w:space="0" w:color="auto"/>
      </w:divBdr>
      <w:divsChild>
        <w:div w:id="90243199">
          <w:marLeft w:val="0"/>
          <w:marRight w:val="0"/>
          <w:marTop w:val="0"/>
          <w:marBottom w:val="0"/>
          <w:divBdr>
            <w:top w:val="none" w:sz="0" w:space="0" w:color="auto"/>
            <w:left w:val="none" w:sz="0" w:space="0" w:color="auto"/>
            <w:bottom w:val="none" w:sz="0" w:space="0" w:color="auto"/>
            <w:right w:val="none" w:sz="0" w:space="0" w:color="auto"/>
          </w:divBdr>
          <w:divsChild>
            <w:div w:id="1960259874">
              <w:marLeft w:val="0"/>
              <w:marRight w:val="0"/>
              <w:marTop w:val="120"/>
              <w:marBottom w:val="0"/>
              <w:divBdr>
                <w:top w:val="none" w:sz="0" w:space="0" w:color="auto"/>
                <w:left w:val="none" w:sz="0" w:space="0" w:color="auto"/>
                <w:bottom w:val="none" w:sz="0" w:space="0" w:color="auto"/>
                <w:right w:val="none" w:sz="0" w:space="0" w:color="auto"/>
              </w:divBdr>
            </w:div>
          </w:divsChild>
        </w:div>
        <w:div w:id="69472527">
          <w:marLeft w:val="0"/>
          <w:marRight w:val="0"/>
          <w:marTop w:val="0"/>
          <w:marBottom w:val="0"/>
          <w:divBdr>
            <w:top w:val="none" w:sz="0" w:space="0" w:color="auto"/>
            <w:left w:val="none" w:sz="0" w:space="0" w:color="auto"/>
            <w:bottom w:val="none" w:sz="0" w:space="0" w:color="auto"/>
            <w:right w:val="none" w:sz="0" w:space="0" w:color="auto"/>
          </w:divBdr>
        </w:div>
      </w:divsChild>
    </w:div>
    <w:div w:id="1879198180">
      <w:bodyDiv w:val="1"/>
      <w:marLeft w:val="0"/>
      <w:marRight w:val="0"/>
      <w:marTop w:val="0"/>
      <w:marBottom w:val="0"/>
      <w:divBdr>
        <w:top w:val="none" w:sz="0" w:space="0" w:color="auto"/>
        <w:left w:val="none" w:sz="0" w:space="0" w:color="auto"/>
        <w:bottom w:val="none" w:sz="0" w:space="0" w:color="auto"/>
        <w:right w:val="none" w:sz="0" w:space="0" w:color="auto"/>
      </w:divBdr>
    </w:div>
    <w:div w:id="1910991483">
      <w:bodyDiv w:val="1"/>
      <w:marLeft w:val="0"/>
      <w:marRight w:val="0"/>
      <w:marTop w:val="0"/>
      <w:marBottom w:val="0"/>
      <w:divBdr>
        <w:top w:val="none" w:sz="0" w:space="0" w:color="auto"/>
        <w:left w:val="none" w:sz="0" w:space="0" w:color="auto"/>
        <w:bottom w:val="none" w:sz="0" w:space="0" w:color="auto"/>
        <w:right w:val="none" w:sz="0" w:space="0" w:color="auto"/>
      </w:divBdr>
    </w:div>
    <w:div w:id="1934774227">
      <w:bodyDiv w:val="1"/>
      <w:marLeft w:val="0"/>
      <w:marRight w:val="0"/>
      <w:marTop w:val="0"/>
      <w:marBottom w:val="0"/>
      <w:divBdr>
        <w:top w:val="none" w:sz="0" w:space="0" w:color="auto"/>
        <w:left w:val="none" w:sz="0" w:space="0" w:color="auto"/>
        <w:bottom w:val="none" w:sz="0" w:space="0" w:color="auto"/>
        <w:right w:val="none" w:sz="0" w:space="0" w:color="auto"/>
      </w:divBdr>
    </w:div>
    <w:div w:id="1953900642">
      <w:bodyDiv w:val="1"/>
      <w:marLeft w:val="0"/>
      <w:marRight w:val="0"/>
      <w:marTop w:val="0"/>
      <w:marBottom w:val="0"/>
      <w:divBdr>
        <w:top w:val="none" w:sz="0" w:space="0" w:color="auto"/>
        <w:left w:val="none" w:sz="0" w:space="0" w:color="auto"/>
        <w:bottom w:val="none" w:sz="0" w:space="0" w:color="auto"/>
        <w:right w:val="none" w:sz="0" w:space="0" w:color="auto"/>
      </w:divBdr>
      <w:divsChild>
        <w:div w:id="1376151212">
          <w:marLeft w:val="360"/>
          <w:marRight w:val="0"/>
          <w:marTop w:val="200"/>
          <w:marBottom w:val="0"/>
          <w:divBdr>
            <w:top w:val="none" w:sz="0" w:space="0" w:color="auto"/>
            <w:left w:val="none" w:sz="0" w:space="0" w:color="auto"/>
            <w:bottom w:val="none" w:sz="0" w:space="0" w:color="auto"/>
            <w:right w:val="none" w:sz="0" w:space="0" w:color="auto"/>
          </w:divBdr>
        </w:div>
      </w:divsChild>
    </w:div>
    <w:div w:id="2033798328">
      <w:bodyDiv w:val="1"/>
      <w:marLeft w:val="0"/>
      <w:marRight w:val="0"/>
      <w:marTop w:val="0"/>
      <w:marBottom w:val="0"/>
      <w:divBdr>
        <w:top w:val="none" w:sz="0" w:space="0" w:color="auto"/>
        <w:left w:val="none" w:sz="0" w:space="0" w:color="auto"/>
        <w:bottom w:val="none" w:sz="0" w:space="0" w:color="auto"/>
        <w:right w:val="none" w:sz="0" w:space="0" w:color="auto"/>
      </w:divBdr>
    </w:div>
    <w:div w:id="2043507852">
      <w:bodyDiv w:val="1"/>
      <w:marLeft w:val="0"/>
      <w:marRight w:val="0"/>
      <w:marTop w:val="0"/>
      <w:marBottom w:val="0"/>
      <w:divBdr>
        <w:top w:val="none" w:sz="0" w:space="0" w:color="auto"/>
        <w:left w:val="none" w:sz="0" w:space="0" w:color="auto"/>
        <w:bottom w:val="none" w:sz="0" w:space="0" w:color="auto"/>
        <w:right w:val="none" w:sz="0" w:space="0" w:color="auto"/>
      </w:divBdr>
    </w:div>
    <w:div w:id="2050185231">
      <w:bodyDiv w:val="1"/>
      <w:marLeft w:val="0"/>
      <w:marRight w:val="0"/>
      <w:marTop w:val="0"/>
      <w:marBottom w:val="0"/>
      <w:divBdr>
        <w:top w:val="none" w:sz="0" w:space="0" w:color="auto"/>
        <w:left w:val="none" w:sz="0" w:space="0" w:color="auto"/>
        <w:bottom w:val="none" w:sz="0" w:space="0" w:color="auto"/>
        <w:right w:val="none" w:sz="0" w:space="0" w:color="auto"/>
      </w:divBdr>
      <w:divsChild>
        <w:div w:id="916524826">
          <w:marLeft w:val="0"/>
          <w:marRight w:val="0"/>
          <w:marTop w:val="0"/>
          <w:marBottom w:val="0"/>
          <w:divBdr>
            <w:top w:val="none" w:sz="0" w:space="0" w:color="auto"/>
            <w:left w:val="none" w:sz="0" w:space="0" w:color="auto"/>
            <w:bottom w:val="none" w:sz="0" w:space="0" w:color="auto"/>
            <w:right w:val="none" w:sz="0" w:space="0" w:color="auto"/>
          </w:divBdr>
          <w:divsChild>
            <w:div w:id="1052772320">
              <w:marLeft w:val="0"/>
              <w:marRight w:val="0"/>
              <w:marTop w:val="120"/>
              <w:marBottom w:val="0"/>
              <w:divBdr>
                <w:top w:val="none" w:sz="0" w:space="0" w:color="auto"/>
                <w:left w:val="none" w:sz="0" w:space="0" w:color="auto"/>
                <w:bottom w:val="none" w:sz="0" w:space="0" w:color="auto"/>
                <w:right w:val="none" w:sz="0" w:space="0" w:color="auto"/>
              </w:divBdr>
            </w:div>
          </w:divsChild>
        </w:div>
        <w:div w:id="1732456364">
          <w:marLeft w:val="0"/>
          <w:marRight w:val="0"/>
          <w:marTop w:val="0"/>
          <w:marBottom w:val="0"/>
          <w:divBdr>
            <w:top w:val="none" w:sz="0" w:space="0" w:color="auto"/>
            <w:left w:val="none" w:sz="0" w:space="0" w:color="auto"/>
            <w:bottom w:val="none" w:sz="0" w:space="0" w:color="auto"/>
            <w:right w:val="none" w:sz="0" w:space="0" w:color="auto"/>
          </w:divBdr>
        </w:div>
      </w:divsChild>
    </w:div>
    <w:div w:id="2058429266">
      <w:bodyDiv w:val="1"/>
      <w:marLeft w:val="0"/>
      <w:marRight w:val="0"/>
      <w:marTop w:val="0"/>
      <w:marBottom w:val="0"/>
      <w:divBdr>
        <w:top w:val="none" w:sz="0" w:space="0" w:color="auto"/>
        <w:left w:val="none" w:sz="0" w:space="0" w:color="auto"/>
        <w:bottom w:val="none" w:sz="0" w:space="0" w:color="auto"/>
        <w:right w:val="none" w:sz="0" w:space="0" w:color="auto"/>
      </w:divBdr>
    </w:div>
    <w:div w:id="2058822431">
      <w:bodyDiv w:val="1"/>
      <w:marLeft w:val="0"/>
      <w:marRight w:val="0"/>
      <w:marTop w:val="0"/>
      <w:marBottom w:val="0"/>
      <w:divBdr>
        <w:top w:val="none" w:sz="0" w:space="0" w:color="auto"/>
        <w:left w:val="none" w:sz="0" w:space="0" w:color="auto"/>
        <w:bottom w:val="none" w:sz="0" w:space="0" w:color="auto"/>
        <w:right w:val="none" w:sz="0" w:space="0" w:color="auto"/>
      </w:divBdr>
    </w:div>
    <w:div w:id="2135708008">
      <w:bodyDiv w:val="1"/>
      <w:marLeft w:val="0"/>
      <w:marRight w:val="0"/>
      <w:marTop w:val="0"/>
      <w:marBottom w:val="0"/>
      <w:divBdr>
        <w:top w:val="none" w:sz="0" w:space="0" w:color="auto"/>
        <w:left w:val="none" w:sz="0" w:space="0" w:color="auto"/>
        <w:bottom w:val="none" w:sz="0" w:space="0" w:color="auto"/>
        <w:right w:val="none" w:sz="0" w:space="0" w:color="auto"/>
      </w:divBdr>
      <w:divsChild>
        <w:div w:id="1037974115">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kero@health.missouri.edu"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D64DC-01F9-7040-9726-12138797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Olga</dc:creator>
  <cp:keywords/>
  <dc:description/>
  <cp:lastModifiedBy>Nam, Kihoon</cp:lastModifiedBy>
  <cp:revision>33</cp:revision>
  <cp:lastPrinted>2024-06-03T18:06:00Z</cp:lastPrinted>
  <dcterms:created xsi:type="dcterms:W3CDTF">2025-04-03T21:02:00Z</dcterms:created>
  <dcterms:modified xsi:type="dcterms:W3CDTF">2025-05-23T00:05:00Z</dcterms:modified>
  <cp:category/>
</cp:coreProperties>
</file>