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B577" w14:textId="27A7B0E8" w:rsidR="00BC1ED2" w:rsidRPr="00EE290E" w:rsidRDefault="0098796F" w:rsidP="00F5771A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00495C9" wp14:editId="42303BCA">
            <wp:extent cx="5274310" cy="3039745"/>
            <wp:effectExtent l="0" t="0" r="0" b="0"/>
            <wp:docPr id="47152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00795" w14:textId="2A8C9BE9" w:rsidR="00EE290E" w:rsidRDefault="0098796F" w:rsidP="00F5771A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04231A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 w:hint="eastAsia"/>
          <w:sz w:val="20"/>
          <w:szCs w:val="20"/>
        </w:rPr>
        <w:t xml:space="preserve"> role</w:t>
      </w:r>
      <w:r w:rsidRPr="0004231A">
        <w:rPr>
          <w:rFonts w:ascii="Times New Roman" w:hAnsi="Times New Roman" w:cs="Times New Roman"/>
          <w:sz w:val="20"/>
          <w:szCs w:val="20"/>
        </w:rPr>
        <w:t xml:space="preserve"> of Marchf6 </w:t>
      </w:r>
      <w:r>
        <w:rPr>
          <w:rFonts w:ascii="Times New Roman" w:hAnsi="Times New Roman" w:cs="Times New Roman" w:hint="eastAsia"/>
          <w:sz w:val="20"/>
          <w:szCs w:val="20"/>
        </w:rPr>
        <w:t xml:space="preserve">in regulating apoptosis in </w:t>
      </w:r>
      <w:r w:rsidRPr="0098796F">
        <w:rPr>
          <w:rFonts w:ascii="Times New Roman" w:hAnsi="Times New Roman" w:cs="Times New Roman" w:hint="eastAsia"/>
          <w:sz w:val="20"/>
          <w:szCs w:val="20"/>
        </w:rPr>
        <w:t>Ang II-</w:t>
      </w:r>
      <w:r>
        <w:rPr>
          <w:rFonts w:ascii="Times New Roman" w:hAnsi="Times New Roman" w:cs="Times New Roman" w:hint="eastAsia"/>
          <w:sz w:val="20"/>
          <w:szCs w:val="20"/>
        </w:rPr>
        <w:t>treated</w:t>
      </w:r>
      <w:r w:rsidRPr="0098796F">
        <w:rPr>
          <w:rFonts w:ascii="Times New Roman" w:hAnsi="Times New Roman" w:cs="Times New Roman" w:hint="eastAsia"/>
          <w:sz w:val="20"/>
          <w:szCs w:val="20"/>
        </w:rPr>
        <w:t xml:space="preserve"> HL-1 cells.</w:t>
      </w:r>
      <w:r>
        <w:rPr>
          <w:rFonts w:ascii="Times New Roman" w:hAnsi="Times New Roman" w:cs="Times New Roman" w:hint="eastAsia"/>
          <w:sz w:val="20"/>
          <w:szCs w:val="20"/>
        </w:rPr>
        <w:t xml:space="preserve"> Effects of Marchf6 </w:t>
      </w:r>
      <w:r>
        <w:rPr>
          <w:rFonts w:ascii="Times New Roman" w:hAnsi="Times New Roman" w:cs="Times New Roman" w:hint="eastAsia"/>
          <w:sz w:val="20"/>
          <w:szCs w:val="20"/>
        </w:rPr>
        <w:t>(A, B)</w:t>
      </w:r>
      <w:r>
        <w:rPr>
          <w:rFonts w:ascii="Times New Roman" w:hAnsi="Times New Roman" w:cs="Times New Roman" w:hint="eastAsia"/>
          <w:sz w:val="20"/>
          <w:szCs w:val="20"/>
        </w:rPr>
        <w:t xml:space="preserve"> overexpression and (C, D) silencing on the level of cleaved Caspase-3 in </w:t>
      </w:r>
      <w:r w:rsidRPr="0098796F">
        <w:rPr>
          <w:rFonts w:ascii="Times New Roman" w:hAnsi="Times New Roman" w:cs="Times New Roman" w:hint="eastAsia"/>
          <w:sz w:val="20"/>
          <w:szCs w:val="20"/>
        </w:rPr>
        <w:t>Ang II-</w:t>
      </w:r>
      <w:r>
        <w:rPr>
          <w:rFonts w:ascii="Times New Roman" w:hAnsi="Times New Roman" w:cs="Times New Roman" w:hint="eastAsia"/>
          <w:sz w:val="20"/>
          <w:szCs w:val="20"/>
        </w:rPr>
        <w:t>treated</w:t>
      </w:r>
      <w:r w:rsidRPr="0098796F">
        <w:rPr>
          <w:rFonts w:ascii="Times New Roman" w:hAnsi="Times New Roman" w:cs="Times New Roman" w:hint="eastAsia"/>
          <w:sz w:val="20"/>
          <w:szCs w:val="20"/>
        </w:rPr>
        <w:t xml:space="preserve"> HL-1 cells</w:t>
      </w:r>
      <w:r>
        <w:rPr>
          <w:rFonts w:ascii="Times New Roman" w:hAnsi="Times New Roman" w:cs="Times New Roman" w:hint="eastAsia"/>
          <w:sz w:val="20"/>
          <w:szCs w:val="20"/>
        </w:rPr>
        <w:t xml:space="preserve"> (n = 3)</w:t>
      </w:r>
      <w:r w:rsidR="00F5771A">
        <w:rPr>
          <w:rFonts w:ascii="Times New Roman" w:hAnsi="Times New Roman" w:cs="Times New Roman" w:hint="eastAsia"/>
          <w:sz w:val="20"/>
          <w:szCs w:val="20"/>
        </w:rPr>
        <w:t xml:space="preserve"> were</w:t>
      </w:r>
      <w:r w:rsidR="00F5771A" w:rsidRPr="00F5771A">
        <w:rPr>
          <w:rFonts w:ascii="Times New Roman" w:hAnsi="Times New Roman" w:cs="Times New Roman"/>
          <w:sz w:val="20"/>
          <w:szCs w:val="20"/>
        </w:rPr>
        <w:t xml:space="preserve"> measured through </w:t>
      </w:r>
      <w:r w:rsidR="00F5771A">
        <w:rPr>
          <w:rFonts w:ascii="Times New Roman" w:hAnsi="Times New Roman" w:cs="Times New Roman" w:hint="eastAsia"/>
          <w:sz w:val="20"/>
          <w:szCs w:val="20"/>
        </w:rPr>
        <w:t>w</w:t>
      </w:r>
      <w:r w:rsidR="00F5771A" w:rsidRPr="00F5771A">
        <w:rPr>
          <w:rFonts w:ascii="Times New Roman" w:hAnsi="Times New Roman" w:cs="Times New Roman"/>
          <w:sz w:val="20"/>
          <w:szCs w:val="20"/>
        </w:rPr>
        <w:t>estern blot analysis</w:t>
      </w:r>
      <w:r w:rsidRPr="0098796F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8796F">
        <w:rPr>
          <w:rFonts w:ascii="Times New Roman" w:hAnsi="Times New Roman" w:cs="Times New Roman" w:hint="eastAsia"/>
          <w:sz w:val="20"/>
          <w:szCs w:val="20"/>
          <w:vertAlign w:val="superscript"/>
        </w:rPr>
        <w:t>#</w:t>
      </w:r>
      <w:r>
        <w:rPr>
          <w:rFonts w:ascii="Times New Roman" w:hAnsi="Times New Roman" w:cs="Times New Roman" w:hint="eastAsia"/>
          <w:sz w:val="20"/>
          <w:szCs w:val="20"/>
        </w:rPr>
        <w:t>p</w:t>
      </w:r>
      <w:r>
        <w:rPr>
          <w:rFonts w:ascii="Times New Roman" w:hAnsi="Times New Roman" w:cs="Times New Roman" w:hint="eastAsia"/>
          <w:sz w:val="20"/>
          <w:szCs w:val="20"/>
        </w:rPr>
        <w:t>&gt;</w:t>
      </w:r>
      <w:r>
        <w:rPr>
          <w:rFonts w:ascii="Times New Roman" w:hAnsi="Times New Roman" w:cs="Times New Roman" w:hint="eastAsia"/>
          <w:sz w:val="20"/>
          <w:szCs w:val="20"/>
        </w:rPr>
        <w:t>0.05 and **p&lt;0.01.</w:t>
      </w:r>
    </w:p>
    <w:p w14:paraId="6F4CBF5D" w14:textId="7FBD9109" w:rsidR="0098796F" w:rsidRDefault="0098796F" w:rsidP="00F5771A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671F816" w14:textId="77777777" w:rsidR="0098796F" w:rsidRDefault="0098796F" w:rsidP="00F5771A">
      <w:pPr>
        <w:widowControl/>
        <w:spacing w:line="480" w:lineRule="auto"/>
        <w:jc w:val="center"/>
        <w:rPr>
          <w:rFonts w:ascii="Times New Roman" w:hAnsi="Times New Roman" w:cs="Times New Roman" w:hint="eastAsia"/>
          <w:sz w:val="20"/>
          <w:szCs w:val="20"/>
        </w:rPr>
      </w:pPr>
    </w:p>
    <w:p w14:paraId="7AB9DD2E" w14:textId="6D65CACE" w:rsidR="00BE04EB" w:rsidRDefault="0004231A" w:rsidP="00F5771A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E033A60" wp14:editId="409D4B7D">
            <wp:extent cx="3543300" cy="3695700"/>
            <wp:effectExtent l="0" t="0" r="0" b="0"/>
            <wp:docPr id="10238540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B1439" w14:textId="02F151D8" w:rsidR="00BE04EB" w:rsidRPr="0004231A" w:rsidRDefault="0004231A" w:rsidP="00F577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Fig. 2 </w:t>
      </w:r>
      <w:r w:rsidRPr="0004231A">
        <w:rPr>
          <w:rFonts w:ascii="Times New Roman" w:hAnsi="Times New Roman" w:cs="Times New Roman"/>
          <w:sz w:val="20"/>
          <w:szCs w:val="20"/>
        </w:rPr>
        <w:t>The effect of Marchf6 overexpression on cardiac function assessed by echocardiography. Echocardiographic parameters measured among groups (n = 6) include: (A) left ventricular end-diastolic diameter (LVEDd), (B) left ventricular end-systolic diameter (LVESd), (C) left ventricular posterior wall thickness at end-diastole (LVPWd), and (D) interventricular septal thickness at end-diastole (IVSd).</w:t>
      </w:r>
      <w:r>
        <w:rPr>
          <w:rFonts w:ascii="Times New Roman" w:hAnsi="Times New Roman" w:cs="Times New Roman" w:hint="eastAsia"/>
          <w:sz w:val="20"/>
          <w:szCs w:val="20"/>
        </w:rPr>
        <w:t xml:space="preserve"> *p&lt;0.05 and **p&lt;0.01.</w:t>
      </w:r>
    </w:p>
    <w:p w14:paraId="685E0411" w14:textId="7D473A88" w:rsidR="0098796F" w:rsidRDefault="0098796F" w:rsidP="00F5771A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09D6BBE" w14:textId="77777777" w:rsidR="00BE04EB" w:rsidRDefault="00BE04EB" w:rsidP="00F577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07051B5" w14:textId="07E4C9F9" w:rsidR="0004231A" w:rsidRDefault="009432DD" w:rsidP="00F5771A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0A6438F" wp14:editId="6B7879C7">
            <wp:extent cx="3705225" cy="1866900"/>
            <wp:effectExtent l="0" t="0" r="0" b="0"/>
            <wp:docPr id="11712329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CABF4" w14:textId="5256CF94" w:rsidR="0004231A" w:rsidRPr="009432DD" w:rsidRDefault="009432DD" w:rsidP="00F577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Fig. </w:t>
      </w:r>
      <w:r w:rsidR="0098796F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9432DD">
        <w:rPr>
          <w:rFonts w:ascii="Times New Roman" w:hAnsi="Times New Roman" w:cs="Times New Roman" w:hint="eastAsia"/>
          <w:sz w:val="20"/>
          <w:szCs w:val="20"/>
        </w:rPr>
        <w:t>Hemodynamic analy</w:t>
      </w:r>
      <w:r>
        <w:rPr>
          <w:rFonts w:ascii="Times New Roman" w:hAnsi="Times New Roman" w:cs="Times New Roman" w:hint="eastAsia"/>
          <w:sz w:val="20"/>
          <w:szCs w:val="20"/>
        </w:rPr>
        <w:t>sis</w:t>
      </w:r>
      <w:r w:rsidRPr="009432DD">
        <w:rPr>
          <w:rFonts w:ascii="Times New Roman" w:hAnsi="Times New Roman" w:cs="Times New Roman" w:hint="eastAsia"/>
          <w:sz w:val="20"/>
          <w:szCs w:val="20"/>
        </w:rPr>
        <w:t xml:space="preserve"> in </w:t>
      </w:r>
      <w:r w:rsidRPr="009432DD">
        <w:rPr>
          <w:rFonts w:ascii="Times New Roman" w:hAnsi="Times New Roman" w:cs="Times New Roman"/>
          <w:sz w:val="20"/>
          <w:szCs w:val="20"/>
        </w:rPr>
        <w:t>experimental</w:t>
      </w:r>
      <w:r w:rsidRPr="009432DD">
        <w:rPr>
          <w:rFonts w:ascii="Times New Roman" w:hAnsi="Times New Roman" w:cs="Times New Roman" w:hint="eastAsia"/>
          <w:sz w:val="20"/>
          <w:szCs w:val="20"/>
        </w:rPr>
        <w:t xml:space="preserve"> mice.</w:t>
      </w:r>
      <w:r w:rsidRPr="009432DD">
        <w:rPr>
          <w:rFonts w:ascii="Arial" w:hAnsi="Arial" w:cs="Arial"/>
          <w:color w:val="0A1232"/>
          <w:shd w:val="clear" w:color="auto" w:fill="FFFFFF"/>
        </w:rPr>
        <w:t xml:space="preserve"> </w:t>
      </w:r>
      <w:r w:rsidRPr="009432DD">
        <w:rPr>
          <w:rFonts w:ascii="Times New Roman" w:hAnsi="Times New Roman" w:cs="Times New Roman"/>
          <w:sz w:val="20"/>
          <w:szCs w:val="20"/>
        </w:rPr>
        <w:t>(A) Left ventricular end-systolic pressure (LVESP) and (B) left ventricular end-diastolic pressure (LVEDP) were measured in each group (n = 6). </w:t>
      </w:r>
      <w:r>
        <w:rPr>
          <w:rFonts w:ascii="Times New Roman" w:hAnsi="Times New Roman" w:cs="Times New Roman" w:hint="eastAsia"/>
          <w:sz w:val="20"/>
          <w:szCs w:val="20"/>
        </w:rPr>
        <w:t>*p&lt;0.05 and **p&lt;0.01.</w:t>
      </w:r>
    </w:p>
    <w:p w14:paraId="07DD329D" w14:textId="083DF0FF" w:rsidR="0098796F" w:rsidRDefault="0098796F" w:rsidP="00F5771A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B532A26" w14:textId="219C6A01" w:rsidR="0098796F" w:rsidRDefault="00D74A89" w:rsidP="00F5771A">
      <w:pPr>
        <w:widowControl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9BA07A2" wp14:editId="28B700A9">
            <wp:extent cx="3036165" cy="2955341"/>
            <wp:effectExtent l="0" t="0" r="0" b="0"/>
            <wp:docPr id="7939902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846" cy="295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5ECA7" w14:textId="005F74F1" w:rsidR="00EE290E" w:rsidRPr="00EE290E" w:rsidRDefault="00F5771A" w:rsidP="00F5771A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04231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04231A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 w:hint="eastAsia"/>
          <w:sz w:val="20"/>
          <w:szCs w:val="20"/>
        </w:rPr>
        <w:t xml:space="preserve"> effect </w:t>
      </w:r>
      <w:r w:rsidRPr="0004231A">
        <w:rPr>
          <w:rFonts w:ascii="Times New Roman" w:hAnsi="Times New Roman" w:cs="Times New Roman"/>
          <w:sz w:val="20"/>
          <w:szCs w:val="20"/>
        </w:rPr>
        <w:t>of Marchf6</w:t>
      </w:r>
      <w:r>
        <w:rPr>
          <w:rFonts w:ascii="Times New Roman" w:hAnsi="Times New Roman" w:cs="Times New Roman" w:hint="eastAsia"/>
          <w:sz w:val="20"/>
          <w:szCs w:val="20"/>
        </w:rPr>
        <w:t xml:space="preserve"> overexpression on cardiac apoptosis</w:t>
      </w:r>
      <w:r>
        <w:rPr>
          <w:rFonts w:ascii="Times New Roman" w:hAnsi="Times New Roman" w:cs="Times New Roman" w:hint="eastAsia"/>
          <w:sz w:val="20"/>
          <w:szCs w:val="20"/>
        </w:rPr>
        <w:t xml:space="preserve"> in</w:t>
      </w:r>
      <w:r>
        <w:rPr>
          <w:rFonts w:ascii="Times New Roman" w:hAnsi="Times New Roman" w:cs="Times New Roman" w:hint="eastAsia"/>
          <w:sz w:val="20"/>
          <w:szCs w:val="20"/>
        </w:rPr>
        <w:t xml:space="preserve"> Ang II-treated mice. T</w:t>
      </w:r>
      <w:r>
        <w:rPr>
          <w:rFonts w:ascii="Times New Roman" w:hAnsi="Times New Roman" w:cs="Times New Roman" w:hint="eastAsia"/>
          <w:sz w:val="20"/>
          <w:szCs w:val="20"/>
        </w:rPr>
        <w:t>he level of cleaved Caspase-3</w:t>
      </w:r>
      <w:r>
        <w:rPr>
          <w:rFonts w:ascii="Times New Roman" w:hAnsi="Times New Roman" w:cs="Times New Roman" w:hint="eastAsia"/>
          <w:sz w:val="20"/>
          <w:szCs w:val="20"/>
        </w:rPr>
        <w:t xml:space="preserve"> in cardiac tissue was </w:t>
      </w:r>
      <w:r w:rsidR="003A7A5C">
        <w:rPr>
          <w:rFonts w:ascii="Times New Roman" w:hAnsi="Times New Roman" w:cs="Times New Roman" w:hint="eastAsia"/>
          <w:sz w:val="20"/>
          <w:szCs w:val="20"/>
        </w:rPr>
        <w:t>assessed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3A7A5C">
        <w:rPr>
          <w:rFonts w:ascii="Times New Roman" w:hAnsi="Times New Roman" w:cs="Times New Roman" w:hint="eastAsia"/>
          <w:sz w:val="20"/>
          <w:szCs w:val="20"/>
        </w:rPr>
        <w:t>by</w:t>
      </w:r>
      <w:r>
        <w:rPr>
          <w:rFonts w:ascii="Times New Roman" w:hAnsi="Times New Roman" w:cs="Times New Roman" w:hint="eastAsia"/>
          <w:sz w:val="20"/>
          <w:szCs w:val="20"/>
        </w:rPr>
        <w:t xml:space="preserve"> western  blot analysis </w:t>
      </w:r>
      <w:r>
        <w:rPr>
          <w:rFonts w:ascii="Times New Roman" w:hAnsi="Times New Roman" w:cs="Times New Roman" w:hint="eastAsia"/>
          <w:sz w:val="20"/>
          <w:szCs w:val="20"/>
        </w:rPr>
        <w:t xml:space="preserve"> (n = 3)</w:t>
      </w:r>
      <w:r w:rsidRPr="0098796F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8796F">
        <w:rPr>
          <w:rFonts w:ascii="Times New Roman" w:hAnsi="Times New Roman" w:cs="Times New Roman" w:hint="eastAsia"/>
          <w:sz w:val="20"/>
          <w:szCs w:val="20"/>
          <w:vertAlign w:val="superscript"/>
        </w:rPr>
        <w:t>#</w:t>
      </w:r>
      <w:r>
        <w:rPr>
          <w:rFonts w:ascii="Times New Roman" w:hAnsi="Times New Roman" w:cs="Times New Roman" w:hint="eastAsia"/>
          <w:sz w:val="20"/>
          <w:szCs w:val="20"/>
        </w:rPr>
        <w:t>p&gt;0.05 and *p&lt;0.0</w:t>
      </w:r>
      <w:r>
        <w:rPr>
          <w:rFonts w:ascii="Times New Roman" w:hAnsi="Times New Roman" w:cs="Times New Roman" w:hint="eastAsia"/>
          <w:sz w:val="20"/>
          <w:szCs w:val="20"/>
        </w:rPr>
        <w:t>5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EE290E" w:rsidRPr="00EE29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1748" w14:textId="77777777" w:rsidR="004E45AD" w:rsidRDefault="004E45AD" w:rsidP="00EE290E">
      <w:pPr>
        <w:rPr>
          <w:rFonts w:hint="eastAsia"/>
        </w:rPr>
      </w:pPr>
      <w:r>
        <w:separator/>
      </w:r>
    </w:p>
  </w:endnote>
  <w:endnote w:type="continuationSeparator" w:id="0">
    <w:p w14:paraId="6F0D2D45" w14:textId="77777777" w:rsidR="004E45AD" w:rsidRDefault="004E45AD" w:rsidP="00EE29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BBDB" w14:textId="77777777" w:rsidR="004E45AD" w:rsidRDefault="004E45AD" w:rsidP="00EE290E">
      <w:pPr>
        <w:rPr>
          <w:rFonts w:hint="eastAsia"/>
        </w:rPr>
      </w:pPr>
      <w:r>
        <w:separator/>
      </w:r>
    </w:p>
  </w:footnote>
  <w:footnote w:type="continuationSeparator" w:id="0">
    <w:p w14:paraId="44C63207" w14:textId="77777777" w:rsidR="004E45AD" w:rsidRDefault="004E45AD" w:rsidP="00EE29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C9C"/>
    <w:rsid w:val="0004231A"/>
    <w:rsid w:val="000563DF"/>
    <w:rsid w:val="003741A9"/>
    <w:rsid w:val="003A7A5C"/>
    <w:rsid w:val="003B6143"/>
    <w:rsid w:val="003E4FCF"/>
    <w:rsid w:val="00454C9F"/>
    <w:rsid w:val="00455297"/>
    <w:rsid w:val="004E45AD"/>
    <w:rsid w:val="005718FC"/>
    <w:rsid w:val="005C1C9C"/>
    <w:rsid w:val="00627865"/>
    <w:rsid w:val="007C06D9"/>
    <w:rsid w:val="008344A0"/>
    <w:rsid w:val="009432DD"/>
    <w:rsid w:val="0098796F"/>
    <w:rsid w:val="00A150B4"/>
    <w:rsid w:val="00AD5CB2"/>
    <w:rsid w:val="00AE78F9"/>
    <w:rsid w:val="00BC1ED2"/>
    <w:rsid w:val="00BD3FB7"/>
    <w:rsid w:val="00BE04EB"/>
    <w:rsid w:val="00C17D1C"/>
    <w:rsid w:val="00CB62CF"/>
    <w:rsid w:val="00D74A89"/>
    <w:rsid w:val="00DB6A08"/>
    <w:rsid w:val="00E4188D"/>
    <w:rsid w:val="00E90563"/>
    <w:rsid w:val="00EE290E"/>
    <w:rsid w:val="00F5771A"/>
    <w:rsid w:val="00F9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4B8A62"/>
  <w14:defaultImageDpi w14:val="32767"/>
  <w15:chartTrackingRefBased/>
  <w15:docId w15:val="{BA7C9D0D-14A9-48F7-927D-133E9134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1C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9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9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9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1C9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1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1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1C9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1C9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C1C9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1C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1C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1C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1C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C1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C1C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1C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C1C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1C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1C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1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C1C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1C9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E29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E29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E2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E29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2025-05-14T08:09:00Z</dcterms:created>
  <dcterms:modified xsi:type="dcterms:W3CDTF">2025-06-19T01:54:00Z</dcterms:modified>
</cp:coreProperties>
</file>