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FE40F" w14:textId="77777777" w:rsidR="00FC476D" w:rsidRDefault="00FC476D">
      <w:bookmarkStart w:id="0" w:name="_GoBack"/>
      <w:bookmarkEnd w:id="0"/>
    </w:p>
    <w:p w14:paraId="0E4D0CE9" w14:textId="7A2C8D3C" w:rsidR="00FC476D" w:rsidRDefault="005E0246">
      <w:r>
        <w:rPr>
          <w:noProof/>
          <w:lang w:eastAsia="en-US"/>
        </w:rPr>
        <w:drawing>
          <wp:inline distT="0" distB="0" distL="0" distR="0" wp14:anchorId="1A332F5C" wp14:editId="23288EE3">
            <wp:extent cx="5274310" cy="2966720"/>
            <wp:effectExtent l="0" t="0" r="2540" b="5080"/>
            <wp:docPr id="5907994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99495" name="图片 5907994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50B0E" w14:textId="77777777" w:rsidR="00FC476D" w:rsidRDefault="00C6722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 S</w:t>
      </w:r>
      <w:r>
        <w:rPr>
          <w:rFonts w:ascii="Times New Roman" w:hAnsi="Times New Roman" w:hint="eastAsia"/>
          <w:b/>
          <w:bCs/>
        </w:rPr>
        <w:t>1</w:t>
      </w:r>
      <w:r>
        <w:rPr>
          <w:rFonts w:ascii="Times New Roman" w:hAnsi="Times New Roman"/>
          <w:b/>
          <w:bCs/>
        </w:rPr>
        <w:t xml:space="preserve">. </w:t>
      </w:r>
      <w:r>
        <w:rPr>
          <w:rFonts w:ascii="Times New Roman" w:hAnsi="Times New Roman" w:hint="eastAsia"/>
        </w:rPr>
        <w:t xml:space="preserve">Western blot analysis of NLRP3, </w:t>
      </w:r>
      <w:proofErr w:type="spellStart"/>
      <w:r>
        <w:rPr>
          <w:rFonts w:ascii="Times New Roman" w:hAnsi="Times New Roman" w:hint="eastAsia"/>
        </w:rPr>
        <w:t>iNOS</w:t>
      </w:r>
      <w:proofErr w:type="spellEnd"/>
      <w:r>
        <w:rPr>
          <w:rFonts w:ascii="Times New Roman" w:hAnsi="Times New Roman" w:hint="eastAsia"/>
        </w:rPr>
        <w:t xml:space="preserve"> (M1 marker), and Arg1 (M2 marker) expression in inflammatory cells collected from subcutaneous sponge implants in WT and Nlrp3</w:t>
      </w:r>
      <w:r>
        <w:rPr>
          <w:rFonts w:ascii="Times New Roman" w:hAnsi="Times New Roman" w:hint="eastAsia"/>
          <w:b/>
          <w:bCs/>
          <w:vertAlign w:val="superscript"/>
        </w:rPr>
        <w:t>-/-</w:t>
      </w:r>
      <w:r>
        <w:rPr>
          <w:rFonts w:ascii="Times New Roman" w:hAnsi="Times New Roman" w:hint="eastAsia"/>
        </w:rPr>
        <w:t> mice at days 3 and 7 post</w:t>
      </w:r>
      <w:r>
        <w:rPr>
          <w:rFonts w:ascii="Times New Roman" w:hAnsi="Times New Roman" w:hint="eastAsia"/>
        </w:rPr>
        <w:noBreakHyphen/>
        <w:t>implantation. </w:t>
      </w:r>
      <w:r>
        <w:rPr>
          <w:rFonts w:ascii="Times New Roman" w:hAnsi="Times New Roman" w:cs="Times New Roman"/>
        </w:rPr>
        <w:t>β</w:t>
      </w:r>
      <w:r>
        <w:rPr>
          <w:rFonts w:ascii="Times New Roman" w:hAnsi="Times New Roman" w:hint="eastAsia"/>
        </w:rPr>
        <w:noBreakHyphen/>
        <w:t xml:space="preserve">actin served as loading control. Quantification is shown below. Data are mean </w:t>
      </w:r>
      <w:r w:rsidRPr="005E0246">
        <w:rPr>
          <w:rFonts w:ascii="Times New Roman" w:hAnsi="Times New Roman" w:cs="Times New Roman"/>
        </w:rPr>
        <w:t xml:space="preserve">± </w:t>
      </w:r>
      <w:r>
        <w:rPr>
          <w:rFonts w:ascii="Times New Roman" w:hAnsi="Times New Roman" w:hint="eastAsia"/>
        </w:rPr>
        <w:t>SD,</w:t>
      </w:r>
      <w:r>
        <w:rPr>
          <w:rFonts w:ascii="Times New Roman" w:hAnsi="Times New Roman" w:hint="eastAsia"/>
        </w:rPr>
        <w:t> n = 3.  ns, not significant; 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>&lt;0.05, 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>&lt;0.01,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&lt;0.001 vs. WT. </w:t>
      </w:r>
    </w:p>
    <w:p w14:paraId="1FB5EBB5" w14:textId="77777777" w:rsidR="00FC476D" w:rsidRDefault="00FC476D"/>
    <w:p w14:paraId="37FA56B7" w14:textId="77777777" w:rsidR="005E0246" w:rsidRDefault="005E0246"/>
    <w:p w14:paraId="6163B862" w14:textId="77777777" w:rsidR="005E0246" w:rsidRDefault="005E0246"/>
    <w:p w14:paraId="6AE54335" w14:textId="77777777" w:rsidR="005E0246" w:rsidRDefault="005E0246"/>
    <w:p w14:paraId="3AC7A486" w14:textId="77777777" w:rsidR="005E0246" w:rsidRDefault="005E0246"/>
    <w:p w14:paraId="41476E17" w14:textId="77777777" w:rsidR="005E0246" w:rsidRDefault="005E0246"/>
    <w:p w14:paraId="6B2E82DA" w14:textId="77777777" w:rsidR="005E0246" w:rsidRDefault="005E0246"/>
    <w:p w14:paraId="38E7819A" w14:textId="77777777" w:rsidR="005E0246" w:rsidRDefault="005E0246"/>
    <w:p w14:paraId="22985C01" w14:textId="77777777" w:rsidR="005E0246" w:rsidRDefault="005E0246"/>
    <w:p w14:paraId="24C1AAEE" w14:textId="77777777" w:rsidR="005E0246" w:rsidRDefault="005E0246"/>
    <w:p w14:paraId="21204D81" w14:textId="47F78471" w:rsidR="00FC476D" w:rsidRDefault="005E0246">
      <w:r>
        <w:rPr>
          <w:noProof/>
          <w:lang w:eastAsia="en-US"/>
        </w:rPr>
        <w:lastRenderedPageBreak/>
        <w:drawing>
          <wp:inline distT="0" distB="0" distL="0" distR="0" wp14:anchorId="7DA0B3E5" wp14:editId="1584CFE7">
            <wp:extent cx="5274310" cy="2966720"/>
            <wp:effectExtent l="0" t="0" r="2540" b="5080"/>
            <wp:docPr id="13547083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08364" name="图片 135470836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A2407" w14:textId="0745AF97" w:rsidR="00FC476D" w:rsidRDefault="00C6722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 S</w:t>
      </w:r>
      <w:r>
        <w:rPr>
          <w:rFonts w:ascii="Times New Roman" w:hAnsi="Times New Roman" w:hint="eastAsia"/>
          <w:b/>
          <w:bCs/>
        </w:rPr>
        <w:t>2</w:t>
      </w:r>
      <w:r>
        <w:rPr>
          <w:rFonts w:ascii="Times New Roman" w:hAnsi="Times New Roman"/>
          <w:b/>
          <w:bCs/>
        </w:rPr>
        <w:t>. Representative flow cytometry gating strategy for M1/M2 macrophage polarization analysis.</w:t>
      </w:r>
    </w:p>
    <w:p w14:paraId="0A551C67" w14:textId="77777777" w:rsidR="00FC476D" w:rsidRDefault="00C6722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Cells were first gated on forward scatter (FSC) and side scatter (SSC) to </w:t>
      </w:r>
      <w:r>
        <w:rPr>
          <w:rFonts w:ascii="Times New Roman" w:hAnsi="Times New Roman"/>
        </w:rPr>
        <w:t>exclude debris, followed by doublet discrimination and selection of live cells using a viability dye. Macrophages were identified based on specific markers (e.g., F4/80⁺ and CD11b⁺). M1 and M2 polarization were evaluated using markers such as CD86 for M1 a</w:t>
      </w:r>
      <w:r>
        <w:rPr>
          <w:rFonts w:ascii="Times New Roman" w:hAnsi="Times New Roman"/>
        </w:rPr>
        <w:t>nd CD206 for M2. Data in the corresponding main figure (Figure 5N) were obtained using this gating strategy.</w:t>
      </w:r>
    </w:p>
    <w:p w14:paraId="1ACB346F" w14:textId="77777777" w:rsidR="005E0246" w:rsidRDefault="005E0246">
      <w:pPr>
        <w:rPr>
          <w:rFonts w:ascii="Times New Roman" w:hAnsi="Times New Roman"/>
        </w:rPr>
      </w:pPr>
    </w:p>
    <w:p w14:paraId="2BD12E98" w14:textId="77777777" w:rsidR="005E0246" w:rsidRDefault="005E0246">
      <w:pPr>
        <w:rPr>
          <w:rFonts w:ascii="Times New Roman" w:hAnsi="Times New Roman"/>
        </w:rPr>
      </w:pPr>
    </w:p>
    <w:p w14:paraId="64B8AA0F" w14:textId="77777777" w:rsidR="005E0246" w:rsidRDefault="005E0246">
      <w:pPr>
        <w:rPr>
          <w:rFonts w:ascii="Times New Roman" w:hAnsi="Times New Roman"/>
        </w:rPr>
      </w:pPr>
    </w:p>
    <w:p w14:paraId="6F4EF611" w14:textId="77777777" w:rsidR="005E0246" w:rsidRDefault="005E0246">
      <w:pPr>
        <w:rPr>
          <w:rFonts w:ascii="Times New Roman" w:hAnsi="Times New Roman"/>
        </w:rPr>
      </w:pPr>
    </w:p>
    <w:p w14:paraId="7668FC8A" w14:textId="77777777" w:rsidR="005E0246" w:rsidRDefault="005E0246">
      <w:pPr>
        <w:rPr>
          <w:rFonts w:ascii="Times New Roman" w:hAnsi="Times New Roman"/>
        </w:rPr>
      </w:pPr>
    </w:p>
    <w:p w14:paraId="7114900F" w14:textId="77777777" w:rsidR="005E0246" w:rsidRDefault="005E0246">
      <w:pPr>
        <w:rPr>
          <w:rFonts w:ascii="Times New Roman" w:hAnsi="Times New Roman"/>
        </w:rPr>
      </w:pPr>
    </w:p>
    <w:p w14:paraId="171212F0" w14:textId="77777777" w:rsidR="005E0246" w:rsidRDefault="005E0246">
      <w:pPr>
        <w:rPr>
          <w:rFonts w:ascii="Times New Roman" w:hAnsi="Times New Roman"/>
        </w:rPr>
      </w:pPr>
    </w:p>
    <w:p w14:paraId="1833C7CD" w14:textId="77777777" w:rsidR="005E0246" w:rsidRDefault="005E0246"/>
    <w:p w14:paraId="7968280C" w14:textId="61284489" w:rsidR="00FC476D" w:rsidRDefault="00C67220">
      <w:pPr>
        <w:rPr>
          <w:rFonts w:ascii="Times New Roman" w:hAnsi="Times New Roman"/>
          <w:b/>
          <w:bCs/>
        </w:rPr>
      </w:pPr>
      <w:r>
        <w:rPr>
          <w:noProof/>
          <w:lang w:eastAsia="en-US"/>
        </w:rPr>
        <w:lastRenderedPageBreak/>
        <w:drawing>
          <wp:inline distT="0" distB="0" distL="0" distR="0" wp14:anchorId="3B9487C0" wp14:editId="4C2892E9">
            <wp:extent cx="5274310" cy="2966720"/>
            <wp:effectExtent l="0" t="0" r="2540" b="5080"/>
            <wp:docPr id="118286980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69801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b/>
          <w:bCs/>
        </w:rPr>
        <w:t>Figure S3. NLRP3 expression modulates M-CSF and PMA-induced monocyte-to-macrophage differentiation.</w:t>
      </w:r>
    </w:p>
    <w:p w14:paraId="2BD55576" w14:textId="77777777" w:rsidR="00FC476D" w:rsidRDefault="00C67220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(A) Flow cytometry analysis of CD14+ </w:t>
      </w:r>
      <w:r>
        <w:rPr>
          <w:rFonts w:ascii="Times New Roman" w:hAnsi="Times New Roman" w:hint="eastAsia"/>
        </w:rPr>
        <w:t>cell percentage in M-CSF-induced NLRP3-knockout THP-1 cells. Statistical significance versus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0.001; versus THP-1+M-CSF group: #</w:t>
      </w:r>
      <w:r>
        <w:rPr>
          <w:rFonts w:ascii="Times New Roman" w:hAnsi="Times New Roman" w:hint="eastAsia"/>
          <w:i/>
          <w:iCs/>
        </w:rPr>
        <w:t xml:space="preserve">p </w:t>
      </w:r>
      <w:r>
        <w:rPr>
          <w:rFonts w:ascii="Times New Roman" w:hAnsi="Times New Roman" w:hint="eastAsia"/>
        </w:rPr>
        <w:t>&lt; 0.05. (B) Flow cytometry analysis of CD14+ cell percentage in M-CSF-induced NLRP3-overexpressing THP-1 cell</w:t>
      </w:r>
      <w:r>
        <w:rPr>
          <w:rFonts w:ascii="Times New Roman" w:hAnsi="Times New Roman" w:hint="eastAsia"/>
        </w:rPr>
        <w:t>s. Statistical significance versus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0.001; versus THP-1+M-CSF group: ###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0.001. (C) Flow cytometry analysis of CD14+ cell percentage in M-CSF-induced NLRP3-knockout U937 cells. Statistical significance versus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0.001; ve</w:t>
      </w:r>
      <w:r>
        <w:rPr>
          <w:rFonts w:ascii="Times New Roman" w:hAnsi="Times New Roman" w:hint="eastAsia"/>
        </w:rPr>
        <w:t>rsus U937+M-CSF group: ##</w:t>
      </w:r>
      <w:r>
        <w:rPr>
          <w:rFonts w:ascii="Times New Roman" w:hAnsi="Times New Roman" w:hint="eastAsia"/>
          <w:i/>
          <w:iCs/>
        </w:rPr>
        <w:t xml:space="preserve">p </w:t>
      </w:r>
      <w:r>
        <w:rPr>
          <w:rFonts w:ascii="Times New Roman" w:hAnsi="Times New Roman" w:hint="eastAsia"/>
        </w:rPr>
        <w:t>&lt; 0.01. (D) Flow cytometry analysis of CD14+ cell percentage in M-CSF-induced NLRP3-overexpressing U937 cells. Statistical significance versus CON group: ***</w:t>
      </w:r>
      <w:r>
        <w:rPr>
          <w:rFonts w:ascii="Times New Roman" w:hAnsi="Times New Roman" w:hint="eastAsia"/>
          <w:i/>
          <w:iCs/>
        </w:rPr>
        <w:t xml:space="preserve">p </w:t>
      </w:r>
      <w:r>
        <w:rPr>
          <w:rFonts w:ascii="Times New Roman" w:hAnsi="Times New Roman" w:hint="eastAsia"/>
        </w:rPr>
        <w:t>&lt; 0.001. (E) Phase-contrast microscopy images showing adherent cell mo</w:t>
      </w:r>
      <w:r>
        <w:rPr>
          <w:rFonts w:ascii="Times New Roman" w:hAnsi="Times New Roman" w:hint="eastAsia"/>
        </w:rPr>
        <w:t xml:space="preserve">rphology of PMA-induced THP-1 cells with differential NLRP3 expression after 48h treatment. Scale bar: 50 </w:t>
      </w:r>
      <w:proofErr w:type="spellStart"/>
      <w:r>
        <w:rPr>
          <w:rFonts w:ascii="Times New Roman" w:hAnsi="Times New Roman" w:cs="Times New Roman"/>
        </w:rPr>
        <w:t>μ</w:t>
      </w:r>
      <w:r>
        <w:rPr>
          <w:rFonts w:ascii="Times New Roman" w:hAnsi="Times New Roman" w:hint="eastAsia"/>
        </w:rPr>
        <w:t>m</w:t>
      </w:r>
      <w:proofErr w:type="spellEnd"/>
      <w:r>
        <w:rPr>
          <w:rFonts w:ascii="Times New Roman" w:hAnsi="Times New Roman" w:hint="eastAsia"/>
        </w:rPr>
        <w:t>. (F) Phase-contrast microscopy images showing adherent cell morphology of PMA-induced U937 cells with differential NLRP3 expression after 48h treat</w:t>
      </w:r>
      <w:r>
        <w:rPr>
          <w:rFonts w:ascii="Times New Roman" w:hAnsi="Times New Roman" w:hint="eastAsia"/>
        </w:rPr>
        <w:t xml:space="preserve">ment. Scale bar: 50 </w:t>
      </w:r>
      <w:proofErr w:type="spellStart"/>
      <w:r>
        <w:rPr>
          <w:rFonts w:ascii="Times New Roman" w:hAnsi="Times New Roman" w:cs="Times New Roman"/>
        </w:rPr>
        <w:t>μ</w:t>
      </w:r>
      <w:r>
        <w:rPr>
          <w:rFonts w:ascii="Times New Roman" w:hAnsi="Times New Roman" w:hint="eastAsia"/>
        </w:rPr>
        <w:t>m</w:t>
      </w:r>
      <w:proofErr w:type="spellEnd"/>
      <w:r>
        <w:rPr>
          <w:rFonts w:ascii="Times New Roman" w:hAnsi="Times New Roman" w:hint="eastAsia"/>
        </w:rPr>
        <w:t>. (G) Flow cytometry analysis of CD14+ cell percentage in PMA-induced THP-1 cells with differential NLRP3 expression. Statistical significance versus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0.001; versus THP-1+PMA group: ###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0.001. (H) Flow cytometry an</w:t>
      </w:r>
      <w:r>
        <w:rPr>
          <w:rFonts w:ascii="Times New Roman" w:hAnsi="Times New Roman" w:hint="eastAsia"/>
        </w:rPr>
        <w:t>alysis of CD14+ cell percentage in PMA-induced U937 cells with differential NLRP3 expression. Statistical significance versus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0.001; versus U937+PMA group: 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0.05, 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0.01.</w:t>
      </w:r>
    </w:p>
    <w:p w14:paraId="323C6882" w14:textId="77777777" w:rsidR="00FC476D" w:rsidRDefault="00FC476D">
      <w:pPr>
        <w:rPr>
          <w:rFonts w:ascii="Times New Roman" w:hAnsi="Times New Roman"/>
        </w:rPr>
      </w:pPr>
    </w:p>
    <w:p w14:paraId="5282187F" w14:textId="77777777" w:rsidR="00FC476D" w:rsidRDefault="00C67220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4B98DD65" wp14:editId="427242FC">
            <wp:extent cx="5274310" cy="2966720"/>
            <wp:effectExtent l="0" t="0" r="2540" b="5080"/>
            <wp:docPr id="34403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323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8EBC" w14:textId="2C6731B8" w:rsidR="00FC476D" w:rsidRDefault="00C67220">
      <w:pPr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t>Figure S4. EGR2 regulates monocyte-to-macrophage differe</w:t>
      </w:r>
      <w:r>
        <w:rPr>
          <w:rFonts w:ascii="Times New Roman" w:hAnsi="Times New Roman" w:hint="eastAsia"/>
          <w:b/>
          <w:bCs/>
        </w:rPr>
        <w:t>ntiation induced by M-CSF and PMA.</w:t>
      </w:r>
    </w:p>
    <w:p w14:paraId="6B5AB0E4" w14:textId="77777777" w:rsidR="00FC476D" w:rsidRDefault="00C67220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(A) Flow cytometry analysis of CD14+ cells in M-CSF-induced EGR2-knockdown THP-1 cells. (B) Flow cytometry analysis of CD14+ cells in M-CSF-induced EGR2-overexpressing THP-1 cells. (C) Flow cytometry analysis of CD14+ cel</w:t>
      </w:r>
      <w:r>
        <w:rPr>
          <w:rFonts w:ascii="Times New Roman" w:hAnsi="Times New Roman" w:hint="eastAsia"/>
        </w:rPr>
        <w:t xml:space="preserve">ls in M-CSF-induced EGR2-knockdown U937 cells. (D) Flow cytometry analysis of CD14+ cells in M-CSF-induced EGR2-overexpressing U937 cells. (E) Phase-contrast microscopy of PMA-induced THP-1 cells with differential EGR2 expression (48h). (F) Phase-contrast </w:t>
      </w:r>
      <w:r>
        <w:rPr>
          <w:rFonts w:ascii="Times New Roman" w:hAnsi="Times New Roman" w:hint="eastAsia"/>
        </w:rPr>
        <w:t>microscopy of PMA-induced U937 cells with differential EGR2 expression (48h). (G) Flow cytometry analysis of CD14+ cells in PMA-induced THP-1 cells with differential EGR2 expression. (H) Flow cytometry analysis of CD14+ cells in PMA-induced U937 cells with</w:t>
      </w:r>
      <w:r>
        <w:rPr>
          <w:rFonts w:ascii="Times New Roman" w:hAnsi="Times New Roman" w:hint="eastAsia"/>
        </w:rPr>
        <w:t xml:space="preserve"> differential EGR2 expression. Statistical significance: vs CON group: ***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0.001, vs THP-1+M-CSF: 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0.05, ###</w:t>
      </w:r>
      <w:r>
        <w:rPr>
          <w:rFonts w:ascii="Times New Roman" w:hAnsi="Times New Roman" w:hint="eastAsia"/>
          <w:i/>
          <w:iCs/>
        </w:rPr>
        <w:t xml:space="preserve">p </w:t>
      </w:r>
      <w:r>
        <w:rPr>
          <w:rFonts w:ascii="Times New Roman" w:hAnsi="Times New Roman" w:hint="eastAsia"/>
        </w:rPr>
        <w:t>&lt; 0.001, vs U937+M-CSF: 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0.01, ###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0.001, vs THP-1+PMA: 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0.05, vs U937+PMA: 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0.05, ###</w:t>
      </w:r>
      <w:r>
        <w:rPr>
          <w:rFonts w:ascii="Times New Roman" w:hAnsi="Times New Roman" w:hint="eastAsia"/>
          <w:i/>
          <w:iCs/>
        </w:rPr>
        <w:t>p</w:t>
      </w:r>
      <w:r>
        <w:rPr>
          <w:rFonts w:ascii="Times New Roman" w:hAnsi="Times New Roman" w:hint="eastAsia"/>
        </w:rPr>
        <w:t xml:space="preserve"> &lt; 0.001.</w:t>
      </w:r>
    </w:p>
    <w:p w14:paraId="1140F891" w14:textId="77777777" w:rsidR="00FC476D" w:rsidRDefault="00FC476D">
      <w:pPr>
        <w:rPr>
          <w:rFonts w:ascii="Times New Roman" w:hAnsi="Times New Roman"/>
        </w:rPr>
      </w:pPr>
    </w:p>
    <w:p w14:paraId="048C8F26" w14:textId="77777777" w:rsidR="00FC476D" w:rsidRDefault="00FC476D"/>
    <w:p w14:paraId="1F5C4853" w14:textId="77777777" w:rsidR="00FC476D" w:rsidRDefault="00FC476D"/>
    <w:p w14:paraId="324F4F60" w14:textId="77777777" w:rsidR="00FC476D" w:rsidRDefault="00FC476D"/>
    <w:p w14:paraId="27A4EAB2" w14:textId="77777777" w:rsidR="00FC476D" w:rsidRDefault="00FC476D">
      <w:pPr>
        <w:rPr>
          <w:rFonts w:ascii="Times New Roman" w:hAnsi="Times New Roman" w:cs="Times New Roman"/>
        </w:rPr>
      </w:pPr>
    </w:p>
    <w:p w14:paraId="7CCC79D0" w14:textId="77777777" w:rsidR="00FC476D" w:rsidRDefault="00FC476D">
      <w:pPr>
        <w:rPr>
          <w:rFonts w:ascii="Times New Roman" w:hAnsi="Times New Roman" w:cs="Times New Roman"/>
        </w:rPr>
      </w:pPr>
    </w:p>
    <w:sectPr w:rsidR="00FC4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A92835"/>
    <w:multiLevelType w:val="singleLevel"/>
    <w:tmpl w:val="90A92835"/>
    <w:lvl w:ilvl="0">
      <w:start w:val="1"/>
      <w:numFmt w:val="decimal"/>
      <w:suff w:val="space"/>
      <w:lvlText w:val="%1."/>
      <w:lvlJc w:val="left"/>
    </w:lvl>
  </w:abstractNum>
  <w:abstractNum w:abstractNumId="1">
    <w:nsid w:val="B3ED87DE"/>
    <w:multiLevelType w:val="singleLevel"/>
    <w:tmpl w:val="B3ED87DE"/>
    <w:lvl w:ilvl="0">
      <w:start w:val="1"/>
      <w:numFmt w:val="upperLetter"/>
      <w:lvlText w:val="(%1)"/>
      <w:lvlJc w:val="left"/>
      <w:pPr>
        <w:tabs>
          <w:tab w:val="left" w:pos="312"/>
        </w:tabs>
      </w:pPr>
    </w:lvl>
  </w:abstractNum>
  <w:abstractNum w:abstractNumId="2">
    <w:nsid w:val="0E2F367F"/>
    <w:multiLevelType w:val="singleLevel"/>
    <w:tmpl w:val="0E2F367F"/>
    <w:lvl w:ilvl="0">
      <w:start w:val="3"/>
      <w:numFmt w:val="decimal"/>
      <w:suff w:val="space"/>
      <w:lvlText w:val="%1."/>
      <w:lvlJc w:val="left"/>
    </w:lvl>
  </w:abstractNum>
  <w:abstractNum w:abstractNumId="3">
    <w:nsid w:val="4FABD1F8"/>
    <w:multiLevelType w:val="singleLevel"/>
    <w:tmpl w:val="4FABD1F8"/>
    <w:lvl w:ilvl="0">
      <w:start w:val="1"/>
      <w:numFmt w:val="upperLetter"/>
      <w:lvlText w:val="(%1)"/>
      <w:lvlJc w:val="left"/>
      <w:pPr>
        <w:tabs>
          <w:tab w:val="left" w:pos="312"/>
        </w:tabs>
      </w:pPr>
    </w:lvl>
  </w:abstractNum>
  <w:abstractNum w:abstractNumId="4">
    <w:nsid w:val="7DD74B32"/>
    <w:multiLevelType w:val="singleLevel"/>
    <w:tmpl w:val="7DD74B32"/>
    <w:lvl w:ilvl="0">
      <w:start w:val="4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p5fsf0pb5ve5fedtrlpexsbx29ptd9f50dt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1&lt;/item&gt;&lt;item&gt;22&lt;/item&gt;&lt;item&gt;23&lt;/item&gt;&lt;item&gt;26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/record-ids&gt;&lt;/item&gt;&lt;/Libraries&gt;"/>
  </w:docVars>
  <w:rsids>
    <w:rsidRoot w:val="005A3636"/>
    <w:rsid w:val="00004D3E"/>
    <w:rsid w:val="0000529B"/>
    <w:rsid w:val="000555AA"/>
    <w:rsid w:val="00057028"/>
    <w:rsid w:val="000576BC"/>
    <w:rsid w:val="000918B4"/>
    <w:rsid w:val="000B3730"/>
    <w:rsid w:val="000C3C2D"/>
    <w:rsid w:val="000E352D"/>
    <w:rsid w:val="00132592"/>
    <w:rsid w:val="00132A39"/>
    <w:rsid w:val="001935C1"/>
    <w:rsid w:val="00196293"/>
    <w:rsid w:val="001C5944"/>
    <w:rsid w:val="001C5BC8"/>
    <w:rsid w:val="001C66CA"/>
    <w:rsid w:val="001E7710"/>
    <w:rsid w:val="00216729"/>
    <w:rsid w:val="00226E73"/>
    <w:rsid w:val="00251F5B"/>
    <w:rsid w:val="00291FBB"/>
    <w:rsid w:val="002D1910"/>
    <w:rsid w:val="00305D14"/>
    <w:rsid w:val="00307B3C"/>
    <w:rsid w:val="003773D5"/>
    <w:rsid w:val="00391102"/>
    <w:rsid w:val="00397C10"/>
    <w:rsid w:val="003D174B"/>
    <w:rsid w:val="003D403A"/>
    <w:rsid w:val="00416E34"/>
    <w:rsid w:val="00440211"/>
    <w:rsid w:val="00453445"/>
    <w:rsid w:val="00453F41"/>
    <w:rsid w:val="00454EBC"/>
    <w:rsid w:val="004A0C50"/>
    <w:rsid w:val="004C03B8"/>
    <w:rsid w:val="004D172D"/>
    <w:rsid w:val="004E7C3F"/>
    <w:rsid w:val="00560D32"/>
    <w:rsid w:val="005772EC"/>
    <w:rsid w:val="00586270"/>
    <w:rsid w:val="00587FD8"/>
    <w:rsid w:val="005A13D2"/>
    <w:rsid w:val="005A3636"/>
    <w:rsid w:val="005B7747"/>
    <w:rsid w:val="005D316F"/>
    <w:rsid w:val="005E0246"/>
    <w:rsid w:val="006440B2"/>
    <w:rsid w:val="00651BD2"/>
    <w:rsid w:val="00690A9F"/>
    <w:rsid w:val="006A72E6"/>
    <w:rsid w:val="006E30E0"/>
    <w:rsid w:val="006F5775"/>
    <w:rsid w:val="007105D7"/>
    <w:rsid w:val="007163D6"/>
    <w:rsid w:val="00734413"/>
    <w:rsid w:val="007402BA"/>
    <w:rsid w:val="007C540A"/>
    <w:rsid w:val="007F4324"/>
    <w:rsid w:val="007F5DE8"/>
    <w:rsid w:val="00847782"/>
    <w:rsid w:val="00881B05"/>
    <w:rsid w:val="008976AD"/>
    <w:rsid w:val="008A25EA"/>
    <w:rsid w:val="008D4645"/>
    <w:rsid w:val="00901BB9"/>
    <w:rsid w:val="00910A2B"/>
    <w:rsid w:val="00957311"/>
    <w:rsid w:val="00967500"/>
    <w:rsid w:val="00970BB0"/>
    <w:rsid w:val="009C394A"/>
    <w:rsid w:val="009C7911"/>
    <w:rsid w:val="009E5E2B"/>
    <w:rsid w:val="00A11B5D"/>
    <w:rsid w:val="00A22502"/>
    <w:rsid w:val="00A36426"/>
    <w:rsid w:val="00A7797F"/>
    <w:rsid w:val="00A80B81"/>
    <w:rsid w:val="00A919FF"/>
    <w:rsid w:val="00B25D00"/>
    <w:rsid w:val="00BA3161"/>
    <w:rsid w:val="00BC1224"/>
    <w:rsid w:val="00BE6AAE"/>
    <w:rsid w:val="00BF179F"/>
    <w:rsid w:val="00BF2054"/>
    <w:rsid w:val="00C26906"/>
    <w:rsid w:val="00C639F3"/>
    <w:rsid w:val="00C67220"/>
    <w:rsid w:val="00C71025"/>
    <w:rsid w:val="00CA4A8A"/>
    <w:rsid w:val="00CB4FE0"/>
    <w:rsid w:val="00CB6F90"/>
    <w:rsid w:val="00D6267D"/>
    <w:rsid w:val="00DB0131"/>
    <w:rsid w:val="00DC738C"/>
    <w:rsid w:val="00DD2041"/>
    <w:rsid w:val="00DE3310"/>
    <w:rsid w:val="00DF0BCA"/>
    <w:rsid w:val="00DF30FB"/>
    <w:rsid w:val="00E22794"/>
    <w:rsid w:val="00E30B15"/>
    <w:rsid w:val="00E91DEE"/>
    <w:rsid w:val="00EF60D2"/>
    <w:rsid w:val="00F21F08"/>
    <w:rsid w:val="00F31E1F"/>
    <w:rsid w:val="00F55955"/>
    <w:rsid w:val="00F606CE"/>
    <w:rsid w:val="00F8185F"/>
    <w:rsid w:val="00F9112B"/>
    <w:rsid w:val="00F94B01"/>
    <w:rsid w:val="00FB3031"/>
    <w:rsid w:val="00FB3484"/>
    <w:rsid w:val="00FC476D"/>
    <w:rsid w:val="00FD7C95"/>
    <w:rsid w:val="01B446F6"/>
    <w:rsid w:val="028E3199"/>
    <w:rsid w:val="034B482D"/>
    <w:rsid w:val="03B5749B"/>
    <w:rsid w:val="04510321"/>
    <w:rsid w:val="05590905"/>
    <w:rsid w:val="0A423E3D"/>
    <w:rsid w:val="0AEB3CF1"/>
    <w:rsid w:val="0AF02C43"/>
    <w:rsid w:val="0E6D0107"/>
    <w:rsid w:val="0EE31B9F"/>
    <w:rsid w:val="15C01464"/>
    <w:rsid w:val="167728DB"/>
    <w:rsid w:val="17094521"/>
    <w:rsid w:val="17B40B54"/>
    <w:rsid w:val="198F3005"/>
    <w:rsid w:val="1CA14FB7"/>
    <w:rsid w:val="1E2817C0"/>
    <w:rsid w:val="1E4D5B09"/>
    <w:rsid w:val="1EB83BF5"/>
    <w:rsid w:val="1F5D70DB"/>
    <w:rsid w:val="25EE5B79"/>
    <w:rsid w:val="28300EB2"/>
    <w:rsid w:val="2A591FBA"/>
    <w:rsid w:val="31C03428"/>
    <w:rsid w:val="31C068EE"/>
    <w:rsid w:val="31E770C6"/>
    <w:rsid w:val="381C70F3"/>
    <w:rsid w:val="39190B03"/>
    <w:rsid w:val="394D1689"/>
    <w:rsid w:val="3B697D24"/>
    <w:rsid w:val="3CA64951"/>
    <w:rsid w:val="3EAD4EA9"/>
    <w:rsid w:val="3EB968CD"/>
    <w:rsid w:val="3FD9461F"/>
    <w:rsid w:val="4129584A"/>
    <w:rsid w:val="457B64D4"/>
    <w:rsid w:val="45E94130"/>
    <w:rsid w:val="4A013479"/>
    <w:rsid w:val="4B630A51"/>
    <w:rsid w:val="4DE27E92"/>
    <w:rsid w:val="51763CFE"/>
    <w:rsid w:val="51A36171"/>
    <w:rsid w:val="521036D6"/>
    <w:rsid w:val="57821C5F"/>
    <w:rsid w:val="58FE3B36"/>
    <w:rsid w:val="5C074292"/>
    <w:rsid w:val="5EB645C1"/>
    <w:rsid w:val="5F676EF6"/>
    <w:rsid w:val="618B4899"/>
    <w:rsid w:val="619C04C1"/>
    <w:rsid w:val="623B3345"/>
    <w:rsid w:val="65832D55"/>
    <w:rsid w:val="66E04A8F"/>
    <w:rsid w:val="6D2C76F8"/>
    <w:rsid w:val="6EC01D60"/>
    <w:rsid w:val="71D73EA8"/>
    <w:rsid w:val="78E713EC"/>
    <w:rsid w:val="79D55151"/>
    <w:rsid w:val="7B5829EE"/>
    <w:rsid w:val="7B902188"/>
    <w:rsid w:val="7D38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FE2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26E5" w:themeColor="hyperlink"/>
      <w:u w:val="single"/>
    </w:rPr>
  </w:style>
  <w:style w:type="paragraph" w:customStyle="1" w:styleId="a">
    <w:name w:val="摘要小节标题"/>
    <w:basedOn w:val="Normal"/>
    <w:autoRedefine/>
    <w:uiPriority w:val="4"/>
    <w:qFormat/>
    <w:pPr>
      <w:overflowPunct w:val="0"/>
      <w:topLinePunct/>
    </w:pPr>
    <w:rPr>
      <w:rFonts w:ascii="Times New Roman" w:hAnsi="Times New Roman" w:cs="Times New Roman"/>
      <w:b/>
      <w:bCs/>
      <w:sz w:val="24"/>
      <w:szCs w:val="36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libri" w:eastAsiaTheme="minorEastAsia" w:hAnsi="Calibri" w:cs="Calibri"/>
      <w:kern w:val="2"/>
      <w:szCs w:val="24"/>
    </w:rPr>
  </w:style>
  <w:style w:type="character" w:styleId="PlaceholderText">
    <w:name w:val="Placeholder Text"/>
    <w:basedOn w:val="DefaultParagraphFont"/>
    <w:uiPriority w:val="99"/>
    <w:unhideWhenUsed/>
    <w:qFormat/>
    <w:rPr>
      <w:color w:val="666666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BalloonText">
    <w:name w:val="Balloon Text"/>
    <w:basedOn w:val="Normal"/>
    <w:link w:val="BalloonTextChar"/>
    <w:rsid w:val="00C67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220"/>
    <w:rPr>
      <w:rFonts w:ascii="Tahoma" w:eastAsiaTheme="minorEastAsia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26E5" w:themeColor="hyperlink"/>
      <w:u w:val="single"/>
    </w:rPr>
  </w:style>
  <w:style w:type="paragraph" w:customStyle="1" w:styleId="a">
    <w:name w:val="摘要小节标题"/>
    <w:basedOn w:val="Normal"/>
    <w:autoRedefine/>
    <w:uiPriority w:val="4"/>
    <w:qFormat/>
    <w:pPr>
      <w:overflowPunct w:val="0"/>
      <w:topLinePunct/>
    </w:pPr>
    <w:rPr>
      <w:rFonts w:ascii="Times New Roman" w:hAnsi="Times New Roman" w:cs="Times New Roman"/>
      <w:b/>
      <w:bCs/>
      <w:sz w:val="24"/>
      <w:szCs w:val="36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libri" w:eastAsiaTheme="minorEastAsia" w:hAnsi="Calibri" w:cs="Calibri"/>
      <w:kern w:val="2"/>
      <w:szCs w:val="24"/>
    </w:rPr>
  </w:style>
  <w:style w:type="character" w:styleId="PlaceholderText">
    <w:name w:val="Placeholder Text"/>
    <w:basedOn w:val="DefaultParagraphFont"/>
    <w:uiPriority w:val="99"/>
    <w:unhideWhenUsed/>
    <w:qFormat/>
    <w:rPr>
      <w:color w:val="666666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BalloonText">
    <w:name w:val="Balloon Text"/>
    <w:basedOn w:val="Normal"/>
    <w:link w:val="BalloonTextChar"/>
    <w:rsid w:val="00C67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220"/>
    <w:rPr>
      <w:rFonts w:ascii="Tahoma" w:eastAsiaTheme="minorEastAsi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E749633</cp:lastModifiedBy>
  <cp:revision>3</cp:revision>
  <dcterms:created xsi:type="dcterms:W3CDTF">2026-06-20T12:52:00Z</dcterms:created>
  <dcterms:modified xsi:type="dcterms:W3CDTF">2026-07-06T07:39:00Z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6EB81341E6D643BFAF2D41BC146D1615_13</vt:lpwstr>
  </property>
  <property fmtid="{D5CDD505-2E9C-101B-9397-08002B2CF9AE}" pid="4" name="KSOTemplateDocerSaveRecord">
    <vt:lpwstr>eyJoZGlkIjoiMzEwNTM5NzYwMDRjMzkwZTVkZjY2ODkwMGIxNGU0OTUiLCJ1c2VySWQiOiIyMDQ3NTc4NzgifQ==</vt:lpwstr>
  </property>
</Properties>
</file>