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0B631">
      <w:pPr>
        <w:pStyle w:val="9"/>
        <w:jc w:val="both"/>
        <w:rPr>
          <w:i w:val="0"/>
          <w:iCs/>
        </w:rPr>
      </w:pPr>
      <w:bookmarkStart w:id="0" w:name="OLE_LINK24"/>
      <w:r>
        <w:rPr>
          <w:rFonts w:hint="eastAsia"/>
          <w:i w:val="0"/>
          <w:iCs/>
        </w:rPr>
        <w:t xml:space="preserve">Supporting information for    </w:t>
      </w:r>
    </w:p>
    <w:bookmarkEnd w:id="0"/>
    <w:p w14:paraId="18E6093B">
      <w:pPr>
        <w:pStyle w:val="9"/>
        <w:rPr>
          <w:rFonts w:hint="default"/>
          <w:i w:val="0"/>
          <w:iCs/>
          <w:lang w:val="en"/>
        </w:rPr>
      </w:pPr>
      <w:r>
        <w:rPr>
          <w:rFonts w:hint="default"/>
          <w:i w:val="0"/>
          <w:iCs/>
          <w:lang w:val="en"/>
        </w:rPr>
        <w:t>Targeting Sphingosine-1-Phosphate Receptor 2 Attenuates clonorchis sinensis-Induced hepatobiliary injury</w:t>
      </w:r>
    </w:p>
    <w:p w14:paraId="4D6445EE">
      <w:pPr>
        <w:pStyle w:val="5"/>
      </w:pPr>
    </w:p>
    <w:p w14:paraId="5E1E54AB">
      <w:pPr>
        <w:pStyle w:val="9"/>
        <w:rPr>
          <w:b w:val="0"/>
        </w:rPr>
      </w:pPr>
      <w:r>
        <w:t>Supplementary Material</w:t>
      </w:r>
    </w:p>
    <w:p w14:paraId="32BB70B7">
      <w:pPr>
        <w:spacing w:before="100" w:beforeAutospacing="1" w:after="100" w:afterAutospacing="1"/>
        <w:jc w:val="both"/>
        <w:rPr>
          <w:rFonts w:ascii="Times New Roman" w:hAnsi="Times New Roman" w:eastAsia="Cambria" w:cs="Times New Roman"/>
          <w:b/>
          <w:sz w:val="24"/>
          <w:szCs w:val="24"/>
          <w:lang w:val="en-US" w:eastAsia="en-US" w:bidi="ar-SA"/>
        </w:rPr>
      </w:pPr>
      <w:bookmarkStart w:id="1" w:name="OLE_LINK3"/>
      <w:r>
        <w:rPr>
          <w:rFonts w:ascii="Times New Roman" w:hAnsi="Times New Roman" w:eastAsia="Cambria" w:cs="Times New Roman"/>
          <w:b/>
          <w:sz w:val="24"/>
          <w:szCs w:val="24"/>
          <w:lang w:val="en-US" w:eastAsia="en-US" w:bidi="ar-SA"/>
        </w:rPr>
        <w:t>Supplementary</w:t>
      </w:r>
      <w:r>
        <w:rPr>
          <w:rFonts w:hint="eastAsia" w:eastAsia="宋体" w:cs="Times New Roman"/>
          <w:b/>
          <w:sz w:val="24"/>
          <w:szCs w:val="24"/>
          <w:lang w:val="en-US" w:eastAsia="zh-CN" w:bidi="ar-SA"/>
        </w:rPr>
        <w:t xml:space="preserve"> </w:t>
      </w:r>
      <w:r>
        <w:rPr>
          <w:rFonts w:ascii="Times New Roman" w:hAnsi="Times New Roman" w:eastAsia="Cambria" w:cs="Times New Roman"/>
          <w:b/>
          <w:sz w:val="24"/>
          <w:szCs w:val="24"/>
          <w:lang w:val="en-US" w:eastAsia="en-US" w:bidi="ar-SA"/>
        </w:rPr>
        <w:t>Table</w:t>
      </w:r>
    </w:p>
    <w:p w14:paraId="4BF65090">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Table</w:t>
      </w:r>
      <w:bookmarkEnd w:id="1"/>
      <w:r>
        <w:rPr>
          <w:rFonts w:eastAsia="Times New Roman" w:cs="Times New Roman"/>
          <w:szCs w:val="24"/>
          <w:lang w:val="en-GB" w:eastAsia="en-GB"/>
        </w:rPr>
        <w:t xml:space="preserve"> S1 The sequences of the primer pairs used in this study</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55"/>
        <w:gridCol w:w="3463"/>
        <w:gridCol w:w="3804"/>
      </w:tblGrid>
      <w:tr w14:paraId="6626F7A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l2br w:val="nil"/>
              <w:tr2bl w:val="nil"/>
            </w:tcBorders>
          </w:tcPr>
          <w:p w14:paraId="04F87489">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Target</w:t>
            </w:r>
          </w:p>
        </w:tc>
        <w:tc>
          <w:tcPr>
            <w:tcW w:w="3463" w:type="dxa"/>
            <w:tcBorders>
              <w:tl2br w:val="nil"/>
              <w:tr2bl w:val="nil"/>
            </w:tcBorders>
          </w:tcPr>
          <w:p w14:paraId="436D4B4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Oligonucleotide sequence (5'–3')</w:t>
            </w:r>
          </w:p>
        </w:tc>
        <w:tc>
          <w:tcPr>
            <w:tcW w:w="3804" w:type="dxa"/>
            <w:tcBorders>
              <w:tl2br w:val="nil"/>
              <w:tr2bl w:val="nil"/>
            </w:tcBorders>
          </w:tcPr>
          <w:p w14:paraId="6F9E7778">
            <w:pPr>
              <w:spacing w:before="100" w:beforeAutospacing="1" w:after="100" w:afterAutospacing="1"/>
              <w:jc w:val="both"/>
              <w:rPr>
                <w:rFonts w:eastAsia="Times New Roman" w:cs="Times New Roman"/>
                <w:szCs w:val="24"/>
                <w:lang w:val="en-GB" w:eastAsia="en-GB"/>
              </w:rPr>
            </w:pPr>
          </w:p>
        </w:tc>
      </w:tr>
      <w:tr w14:paraId="5CC3A7C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l2br w:val="nil"/>
              <w:tr2bl w:val="nil"/>
            </w:tcBorders>
          </w:tcPr>
          <w:p w14:paraId="5903F12B">
            <w:pPr>
              <w:spacing w:before="100" w:beforeAutospacing="1" w:after="100" w:afterAutospacing="1"/>
              <w:jc w:val="both"/>
              <w:rPr>
                <w:rFonts w:eastAsia="Times New Roman" w:cs="Times New Roman"/>
                <w:szCs w:val="24"/>
                <w:lang w:val="en-GB" w:eastAsia="en-GB"/>
              </w:rPr>
            </w:pPr>
          </w:p>
        </w:tc>
        <w:tc>
          <w:tcPr>
            <w:tcW w:w="3463" w:type="dxa"/>
            <w:tcBorders>
              <w:tl2br w:val="nil"/>
              <w:tr2bl w:val="nil"/>
            </w:tcBorders>
          </w:tcPr>
          <w:p w14:paraId="6AF50A34">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Primer sense</w:t>
            </w:r>
          </w:p>
        </w:tc>
        <w:tc>
          <w:tcPr>
            <w:tcW w:w="3804" w:type="dxa"/>
            <w:tcBorders>
              <w:tl2br w:val="nil"/>
              <w:tr2bl w:val="nil"/>
            </w:tcBorders>
          </w:tcPr>
          <w:p w14:paraId="54AD102D">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Primer antisense</w:t>
            </w:r>
          </w:p>
        </w:tc>
      </w:tr>
      <w:tr w14:paraId="703CE52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094A9CEE">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Sphk1</w:t>
            </w:r>
          </w:p>
        </w:tc>
        <w:tc>
          <w:tcPr>
            <w:tcW w:w="3463" w:type="dxa"/>
            <w:tcBorders>
              <w:top w:val="nil"/>
              <w:bottom w:val="nil"/>
            </w:tcBorders>
            <w:vAlign w:val="center"/>
          </w:tcPr>
          <w:p w14:paraId="64D29369">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ACAGACCATCCAAAGGTAGTTT</w:t>
            </w:r>
          </w:p>
        </w:tc>
        <w:tc>
          <w:tcPr>
            <w:tcW w:w="3804" w:type="dxa"/>
            <w:tcBorders>
              <w:top w:val="nil"/>
              <w:bottom w:val="nil"/>
            </w:tcBorders>
            <w:vAlign w:val="center"/>
          </w:tcPr>
          <w:p w14:paraId="60B606E7">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CTCTATTCTGTGCTCAGTCTGTC</w:t>
            </w:r>
          </w:p>
        </w:tc>
      </w:tr>
      <w:tr w14:paraId="65130F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13484416">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Sphk2</w:t>
            </w:r>
          </w:p>
        </w:tc>
        <w:tc>
          <w:tcPr>
            <w:tcW w:w="3463" w:type="dxa"/>
            <w:tcBorders>
              <w:top w:val="nil"/>
              <w:bottom w:val="nil"/>
            </w:tcBorders>
            <w:vAlign w:val="center"/>
          </w:tcPr>
          <w:p w14:paraId="27C56FBA">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GTACTCATGTTGGGCATCTT</w:t>
            </w:r>
          </w:p>
        </w:tc>
        <w:tc>
          <w:tcPr>
            <w:tcW w:w="3804" w:type="dxa"/>
            <w:tcBorders>
              <w:top w:val="nil"/>
              <w:bottom w:val="nil"/>
            </w:tcBorders>
            <w:vAlign w:val="center"/>
          </w:tcPr>
          <w:p w14:paraId="13F840F4">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CATACTCCACTAACTCCCCA</w:t>
            </w:r>
          </w:p>
        </w:tc>
      </w:tr>
      <w:tr w14:paraId="213DB4E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0E0E8518">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S1</w:t>
            </w:r>
            <w:r>
              <w:rPr>
                <w:rFonts w:hint="eastAsia" w:eastAsia="Times New Roman" w:cs="Times New Roman"/>
                <w:szCs w:val="24"/>
                <w:lang w:val="en-GB" w:eastAsia="en-GB"/>
              </w:rPr>
              <w:t>pr</w:t>
            </w:r>
            <w:r>
              <w:rPr>
                <w:rFonts w:eastAsia="Times New Roman" w:cs="Times New Roman"/>
                <w:szCs w:val="24"/>
                <w:lang w:val="en-GB" w:eastAsia="en-GB"/>
              </w:rPr>
              <w:t>1</w:t>
            </w:r>
          </w:p>
        </w:tc>
        <w:tc>
          <w:tcPr>
            <w:tcW w:w="3463" w:type="dxa"/>
            <w:tcBorders>
              <w:top w:val="nil"/>
              <w:bottom w:val="nil"/>
            </w:tcBorders>
            <w:vAlign w:val="center"/>
          </w:tcPr>
          <w:p w14:paraId="36E24744">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 xml:space="preserve">CTCCACCGTGCTCCCGCTCTA </w:t>
            </w:r>
          </w:p>
        </w:tc>
        <w:tc>
          <w:tcPr>
            <w:tcW w:w="3804" w:type="dxa"/>
            <w:tcBorders>
              <w:top w:val="nil"/>
              <w:bottom w:val="nil"/>
            </w:tcBorders>
            <w:vAlign w:val="center"/>
          </w:tcPr>
          <w:p w14:paraId="4103031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GGAGATGTTCTTGCGGAAGGTCAGG</w:t>
            </w:r>
          </w:p>
        </w:tc>
      </w:tr>
      <w:tr w14:paraId="1B27A8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535F2391">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S1</w:t>
            </w:r>
            <w:r>
              <w:rPr>
                <w:rFonts w:hint="eastAsia" w:eastAsia="Times New Roman" w:cs="Times New Roman"/>
                <w:szCs w:val="24"/>
                <w:lang w:val="en-GB" w:eastAsia="en-GB"/>
              </w:rPr>
              <w:t>pr</w:t>
            </w:r>
            <w:r>
              <w:rPr>
                <w:rFonts w:eastAsia="Times New Roman" w:cs="Times New Roman"/>
                <w:szCs w:val="24"/>
                <w:lang w:val="en-GB" w:eastAsia="en-GB"/>
              </w:rPr>
              <w:t>2</w:t>
            </w:r>
          </w:p>
        </w:tc>
        <w:tc>
          <w:tcPr>
            <w:tcW w:w="3463" w:type="dxa"/>
            <w:tcBorders>
              <w:top w:val="nil"/>
              <w:bottom w:val="nil"/>
            </w:tcBorders>
            <w:vAlign w:val="center"/>
          </w:tcPr>
          <w:p w14:paraId="34085A4C">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GGCCTAGCCAGTGCTCAGC</w:t>
            </w:r>
          </w:p>
        </w:tc>
        <w:tc>
          <w:tcPr>
            <w:tcW w:w="3804" w:type="dxa"/>
            <w:tcBorders>
              <w:top w:val="nil"/>
              <w:bottom w:val="nil"/>
            </w:tcBorders>
            <w:vAlign w:val="center"/>
          </w:tcPr>
          <w:p w14:paraId="4FB02475">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CCTTGGTGTAATTGTAGTGTTCCAGA</w:t>
            </w:r>
          </w:p>
        </w:tc>
      </w:tr>
      <w:tr w14:paraId="727B553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013EC261">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S1</w:t>
            </w:r>
            <w:r>
              <w:rPr>
                <w:rFonts w:hint="eastAsia" w:eastAsia="Times New Roman" w:cs="Times New Roman"/>
                <w:szCs w:val="24"/>
                <w:lang w:val="en-GB" w:eastAsia="en-GB"/>
              </w:rPr>
              <w:t>pr</w:t>
            </w:r>
            <w:r>
              <w:rPr>
                <w:rFonts w:eastAsia="Times New Roman" w:cs="Times New Roman"/>
                <w:szCs w:val="24"/>
                <w:lang w:val="en-GB" w:eastAsia="en-GB"/>
              </w:rPr>
              <w:t>3</w:t>
            </w:r>
          </w:p>
        </w:tc>
        <w:tc>
          <w:tcPr>
            <w:tcW w:w="3463" w:type="dxa"/>
            <w:tcBorders>
              <w:top w:val="nil"/>
              <w:bottom w:val="nil"/>
            </w:tcBorders>
            <w:vAlign w:val="center"/>
          </w:tcPr>
          <w:p w14:paraId="12EA3E05">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ACTCTCCGGGAACATTACGAT</w:t>
            </w:r>
          </w:p>
        </w:tc>
        <w:tc>
          <w:tcPr>
            <w:tcW w:w="3804" w:type="dxa"/>
            <w:tcBorders>
              <w:top w:val="nil"/>
              <w:bottom w:val="nil"/>
            </w:tcBorders>
            <w:vAlign w:val="center"/>
          </w:tcPr>
          <w:p w14:paraId="3701DAF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CCAAGACGATGAAGCTACAGG</w:t>
            </w:r>
          </w:p>
        </w:tc>
      </w:tr>
      <w:tr w14:paraId="141B0CC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33A5267A">
            <w:pPr>
              <w:spacing w:before="100" w:beforeAutospacing="1" w:after="100" w:afterAutospacing="1"/>
              <w:jc w:val="both"/>
              <w:rPr>
                <w:rFonts w:hint="default" w:eastAsia="Times New Roman" w:cs="Times New Roman"/>
                <w:szCs w:val="24"/>
                <w:lang w:val="en-GB" w:eastAsia="en-GB"/>
              </w:rPr>
            </w:pPr>
            <w:r>
              <w:rPr>
                <w:rFonts w:hint="eastAsia" w:eastAsia="Times New Roman" w:cs="Times New Roman"/>
                <w:szCs w:val="24"/>
                <w:lang w:val="en-GB" w:eastAsia="en-GB"/>
              </w:rPr>
              <w:t>mTIMP</w:t>
            </w:r>
          </w:p>
        </w:tc>
        <w:tc>
          <w:tcPr>
            <w:tcW w:w="3463" w:type="dxa"/>
            <w:tcBorders>
              <w:top w:val="nil"/>
              <w:bottom w:val="nil"/>
            </w:tcBorders>
            <w:vAlign w:val="center"/>
          </w:tcPr>
          <w:p w14:paraId="7738276D">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CAGACAGCCTTCTGCAACTC</w:t>
            </w:r>
          </w:p>
        </w:tc>
        <w:tc>
          <w:tcPr>
            <w:tcW w:w="3804" w:type="dxa"/>
            <w:tcBorders>
              <w:top w:val="nil"/>
              <w:bottom w:val="nil"/>
            </w:tcBorders>
            <w:vAlign w:val="center"/>
          </w:tcPr>
          <w:p w14:paraId="3C5ACAF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TGTGGGCATATCCACAGAGG</w:t>
            </w:r>
          </w:p>
        </w:tc>
      </w:tr>
      <w:tr w14:paraId="2C8359A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1FB34B6F">
            <w:pPr>
              <w:spacing w:before="100" w:beforeAutospacing="1" w:after="100" w:afterAutospacing="1"/>
              <w:jc w:val="both"/>
              <w:rPr>
                <w:rFonts w:hint="default" w:eastAsia="Times New Roman" w:cs="Times New Roman"/>
                <w:szCs w:val="24"/>
                <w:lang w:val="en-GB" w:eastAsia="en-GB"/>
              </w:rPr>
            </w:pPr>
            <w:r>
              <w:rPr>
                <w:rFonts w:hint="eastAsia" w:eastAsia="Times New Roman" w:cs="Times New Roman"/>
                <w:szCs w:val="24"/>
                <w:lang w:val="en-GB" w:eastAsia="en-GB"/>
              </w:rPr>
              <w:t>mElastin</w:t>
            </w:r>
          </w:p>
        </w:tc>
        <w:tc>
          <w:tcPr>
            <w:tcW w:w="3463" w:type="dxa"/>
            <w:tcBorders>
              <w:top w:val="nil"/>
              <w:bottom w:val="nil"/>
            </w:tcBorders>
            <w:vAlign w:val="center"/>
          </w:tcPr>
          <w:p w14:paraId="3D67F806">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CCGGCATGAGAAAGTGGAAG</w:t>
            </w:r>
          </w:p>
        </w:tc>
        <w:tc>
          <w:tcPr>
            <w:tcW w:w="3804" w:type="dxa"/>
            <w:tcBorders>
              <w:top w:val="nil"/>
              <w:bottom w:val="nil"/>
            </w:tcBorders>
            <w:vAlign w:val="center"/>
          </w:tcPr>
          <w:p w14:paraId="0C39CA2A">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GTGGCAGAATGAGGCTGAAG</w:t>
            </w:r>
          </w:p>
        </w:tc>
      </w:tr>
      <w:tr w14:paraId="106C9D5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29003D04">
            <w:pPr>
              <w:spacing w:before="100" w:beforeAutospacing="1" w:after="100" w:afterAutospacing="1"/>
              <w:jc w:val="both"/>
              <w:rPr>
                <w:rFonts w:hint="default" w:eastAsia="Times New Roman" w:cs="Times New Roman"/>
                <w:szCs w:val="24"/>
                <w:lang w:val="en-GB" w:eastAsia="en-GB"/>
              </w:rPr>
            </w:pPr>
            <w:r>
              <w:rPr>
                <w:rFonts w:hint="eastAsia" w:eastAsia="Times New Roman" w:cs="Times New Roman"/>
                <w:szCs w:val="24"/>
                <w:lang w:val="en-GB" w:eastAsia="en-GB"/>
              </w:rPr>
              <w:t>mFibulin2</w:t>
            </w:r>
          </w:p>
        </w:tc>
        <w:tc>
          <w:tcPr>
            <w:tcW w:w="3463" w:type="dxa"/>
            <w:tcBorders>
              <w:top w:val="nil"/>
              <w:bottom w:val="nil"/>
            </w:tcBorders>
            <w:vAlign w:val="center"/>
          </w:tcPr>
          <w:p w14:paraId="1206FC88">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CCCAACACCTGCAAAGACAA</w:t>
            </w:r>
          </w:p>
        </w:tc>
        <w:tc>
          <w:tcPr>
            <w:tcW w:w="3804" w:type="dxa"/>
            <w:tcBorders>
              <w:top w:val="nil"/>
              <w:bottom w:val="nil"/>
            </w:tcBorders>
            <w:vAlign w:val="center"/>
          </w:tcPr>
          <w:p w14:paraId="00B33CA0">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GAAGGATCCCAGGGTGTTCA</w:t>
            </w:r>
          </w:p>
        </w:tc>
      </w:tr>
      <w:tr w14:paraId="518A8C7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0EFFDEF0">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Actin</w:t>
            </w:r>
          </w:p>
        </w:tc>
        <w:tc>
          <w:tcPr>
            <w:tcW w:w="3463" w:type="dxa"/>
            <w:tcBorders>
              <w:top w:val="nil"/>
              <w:bottom w:val="nil"/>
            </w:tcBorders>
            <w:vAlign w:val="center"/>
          </w:tcPr>
          <w:p w14:paraId="732F0C0A">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GGCACCACACCTTCTACAATG</w:t>
            </w:r>
          </w:p>
        </w:tc>
        <w:tc>
          <w:tcPr>
            <w:tcW w:w="3804" w:type="dxa"/>
            <w:tcBorders>
              <w:top w:val="nil"/>
              <w:bottom w:val="nil"/>
            </w:tcBorders>
            <w:vAlign w:val="center"/>
          </w:tcPr>
          <w:p w14:paraId="2AEBDE18">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GTGGTGGTGAAGCTGTAGCC</w:t>
            </w:r>
          </w:p>
        </w:tc>
      </w:tr>
      <w:tr w14:paraId="29C15AB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2FB5F1D0">
            <w:pPr>
              <w:spacing w:before="100" w:beforeAutospacing="1" w:after="100" w:afterAutospacing="1"/>
              <w:jc w:val="both"/>
              <w:rPr>
                <w:rFonts w:eastAsia="Times New Roman" w:cs="Times New Roman"/>
                <w:szCs w:val="24"/>
                <w:lang w:val="en-GB" w:eastAsia="en-GB"/>
              </w:rPr>
            </w:pPr>
            <w:r>
              <w:rPr>
                <w:rFonts w:hint="eastAsia" w:eastAsia="Times New Roman" w:cs="Times New Roman"/>
                <w:szCs w:val="24"/>
                <w:lang w:val="en-GB" w:eastAsia="en-GB"/>
              </w:rPr>
              <w:t>m</w:t>
            </w:r>
            <w:r>
              <w:rPr>
                <w:rFonts w:eastAsia="Times New Roman" w:cs="Times New Roman"/>
                <w:szCs w:val="24"/>
                <w:lang w:val="en-GB" w:eastAsia="en-GB"/>
              </w:rPr>
              <w:t>CK19</w:t>
            </w:r>
          </w:p>
        </w:tc>
        <w:tc>
          <w:tcPr>
            <w:tcW w:w="3463" w:type="dxa"/>
            <w:tcBorders>
              <w:top w:val="nil"/>
              <w:bottom w:val="nil"/>
            </w:tcBorders>
            <w:vAlign w:val="center"/>
          </w:tcPr>
          <w:p w14:paraId="2409320C">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TGACCTGGAGATGCAGATTG</w:t>
            </w:r>
          </w:p>
        </w:tc>
        <w:tc>
          <w:tcPr>
            <w:tcW w:w="3804" w:type="dxa"/>
            <w:tcBorders>
              <w:top w:val="nil"/>
              <w:bottom w:val="nil"/>
            </w:tcBorders>
            <w:vAlign w:val="center"/>
          </w:tcPr>
          <w:p w14:paraId="3AF485AD">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CCTCAGGGCAGTAATTTCCTC</w:t>
            </w:r>
          </w:p>
        </w:tc>
      </w:tr>
      <w:tr w14:paraId="2685AB2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223282F4">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hS1</w:t>
            </w:r>
            <w:r>
              <w:rPr>
                <w:rFonts w:hint="eastAsia" w:eastAsia="Times New Roman" w:cs="Times New Roman"/>
                <w:szCs w:val="24"/>
                <w:lang w:val="en-GB" w:eastAsia="en-GB"/>
              </w:rPr>
              <w:t>pr</w:t>
            </w:r>
            <w:r>
              <w:rPr>
                <w:rFonts w:eastAsia="Times New Roman" w:cs="Times New Roman"/>
                <w:szCs w:val="24"/>
                <w:lang w:val="en-GB" w:eastAsia="en-GB"/>
              </w:rPr>
              <w:t>1</w:t>
            </w:r>
          </w:p>
        </w:tc>
        <w:tc>
          <w:tcPr>
            <w:tcW w:w="3463" w:type="dxa"/>
            <w:tcBorders>
              <w:top w:val="nil"/>
              <w:bottom w:val="nil"/>
            </w:tcBorders>
            <w:vAlign w:val="center"/>
          </w:tcPr>
          <w:p w14:paraId="0E96C7D0">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TCCTCGCCATCGCCATTG</w:t>
            </w:r>
          </w:p>
        </w:tc>
        <w:tc>
          <w:tcPr>
            <w:tcW w:w="3804" w:type="dxa"/>
            <w:tcBorders>
              <w:top w:val="nil"/>
              <w:bottom w:val="nil"/>
            </w:tcBorders>
            <w:vAlign w:val="center"/>
          </w:tcPr>
          <w:p w14:paraId="08B2B4F3">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GAGAGCAGAAGCAGAGTGAAG</w:t>
            </w:r>
          </w:p>
        </w:tc>
      </w:tr>
      <w:tr w14:paraId="0818FAA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66A49906">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hS1</w:t>
            </w:r>
            <w:r>
              <w:rPr>
                <w:rFonts w:hint="eastAsia" w:eastAsia="Times New Roman" w:cs="Times New Roman"/>
                <w:szCs w:val="24"/>
                <w:lang w:val="en-GB" w:eastAsia="en-GB"/>
              </w:rPr>
              <w:t>pr</w:t>
            </w:r>
            <w:r>
              <w:rPr>
                <w:rFonts w:eastAsia="Times New Roman" w:cs="Times New Roman"/>
                <w:szCs w:val="24"/>
                <w:lang w:val="en-GB" w:eastAsia="en-GB"/>
              </w:rPr>
              <w:t>2</w:t>
            </w:r>
          </w:p>
        </w:tc>
        <w:tc>
          <w:tcPr>
            <w:tcW w:w="3463" w:type="dxa"/>
            <w:tcBorders>
              <w:top w:val="nil"/>
              <w:bottom w:val="nil"/>
            </w:tcBorders>
            <w:vAlign w:val="center"/>
          </w:tcPr>
          <w:p w14:paraId="7EF77753">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 xml:space="preserve">CTGCCTTCATCACGCTCTC </w:t>
            </w:r>
          </w:p>
        </w:tc>
        <w:tc>
          <w:tcPr>
            <w:tcW w:w="3804" w:type="dxa"/>
            <w:tcBorders>
              <w:top w:val="nil"/>
              <w:bottom w:val="nil"/>
            </w:tcBorders>
            <w:vAlign w:val="center"/>
          </w:tcPr>
          <w:p w14:paraId="641AD2C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GCTCTTGTCGCTGCCATAC</w:t>
            </w:r>
          </w:p>
        </w:tc>
      </w:tr>
      <w:tr w14:paraId="0DBEB65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bottom w:val="nil"/>
            </w:tcBorders>
          </w:tcPr>
          <w:p w14:paraId="619EBDAE">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hS1</w:t>
            </w:r>
            <w:r>
              <w:rPr>
                <w:rFonts w:hint="eastAsia" w:eastAsia="Times New Roman" w:cs="Times New Roman"/>
                <w:szCs w:val="24"/>
                <w:lang w:val="en-GB" w:eastAsia="en-GB"/>
              </w:rPr>
              <w:t>pr</w:t>
            </w:r>
            <w:r>
              <w:rPr>
                <w:rFonts w:eastAsia="Times New Roman" w:cs="Times New Roman"/>
                <w:szCs w:val="24"/>
                <w:lang w:val="en-GB" w:eastAsia="en-GB"/>
              </w:rPr>
              <w:t>3</w:t>
            </w:r>
          </w:p>
        </w:tc>
        <w:tc>
          <w:tcPr>
            <w:tcW w:w="3463" w:type="dxa"/>
            <w:tcBorders>
              <w:top w:val="nil"/>
              <w:bottom w:val="nil"/>
            </w:tcBorders>
            <w:vAlign w:val="center"/>
          </w:tcPr>
          <w:p w14:paraId="3756B923">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CTACGCACGCATCTACTTCC</w:t>
            </w:r>
          </w:p>
        </w:tc>
        <w:tc>
          <w:tcPr>
            <w:tcW w:w="3804" w:type="dxa"/>
            <w:tcBorders>
              <w:top w:val="nil"/>
              <w:bottom w:val="nil"/>
            </w:tcBorders>
            <w:vAlign w:val="center"/>
          </w:tcPr>
          <w:p w14:paraId="1C329F99">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CACGCTCACCACAATCACC</w:t>
            </w:r>
          </w:p>
        </w:tc>
      </w:tr>
      <w:tr w14:paraId="70219FB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55" w:type="dxa"/>
            <w:tcBorders>
              <w:top w:val="nil"/>
            </w:tcBorders>
          </w:tcPr>
          <w:p w14:paraId="7C890E72">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hGAPDH</w:t>
            </w:r>
          </w:p>
        </w:tc>
        <w:tc>
          <w:tcPr>
            <w:tcW w:w="3463" w:type="dxa"/>
            <w:tcBorders>
              <w:top w:val="nil"/>
            </w:tcBorders>
            <w:vAlign w:val="center"/>
          </w:tcPr>
          <w:p w14:paraId="6F82F328">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A</w:t>
            </w:r>
            <w:bookmarkStart w:id="3" w:name="_GoBack"/>
            <w:bookmarkEnd w:id="3"/>
            <w:r>
              <w:rPr>
                <w:rFonts w:eastAsia="Times New Roman" w:cs="Times New Roman"/>
                <w:szCs w:val="24"/>
                <w:lang w:val="en-GB" w:eastAsia="en-GB"/>
              </w:rPr>
              <w:t>AGGGCATCCTGGGCTAC</w:t>
            </w:r>
          </w:p>
        </w:tc>
        <w:tc>
          <w:tcPr>
            <w:tcW w:w="3804" w:type="dxa"/>
            <w:tcBorders>
              <w:top w:val="nil"/>
            </w:tcBorders>
            <w:vAlign w:val="center"/>
          </w:tcPr>
          <w:p w14:paraId="2F978023">
            <w:pPr>
              <w:spacing w:before="100" w:beforeAutospacing="1" w:after="100" w:afterAutospacing="1"/>
              <w:jc w:val="both"/>
              <w:rPr>
                <w:rFonts w:eastAsia="Times New Roman" w:cs="Times New Roman"/>
                <w:szCs w:val="24"/>
                <w:lang w:val="en-GB" w:eastAsia="en-GB"/>
              </w:rPr>
            </w:pPr>
            <w:r>
              <w:rPr>
                <w:rFonts w:eastAsia="Times New Roman" w:cs="Times New Roman"/>
                <w:szCs w:val="24"/>
                <w:lang w:val="en-GB" w:eastAsia="en-GB"/>
              </w:rPr>
              <w:t>GTGGAGGAGTGGGTGTCG</w:t>
            </w:r>
          </w:p>
        </w:tc>
      </w:tr>
    </w:tbl>
    <w:p w14:paraId="666802FE">
      <w:pPr>
        <w:pStyle w:val="4"/>
        <w:numPr>
          <w:ilvl w:val="1"/>
          <w:numId w:val="0"/>
        </w:numPr>
        <w:ind w:leftChars="0"/>
      </w:pPr>
    </w:p>
    <w:p w14:paraId="07970E94">
      <w:pPr>
        <w:pStyle w:val="4"/>
        <w:numPr>
          <w:ilvl w:val="1"/>
          <w:numId w:val="0"/>
        </w:numPr>
        <w:ind w:leftChars="0"/>
      </w:pPr>
      <w:r>
        <w:t>Supplementary Figures</w:t>
      </w:r>
    </w:p>
    <w:p w14:paraId="7DED2DCC">
      <w:pPr>
        <w:rPr>
          <w:sz w:val="24"/>
        </w:rPr>
      </w:pPr>
      <w:r>
        <w:rPr>
          <w:sz w:val="24"/>
        </w:rPr>
        <w:t>Supplementary Figure 1.</w:t>
      </w:r>
    </w:p>
    <w:p w14:paraId="1B167438">
      <w:r>
        <w:drawing>
          <wp:inline distT="0" distB="0" distL="114300" distR="114300">
            <wp:extent cx="3133090" cy="2009140"/>
            <wp:effectExtent l="0" t="0" r="10160" b="1016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6"/>
                    <a:stretch>
                      <a:fillRect/>
                    </a:stretch>
                  </pic:blipFill>
                  <pic:spPr>
                    <a:xfrm>
                      <a:off x="0" y="0"/>
                      <a:ext cx="3133090" cy="2009140"/>
                    </a:xfrm>
                    <a:prstGeom prst="rect">
                      <a:avLst/>
                    </a:prstGeom>
                  </pic:spPr>
                </pic:pic>
              </a:graphicData>
            </a:graphic>
          </wp:inline>
        </w:drawing>
      </w:r>
    </w:p>
    <w:p w14:paraId="2850EFA8">
      <w:r>
        <w:t xml:space="preserve">Supplementary Figure </w:t>
      </w:r>
      <w:r>
        <w:rPr>
          <w:rFonts w:hint="eastAsia"/>
          <w:lang w:val="en-US" w:eastAsia="zh-CN"/>
        </w:rPr>
        <w:t>1</w:t>
      </w:r>
      <w:r>
        <w:t>.</w:t>
      </w:r>
      <w:r>
        <w:rPr>
          <w:rFonts w:hint="eastAsia"/>
        </w:rPr>
        <w:t xml:space="preserve"> </w:t>
      </w:r>
      <w:r>
        <w:rPr>
          <w:rFonts w:hint="eastAsia"/>
          <w:lang w:eastAsia="zh-CN"/>
        </w:rPr>
        <w:t>Determination of the Conjugated Bile Acid TCA Content in Serum before and after Infection with Clonorchis sinensis</w:t>
      </w:r>
      <w:r>
        <w:rPr>
          <w:rFonts w:hint="eastAsia"/>
        </w:rPr>
        <w:t>. Compared with indicated groups, ***</w:t>
      </w:r>
      <w:r>
        <w:rPr>
          <w:rFonts w:hint="eastAsia"/>
          <w:i/>
          <w:iCs/>
        </w:rPr>
        <w:t>P</w:t>
      </w:r>
      <w:r>
        <w:rPr>
          <w:rFonts w:hint="eastAsia"/>
        </w:rPr>
        <w:t xml:space="preserve"> &lt; 0.001.</w:t>
      </w:r>
    </w:p>
    <w:p w14:paraId="3B020E77">
      <w:pPr>
        <w:keepNext/>
        <w:jc w:val="both"/>
        <w:rPr>
          <w:rFonts w:cs="Times New Roman"/>
          <w:szCs w:val="24"/>
        </w:rPr>
      </w:pPr>
    </w:p>
    <w:p w14:paraId="6B383710">
      <w:pPr>
        <w:keepNext/>
        <w:rPr>
          <w:rFonts w:hint="default" w:ascii="Times New Roman" w:hAnsi="Times New Roman" w:eastAsia="Cambria" w:cs="Times New Roman"/>
          <w:b/>
          <w:sz w:val="24"/>
          <w:szCs w:val="24"/>
          <w:lang w:val="en-US" w:eastAsia="en-US" w:bidi="ar-SA"/>
        </w:rPr>
      </w:pPr>
      <w:r>
        <w:rPr>
          <w:rFonts w:ascii="Times New Roman" w:hAnsi="Times New Roman" w:eastAsia="Cambria" w:cs="Times New Roman"/>
          <w:b/>
          <w:sz w:val="24"/>
          <w:szCs w:val="24"/>
          <w:lang w:val="en" w:eastAsia="en-US" w:bidi="ar-SA"/>
        </w:rPr>
        <w:t>Supplementary</w:t>
      </w:r>
      <w:r>
        <w:rPr>
          <w:rFonts w:hint="eastAsia" w:ascii="Times New Roman" w:hAnsi="Times New Roman" w:eastAsia="Cambria" w:cs="Times New Roman"/>
          <w:b/>
          <w:sz w:val="24"/>
          <w:szCs w:val="24"/>
          <w:lang w:val="en-US" w:eastAsia="zh-CN" w:bidi="ar-SA"/>
        </w:rPr>
        <w:t xml:space="preserve"> </w:t>
      </w:r>
      <w:r>
        <w:rPr>
          <w:rFonts w:hint="default" w:ascii="Times New Roman" w:hAnsi="Times New Roman" w:eastAsia="Cambria" w:cs="Times New Roman"/>
          <w:b/>
          <w:sz w:val="24"/>
          <w:szCs w:val="24"/>
          <w:lang w:val="en-US" w:eastAsia="en-US" w:bidi="ar-SA"/>
        </w:rPr>
        <w:t>Materials and Methods</w:t>
      </w:r>
    </w:p>
    <w:p w14:paraId="4E7BDAB8">
      <w:pPr>
        <w:keepNext/>
        <w:rPr>
          <w:rFonts w:hint="default" w:cs="Times New Roman"/>
          <w:szCs w:val="24"/>
          <w:lang w:val="en"/>
        </w:rPr>
      </w:pPr>
      <w:r>
        <w:rPr>
          <w:rFonts w:hint="default" w:cs="Times New Roman"/>
          <w:b/>
          <w:bCs/>
          <w:szCs w:val="24"/>
          <w:lang w:val="en"/>
        </w:rPr>
        <w:t>metabolomics analysis</w:t>
      </w:r>
    </w:p>
    <w:p w14:paraId="3B183126">
      <w:pPr>
        <w:keepNext/>
        <w:rPr>
          <w:rFonts w:hint="default" w:cs="Times New Roman"/>
          <w:szCs w:val="24"/>
        </w:rPr>
      </w:pPr>
      <w:r>
        <w:rPr>
          <w:rFonts w:hint="default" w:cs="Times New Roman"/>
          <w:szCs w:val="24"/>
          <w:lang w:val="en"/>
        </w:rPr>
        <w:t>Untargeted</w:t>
      </w:r>
      <w:bookmarkStart w:id="2" w:name="OLE_LINK92"/>
      <w:r>
        <w:rPr>
          <w:rFonts w:hint="default" w:cs="Times New Roman"/>
          <w:szCs w:val="24"/>
          <w:lang w:val="en-US" w:eastAsia="zh-CN"/>
        </w:rPr>
        <w:t xml:space="preserve"> </w:t>
      </w:r>
      <w:r>
        <w:rPr>
          <w:rFonts w:hint="default" w:cs="Times New Roman"/>
          <w:szCs w:val="24"/>
          <w:lang w:val="en" w:eastAsia="zh-CN"/>
        </w:rPr>
        <w:t>hepatobiliary</w:t>
      </w:r>
      <w:bookmarkEnd w:id="2"/>
      <w:r>
        <w:rPr>
          <w:rFonts w:hint="default" w:cs="Times New Roman"/>
          <w:szCs w:val="24"/>
          <w:lang w:val="en" w:eastAsia="zh-CN"/>
        </w:rPr>
        <w:t xml:space="preserve"> tissue</w:t>
      </w:r>
      <w:r>
        <w:rPr>
          <w:rFonts w:hint="default" w:cs="Times New Roman"/>
          <w:szCs w:val="24"/>
          <w:lang w:val="en"/>
        </w:rPr>
        <w:t xml:space="preserve"> metabolomics analysis</w:t>
      </w:r>
      <w:r>
        <w:rPr>
          <w:rFonts w:hint="default" w:cs="Times New Roman"/>
          <w:szCs w:val="24"/>
          <w:lang w:val="en-US" w:eastAsia="zh-CN"/>
        </w:rPr>
        <w:t xml:space="preserve"> were performed with standard procedures in cooperation with Shanghai BIOTREE Biological Technology Co., Ltd. (Shanghai, China). </w:t>
      </w:r>
      <w:r>
        <w:rPr>
          <w:rFonts w:hint="default" w:cs="Times New Roman"/>
          <w:szCs w:val="24"/>
        </w:rPr>
        <w:t xml:space="preserve"> </w:t>
      </w:r>
      <w:r>
        <w:rPr>
          <w:rFonts w:hint="default" w:cs="Times New Roman"/>
          <w:szCs w:val="24"/>
          <w:lang w:val="en"/>
        </w:rPr>
        <w:t>Briefly,</w:t>
      </w:r>
    </w:p>
    <w:p w14:paraId="224A94BF">
      <w:pPr>
        <w:keepNext/>
        <w:numPr>
          <w:ilvl w:val="0"/>
          <w:numId w:val="3"/>
        </w:numPr>
        <w:rPr>
          <w:rFonts w:hint="default" w:cs="Times New Roman"/>
          <w:szCs w:val="24"/>
          <w:lang w:val="en-US" w:eastAsia="zh-CN"/>
        </w:rPr>
      </w:pPr>
      <w:r>
        <w:rPr>
          <w:rFonts w:hint="default" w:cs="Times New Roman"/>
          <w:szCs w:val="24"/>
          <w:lang w:val="en-US" w:eastAsia="zh-CN"/>
        </w:rPr>
        <w:t>Metabolites Extraction：25 mg of sample was weighted to an EP tube, and 500 μL extract solution (methanol:water = 3: 1, with isotopically-labelled internal standard mixture) was added. Then the samples were homogenized at 35 Hz for 4 min and sonicated for 5 min in ice-water bath. The homogenization and sonication cycle was repeated for 3 times. Then the samples were incubated for 1 h at -40 ℃ and centrifuged at 12000 rpm for 15 min at 4 ℃. The resulting supernatant was transferred to a fresh glass vial for analysis. The quality control (QC) sample was prepared by mixing an equal aliquot of the supernatants from all of the samples.</w:t>
      </w:r>
    </w:p>
    <w:p w14:paraId="594C2988">
      <w:pPr>
        <w:keepNext/>
        <w:numPr>
          <w:ilvl w:val="0"/>
          <w:numId w:val="3"/>
        </w:numPr>
        <w:ind w:left="0" w:leftChars="0" w:firstLine="0" w:firstLineChars="0"/>
        <w:rPr>
          <w:rFonts w:hint="default" w:cs="Times New Roman"/>
          <w:szCs w:val="24"/>
        </w:rPr>
      </w:pPr>
      <w:r>
        <w:rPr>
          <w:rFonts w:hint="default" w:cs="Times New Roman"/>
          <w:szCs w:val="24"/>
          <w:lang w:val="en-US" w:eastAsia="zh-CN"/>
        </w:rPr>
        <w:t>LC-MS/MS Analysis：LC-MS/MS analyses were performed using an UHPLC system (Vanquish, Thermo Fisher Scientific) with a UPLC BEH Amide column (2.1 mm × 100 mm, 1.7 μm) coupled to Q Exactive HFX mass spectrometer (Orbitrap MS, Thermo). The mobile phase consisted of 25 mmol/L ammonium acetate and 25 ammonia hydroxide in water（pH = 9.75）(A) and acetonitrile (B). The auto-sampler temperature was 4 ℃, and the injection volume was 2 μL. The QE HFX mass spectrometer was used for its ability to acquire MS/MS spectra on information-dependent acquisition (IDA) mode in the control of the acquisition software (Xcalibur, Thermo). In this mode, the acquisition software continuously evaluates the full scan MS spectrum. The ESI source conditions were set as following: sheath gas flow rate as 30 Arb, Aux gas flow rate as 25 Arb, capillary temperature 350 ℃, full MS resolution as 60000, MS/MS resolution as 7500, collision energy as 10/30/60 in NCE mode, spray Voltage as 3.6 kV (positive) or -3.2 kV (negative), respectively.</w:t>
      </w:r>
    </w:p>
    <w:p w14:paraId="7F711126">
      <w:pPr>
        <w:keepNext/>
        <w:rPr>
          <w:rFonts w:hint="default" w:cs="Times New Roman"/>
          <w:szCs w:val="24"/>
          <w:lang w:val="en-US" w:eastAsia="zh-CN"/>
        </w:rPr>
      </w:pPr>
      <w:r>
        <w:rPr>
          <w:rFonts w:hint="default" w:cs="Times New Roman"/>
          <w:szCs w:val="24"/>
          <w:lang w:val="en-US" w:eastAsia="zh-CN"/>
        </w:rPr>
        <w:t>3. Data preprocessing and annotation：</w:t>
      </w:r>
      <w:r>
        <w:rPr>
          <w:rFonts w:hint="default" w:cs="Times New Roman"/>
          <w:szCs w:val="24"/>
        </w:rPr>
        <w:t>The raw data were converted to the mzXML format using ProteoWizard and processed with an in-house program. Then an in-house MS2 database (BiotreeDB) was applied in metabolite annotation. In this study, peaks were detected and metabolites were left after relative standard deviation de-noising. Data was scaled and logarithmic transformed to minimize the impact of both noise and high variance of the variables. After these transformations, PCA (principle component analysis, PCA) was carried out to visualize the distribution and the grouping of the samples. In order to visualize group separation and find significantly changed metabolites, supervised orthogonal projections to latent structures-discriminate analysis (OPLS-DA) was applied. Then, a 7-fold cross validation was performed to calculate the value of R2 and Q2. To check the robustness and predictive ability of the OPLS-DA model, a 200 times permutations was further conducted. Furthermore, the value of variable importance in the projection (VIP) of the first principal component in OPLS-DA analysis was obtained. The metabolites with VIP&gt;1 and p&lt;0.05 (student’s t test) were considered as significantly changed metabolites. In addition, commercial databases including KEGG (http://www.genome.jp/kegg/) and MetaboAnalyst (http://www.metaboanalyst.ca/) were used for pathway enrichment analysis.</w:t>
      </w:r>
    </w:p>
    <w:p w14:paraId="6FAE00B7">
      <w:pPr>
        <w:keepNext/>
        <w:rPr>
          <w:rFonts w:hint="default" w:cs="Times New Roman"/>
          <w:szCs w:val="24"/>
          <w:lang w:val="en-US" w:eastAsia="zh-CN"/>
        </w:rPr>
      </w:pPr>
      <w:r>
        <w:rPr>
          <w:rFonts w:hint="default" w:cs="Times New Roman"/>
          <w:b/>
          <w:bCs/>
          <w:szCs w:val="24"/>
          <w:lang w:val="en-US" w:eastAsia="zh-CN"/>
        </w:rPr>
        <w:t>Transcriptomics analysis</w:t>
      </w:r>
    </w:p>
    <w:p w14:paraId="3259D2FF">
      <w:pPr>
        <w:keepNext/>
        <w:rPr>
          <w:rFonts w:hint="default" w:cs="Times New Roman"/>
          <w:szCs w:val="24"/>
          <w:lang w:val="en"/>
        </w:rPr>
      </w:pPr>
      <w:r>
        <w:rPr>
          <w:rFonts w:hint="default" w:cs="Times New Roman"/>
          <w:szCs w:val="24"/>
          <w:lang w:val="en-US" w:eastAsia="zh-CN"/>
        </w:rPr>
        <w:t xml:space="preserve">The </w:t>
      </w:r>
      <w:r>
        <w:rPr>
          <w:rFonts w:hint="default" w:cs="Times New Roman"/>
          <w:szCs w:val="24"/>
          <w:lang w:val="en" w:eastAsia="zh-CN"/>
        </w:rPr>
        <w:t>hepatobiliary tissue</w:t>
      </w:r>
      <w:r>
        <w:rPr>
          <w:rFonts w:hint="default" w:cs="Times New Roman"/>
          <w:szCs w:val="24"/>
          <w:lang w:val="en"/>
        </w:rPr>
        <w:t xml:space="preserve"> </w:t>
      </w:r>
      <w:r>
        <w:rPr>
          <w:rFonts w:hint="default" w:cs="Times New Roman"/>
          <w:szCs w:val="24"/>
          <w:lang w:val="en-US" w:eastAsia="zh-CN"/>
        </w:rPr>
        <w:t>t</w:t>
      </w:r>
      <w:r>
        <w:rPr>
          <w:rFonts w:hint="default" w:cs="Times New Roman"/>
          <w:szCs w:val="24"/>
          <w:lang w:val="en"/>
        </w:rPr>
        <w:t>ranscriptomics analysis</w:t>
      </w:r>
      <w:r>
        <w:rPr>
          <w:rFonts w:hint="default" w:cs="Times New Roman"/>
          <w:szCs w:val="24"/>
          <w:lang w:val="en-US" w:eastAsia="zh-CN"/>
        </w:rPr>
        <w:t xml:space="preserve"> were performed with standard procedures in cooperation with Shanghai Meiji Biological Technology Co., Ltd. (Shanghai, China). </w:t>
      </w:r>
    </w:p>
    <w:p w14:paraId="30758F82">
      <w:pPr>
        <w:keepNext/>
        <w:rPr>
          <w:rFonts w:hint="default" w:cs="Times New Roman"/>
          <w:szCs w:val="24"/>
          <w:lang w:val="en"/>
        </w:rPr>
      </w:pPr>
      <w:r>
        <w:rPr>
          <w:rFonts w:hint="default" w:cs="Times New Roman"/>
          <w:szCs w:val="24"/>
          <w:lang w:val="en" w:eastAsia="zh-CN"/>
        </w:rPr>
        <w:t>1. RNA extraction</w:t>
      </w:r>
      <w:r>
        <w:rPr>
          <w:rFonts w:hint="eastAsia" w:cs="Times New Roman"/>
          <w:szCs w:val="24"/>
          <w:lang w:val="en-US" w:eastAsia="zh-CN"/>
        </w:rPr>
        <w:t xml:space="preserve">: </w:t>
      </w:r>
      <w:r>
        <w:rPr>
          <w:rFonts w:hint="default" w:cs="Times New Roman"/>
          <w:szCs w:val="24"/>
          <w:lang w:val="en" w:eastAsia="zh-CN"/>
        </w:rPr>
        <w:t>Total RNA was extracted from the tissue using TRIzol® Reagent</w:t>
      </w:r>
      <w:r>
        <w:rPr>
          <w:rFonts w:hint="default" w:cs="Times New Roman"/>
          <w:szCs w:val="24"/>
          <w:lang w:val="en-US" w:eastAsia="zh-CN"/>
        </w:rPr>
        <w:t xml:space="preserve"> </w:t>
      </w:r>
      <w:r>
        <w:rPr>
          <w:rFonts w:hint="default" w:cs="Times New Roman"/>
          <w:szCs w:val="24"/>
          <w:lang w:val="en" w:eastAsia="zh-CN"/>
        </w:rPr>
        <w:t>according the manufacturer’s instructions (Invitrogen) and genomic DNA was removed using DNase I (TaKara). RNA degradation and contamination was monitored on 1% agarose gels. Then RNA quality was determined by 2100 Bioanalyser (Agilent Technologies) and quantified using the ND-2000 (NanoDrop Technologies). Only high-quality RNA sample (OD260/280=1.8~2.2, OD260/230≥2.0, RIN≥8.0, 28S:18S≥1.0, &gt;1μg) was used</w:t>
      </w:r>
      <w:r>
        <w:rPr>
          <w:rFonts w:hint="default" w:cs="Times New Roman"/>
          <w:szCs w:val="24"/>
          <w:lang w:val="en-US" w:eastAsia="zh-CN"/>
        </w:rPr>
        <w:t xml:space="preserve"> </w:t>
      </w:r>
      <w:r>
        <w:rPr>
          <w:rFonts w:hint="default" w:cs="Times New Roman"/>
          <w:szCs w:val="24"/>
          <w:lang w:val="en" w:eastAsia="zh-CN"/>
        </w:rPr>
        <w:t xml:space="preserve">to construct sequencing library. </w:t>
      </w:r>
    </w:p>
    <w:p w14:paraId="702A6545">
      <w:pPr>
        <w:keepNext/>
        <w:rPr>
          <w:rFonts w:hint="default" w:cs="Times New Roman"/>
          <w:szCs w:val="24"/>
          <w:lang w:val="en"/>
        </w:rPr>
      </w:pPr>
      <w:r>
        <w:rPr>
          <w:rFonts w:hint="default" w:cs="Times New Roman"/>
          <w:szCs w:val="24"/>
          <w:lang w:val="en" w:eastAsia="zh-CN"/>
        </w:rPr>
        <w:t>2. Library preparation and sequencing</w:t>
      </w:r>
      <w:r>
        <w:rPr>
          <w:rFonts w:hint="eastAsia" w:cs="Times New Roman"/>
          <w:szCs w:val="24"/>
          <w:lang w:val="en-US" w:eastAsia="zh-CN"/>
        </w:rPr>
        <w:t xml:space="preserve">: </w:t>
      </w:r>
      <w:r>
        <w:rPr>
          <w:rFonts w:hint="default" w:cs="Times New Roman"/>
          <w:szCs w:val="24"/>
          <w:lang w:val="en" w:eastAsia="zh-CN"/>
        </w:rPr>
        <w:t>RNA purification, reverse transcription, library construction and sequencing were performed at Shanghai Majorbio Bio-pharm Biotechnology Co., Ltd. (Shanghai, China) according to the manufacturer’s instructions (Illumina, San Diego, CA). The ranscriptome library was prepared following TruSeq TM RNA sample preparation Kit from Illumina (San Diego, CA) using 1μg of total RNA. Shortly, messenger RNA was isolated according to polyA selection method by oligo(dT) beads and then fragmented by fragmentation buffer firstly. Secondly double-stranded cDNA was synthesized using a SuperScript double-stranded cDNA synthesis kit (Invitrogen, CA)</w:t>
      </w:r>
      <w:r>
        <w:rPr>
          <w:rFonts w:hint="default" w:cs="Times New Roman"/>
          <w:szCs w:val="24"/>
          <w:lang w:val="en-US" w:eastAsia="zh-CN"/>
        </w:rPr>
        <w:t xml:space="preserve"> </w:t>
      </w:r>
      <w:r>
        <w:rPr>
          <w:rFonts w:hint="default" w:cs="Times New Roman"/>
          <w:szCs w:val="24"/>
          <w:lang w:val="en" w:eastAsia="zh-CN"/>
        </w:rPr>
        <w:t xml:space="preserve">with random hexamer primers (Illumina). Then the synthesized cDNA was subjected to end-repair, phosphorylation and ‘A’ base addition according to Illumina’s library construction protocol. Libraries were size selected for cDNA target fragments of 300 bp on 2% Low Range Ultra Agarose followed by PCR amplified using Phusion DNA polymerase (NEB) for 15 PCR cycles. After quantified by TBS380, paired-end RNA-seq sequencing library was sequenced with the Illumina NovaSeq 6000 sequencer (2×150bp read length). </w:t>
      </w:r>
    </w:p>
    <w:p w14:paraId="2496C3C4">
      <w:pPr>
        <w:keepNext/>
        <w:rPr>
          <w:rFonts w:hint="default" w:cs="Times New Roman"/>
          <w:szCs w:val="24"/>
          <w:lang w:val="en" w:eastAsia="zh-CN"/>
        </w:rPr>
      </w:pPr>
      <w:r>
        <w:rPr>
          <w:rFonts w:hint="default" w:cs="Times New Roman"/>
          <w:szCs w:val="24"/>
          <w:lang w:val="en" w:eastAsia="zh-CN"/>
        </w:rPr>
        <w:t>3. Quality control and read mapping</w:t>
      </w:r>
      <w:r>
        <w:rPr>
          <w:rFonts w:hint="eastAsia" w:cs="Times New Roman"/>
          <w:szCs w:val="24"/>
          <w:lang w:val="en-US" w:eastAsia="zh-CN"/>
        </w:rPr>
        <w:t xml:space="preserve">: </w:t>
      </w:r>
      <w:r>
        <w:rPr>
          <w:rFonts w:hint="default" w:cs="Times New Roman"/>
          <w:szCs w:val="24"/>
          <w:lang w:val="en" w:eastAsia="zh-CN"/>
        </w:rPr>
        <w:t>The raw paired end reads were trimmed and quality controlled by fastp (https://github.com/OpenGene/fastp)</w:t>
      </w:r>
      <w:r>
        <w:rPr>
          <w:rFonts w:hint="default" w:cs="Times New Roman"/>
          <w:szCs w:val="24"/>
          <w:lang w:val="en-US" w:eastAsia="zh-CN"/>
        </w:rPr>
        <w:t xml:space="preserve"> </w:t>
      </w:r>
      <w:r>
        <w:rPr>
          <w:rFonts w:hint="default" w:cs="Times New Roman"/>
          <w:szCs w:val="24"/>
          <w:lang w:val="en" w:eastAsia="zh-CN"/>
        </w:rPr>
        <w:t>with default parameters. Then clean reads were separately aligned to reference genome with orientation mode using HISAT2 (http://ccb.jhu.edu/software/hisat2/index.shtml)</w:t>
      </w:r>
      <w:r>
        <w:rPr>
          <w:rFonts w:hint="default" w:cs="Times New Roman"/>
          <w:szCs w:val="24"/>
          <w:lang w:val="en-US" w:eastAsia="zh-CN"/>
        </w:rPr>
        <w:t xml:space="preserve"> </w:t>
      </w:r>
      <w:r>
        <w:rPr>
          <w:rFonts w:hint="default" w:cs="Times New Roman"/>
          <w:szCs w:val="24"/>
          <w:lang w:val="en" w:eastAsia="zh-CN"/>
        </w:rPr>
        <w:t>software. The mapped reads of each sample were assembled by StringTie (https://ccb.jhu.edu/software/stringtie/) in a reference-based approach.</w:t>
      </w:r>
    </w:p>
    <w:p w14:paraId="0A3F5FA0">
      <w:pPr>
        <w:keepNext/>
        <w:rPr>
          <w:rFonts w:hint="default" w:cs="Times New Roman"/>
          <w:szCs w:val="24"/>
          <w:lang w:val="en" w:eastAsia="zh-CN"/>
        </w:rPr>
      </w:pPr>
      <w:r>
        <w:rPr>
          <w:rFonts w:hint="default" w:cs="Times New Roman"/>
          <w:szCs w:val="24"/>
          <w:lang w:val="en" w:eastAsia="zh-CN"/>
        </w:rPr>
        <w:t>4. Differential expression analysis and functional enrichment</w:t>
      </w:r>
      <w:r>
        <w:rPr>
          <w:rFonts w:hint="eastAsia" w:cs="Times New Roman"/>
          <w:szCs w:val="24"/>
          <w:lang w:val="en-US" w:eastAsia="zh-CN"/>
        </w:rPr>
        <w:t xml:space="preserve">: </w:t>
      </w:r>
      <w:r>
        <w:rPr>
          <w:rFonts w:hint="default" w:cs="Times New Roman"/>
          <w:szCs w:val="24"/>
          <w:lang w:val="en" w:eastAsia="zh-CN"/>
        </w:rPr>
        <w:t>To identify DEGs (differential expression genes) between two different samples/groups, the expression level of each gene was calculated according to the transcripts per million reads (TPM) method. RSEM (http://deweylab.biostat.wisc.edu/rsem/)</w:t>
      </w:r>
      <w:r>
        <w:rPr>
          <w:rFonts w:hint="default" w:cs="Times New Roman"/>
          <w:szCs w:val="24"/>
          <w:lang w:val="en-US" w:eastAsia="zh-CN"/>
        </w:rPr>
        <w:t xml:space="preserve"> </w:t>
      </w:r>
      <w:r>
        <w:rPr>
          <w:rFonts w:hint="default" w:cs="Times New Roman"/>
          <w:szCs w:val="24"/>
          <w:lang w:val="en" w:eastAsia="zh-CN"/>
        </w:rPr>
        <w:t xml:space="preserve">was used to quantify gene abundances. Essentially, differential expression analysis was performed using the DESeq2 </w:t>
      </w:r>
      <w:r>
        <w:rPr>
          <w:rFonts w:hint="default" w:cs="Times New Roman"/>
          <w:szCs w:val="24"/>
          <w:lang w:val="en-US" w:eastAsia="zh-CN"/>
        </w:rPr>
        <w:t xml:space="preserve"> </w:t>
      </w:r>
      <w:r>
        <w:rPr>
          <w:rFonts w:hint="default" w:cs="Times New Roman"/>
          <w:szCs w:val="24"/>
          <w:lang w:val="en" w:eastAsia="zh-CN"/>
        </w:rPr>
        <w:t>/DEGseq</w:t>
      </w:r>
      <w:r>
        <w:rPr>
          <w:rFonts w:hint="default" w:cs="Times New Roman"/>
          <w:szCs w:val="24"/>
          <w:lang w:val="en-US" w:eastAsia="zh-CN"/>
        </w:rPr>
        <w:t xml:space="preserve"> </w:t>
      </w:r>
      <w:r>
        <w:rPr>
          <w:rFonts w:hint="default" w:cs="Times New Roman"/>
          <w:szCs w:val="24"/>
          <w:lang w:val="en" w:eastAsia="zh-CN"/>
        </w:rPr>
        <w:t>/edgeR</w:t>
      </w:r>
      <w:r>
        <w:rPr>
          <w:rFonts w:hint="default" w:cs="Times New Roman"/>
          <w:szCs w:val="24"/>
          <w:lang w:val="en-US" w:eastAsia="zh-CN"/>
        </w:rPr>
        <w:t xml:space="preserve"> </w:t>
      </w:r>
      <w:r>
        <w:rPr>
          <w:rFonts w:hint="default" w:cs="Times New Roman"/>
          <w:szCs w:val="24"/>
          <w:lang w:val="en" w:eastAsia="zh-CN"/>
        </w:rPr>
        <w:t>/Limma</w:t>
      </w:r>
      <w:r>
        <w:rPr>
          <w:rFonts w:hint="default" w:cs="Times New Roman"/>
          <w:szCs w:val="24"/>
          <w:lang w:val="en-US" w:eastAsia="zh-CN"/>
        </w:rPr>
        <w:t xml:space="preserve"> </w:t>
      </w:r>
      <w:r>
        <w:rPr>
          <w:rFonts w:hint="default" w:cs="Times New Roman"/>
          <w:szCs w:val="24"/>
          <w:lang w:val="en" w:eastAsia="zh-CN"/>
        </w:rPr>
        <w:t>/NOIseq</w:t>
      </w:r>
      <w:r>
        <w:rPr>
          <w:rFonts w:hint="default" w:cs="Times New Roman"/>
          <w:szCs w:val="24"/>
          <w:lang w:val="en-US" w:eastAsia="zh-CN"/>
        </w:rPr>
        <w:t xml:space="preserve"> </w:t>
      </w:r>
      <w:r>
        <w:rPr>
          <w:rFonts w:hint="default" w:cs="Times New Roman"/>
          <w:szCs w:val="24"/>
          <w:lang w:val="en" w:eastAsia="zh-CN"/>
        </w:rPr>
        <w:t xml:space="preserve">, DEGs with |log2 (foldchange)| ≥ 1 and </w:t>
      </w:r>
      <w:r>
        <w:rPr>
          <w:rFonts w:hint="default" w:cs="Times New Roman"/>
          <w:i/>
          <w:iCs/>
          <w:szCs w:val="24"/>
          <w:lang w:val="en" w:eastAsia="zh-CN"/>
        </w:rPr>
        <w:t>P</w:t>
      </w:r>
      <w:r>
        <w:rPr>
          <w:rFonts w:hint="default" w:cs="Times New Roman"/>
          <w:szCs w:val="24"/>
          <w:lang w:val="en" w:eastAsia="zh-CN"/>
        </w:rPr>
        <w:t xml:space="preserve">-adjust ≤ 0.05 (DESeq2/edgeR/Limma) / </w:t>
      </w:r>
      <w:r>
        <w:rPr>
          <w:rFonts w:hint="default" w:cs="Times New Roman"/>
          <w:i/>
          <w:iCs/>
          <w:szCs w:val="24"/>
          <w:lang w:val="en" w:eastAsia="zh-CN"/>
        </w:rPr>
        <w:t>P</w:t>
      </w:r>
      <w:r>
        <w:rPr>
          <w:rFonts w:hint="default" w:cs="Times New Roman"/>
          <w:szCs w:val="24"/>
          <w:lang w:val="en" w:eastAsia="zh-CN"/>
        </w:rPr>
        <w:t xml:space="preserve">-adjust ≤ 0.001 (DEGseq) / Prob &gt; 0.8 (NOIseq) were considered to be significantly different expressed genes. In addition, functional-enrichment analysis including GO (Gene Ontology, http://www.geneontology.org) and KEGG (Kyoto Encyclopedia of Genes and Genomes, http://www.genome.jp/kegg/) were performed to identify which DEGs were significantly enriched in GO terms and metabolic pathways at </w:t>
      </w:r>
      <w:r>
        <w:rPr>
          <w:rFonts w:hint="default" w:cs="Times New Roman"/>
          <w:i/>
          <w:iCs/>
          <w:szCs w:val="24"/>
          <w:lang w:val="en" w:eastAsia="zh-CN"/>
        </w:rPr>
        <w:t>P</w:t>
      </w:r>
      <w:r>
        <w:rPr>
          <w:rFonts w:hint="default" w:cs="Times New Roman"/>
          <w:szCs w:val="24"/>
          <w:lang w:val="en" w:eastAsia="zh-CN"/>
        </w:rPr>
        <w:t>-adjust ≤ 0.05 compared with the whole-transcriptome background. GO functional</w:t>
      </w:r>
      <w:r>
        <w:rPr>
          <w:rFonts w:hint="default" w:cs="Times New Roman"/>
          <w:szCs w:val="24"/>
          <w:lang w:val="en-US" w:eastAsia="zh-CN"/>
        </w:rPr>
        <w:t xml:space="preserve"> </w:t>
      </w:r>
      <w:r>
        <w:rPr>
          <w:rFonts w:hint="default" w:cs="Times New Roman"/>
          <w:szCs w:val="24"/>
          <w:lang w:val="en" w:eastAsia="zh-CN"/>
        </w:rPr>
        <w:t xml:space="preserve">enrichment and KEGG pathway analysis were carried out by Goatools (https://github.com/tanghaibao/Goatools) and KOBAS (http://kobas.cbi.pku.edu.cn/home.do). </w:t>
      </w:r>
    </w:p>
    <w:p w14:paraId="5155C722">
      <w:pPr>
        <w:keepNext/>
        <w:rPr>
          <w:rFonts w:hint="default" w:cs="Times New Roman"/>
          <w:szCs w:val="24"/>
          <w:lang w:val="en" w:eastAsia="zh-CN"/>
        </w:rPr>
      </w:pPr>
      <w:r>
        <w:rPr>
          <w:rFonts w:hint="default" w:cs="Times New Roman"/>
          <w:szCs w:val="24"/>
          <w:lang w:val="en" w:eastAsia="zh-CN"/>
        </w:rPr>
        <w:t>5. Alternative Splice events Identification</w:t>
      </w:r>
      <w:r>
        <w:rPr>
          <w:rFonts w:hint="eastAsia" w:cs="Times New Roman"/>
          <w:szCs w:val="24"/>
          <w:lang w:val="en-US" w:eastAsia="zh-CN"/>
        </w:rPr>
        <w:t xml:space="preserve">: </w:t>
      </w:r>
      <w:r>
        <w:rPr>
          <w:rFonts w:hint="default" w:cs="Times New Roman"/>
          <w:szCs w:val="24"/>
          <w:lang w:val="en" w:eastAsia="zh-CN"/>
        </w:rPr>
        <w:t>All the alternative splice events that occurred in our samples were identified by using recently releases program rMATS (http</w:t>
      </w:r>
      <w:r>
        <w:rPr>
          <w:rFonts w:hint="default" w:cs="Times New Roman"/>
          <w:szCs w:val="24"/>
          <w:lang w:val="en-US" w:eastAsia="zh-CN"/>
        </w:rPr>
        <w:t>:</w:t>
      </w:r>
      <w:r>
        <w:rPr>
          <w:rFonts w:hint="default" w:cs="Times New Roman"/>
          <w:szCs w:val="24"/>
          <w:lang w:val="en" w:eastAsia="zh-CN"/>
        </w:rPr>
        <w:t>//rnaseq-mats.sourceforge.net/index.html). Only the isoforms that were similar to the reference or comprised novel splice junctions were considered, and the splicing differences were detected as exon inclusion, exclusion, alternative 5′, 3′, and intron retention events.</w:t>
      </w:r>
    </w:p>
    <w:p w14:paraId="1D02FD8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520BA"/>
    <w:multiLevelType w:val="singleLevel"/>
    <w:tmpl w:val="821520BA"/>
    <w:lvl w:ilvl="0" w:tentative="0">
      <w:start w:val="1"/>
      <w:numFmt w:val="decimal"/>
      <w:suff w:val="space"/>
      <w:lvlText w:val="%1."/>
      <w:lvlJc w:val="left"/>
    </w:lvl>
  </w:abstractNum>
  <w:abstractNum w:abstractNumId="1">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lvlText w:val="%1.%2.%3"/>
      <w:lvlJc w:val="left"/>
      <w:pPr>
        <w:tabs>
          <w:tab w:val="left" w:pos="567"/>
        </w:tabs>
        <w:ind w:left="567" w:hanging="567"/>
      </w:pPr>
      <w:rPr>
        <w:rFonts w:hint="default"/>
      </w:rPr>
    </w:lvl>
    <w:lvl w:ilvl="3" w:tentative="0">
      <w:start w:val="1"/>
      <w:numFmt w:val="decimal"/>
      <w:lvlText w:val="%1.%2.%3.%4"/>
      <w:lvlJc w:val="left"/>
      <w:pPr>
        <w:tabs>
          <w:tab w:val="left" w:pos="567"/>
        </w:tabs>
        <w:ind w:left="567" w:hanging="567"/>
      </w:pPr>
      <w:rPr>
        <w:rFonts w:hint="default"/>
      </w:rPr>
    </w:lvl>
    <w:lvl w:ilvl="4" w:tentative="0">
      <w:start w:val="1"/>
      <w:numFmt w:val="decimal"/>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2">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9C6794"/>
    <w:rsid w:val="4E9B3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qFormat/>
    <w:uiPriority w:val="2"/>
    <w:pPr>
      <w:numPr>
        <w:ilvl w:val="0"/>
        <w:numId w:val="1"/>
      </w:numPr>
      <w:spacing w:before="240"/>
      <w:contextualSpacing w:val="0"/>
      <w:outlineLvl w:val="0"/>
    </w:pPr>
    <w:rPr>
      <w:b/>
    </w:rPr>
  </w:style>
  <w:style w:type="paragraph" w:styleId="4">
    <w:name w:val="heading 2"/>
    <w:basedOn w:val="2"/>
    <w:next w:val="1"/>
    <w:qFormat/>
    <w:uiPriority w:val="2"/>
    <w:pPr>
      <w:numPr>
        <w:ilvl w:val="1"/>
      </w:numPr>
      <w:spacing w:after="200"/>
      <w:outlineLvl w:val="1"/>
    </w:p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5">
    <w:name w:val="Title"/>
    <w:basedOn w:val="1"/>
    <w:next w:val="1"/>
    <w:qFormat/>
    <w:uiPriority w:val="0"/>
    <w:pPr>
      <w:suppressLineNumbers/>
      <w:spacing w:before="240" w:after="360"/>
      <w:jc w:val="center"/>
    </w:pPr>
    <w:rPr>
      <w:rFonts w:cs="Times New Roman"/>
      <w:b/>
      <w:sz w:val="32"/>
      <w:szCs w:val="32"/>
    </w:rPr>
  </w:style>
  <w:style w:type="table" w:styleId="7">
    <w:name w:val="Table Grid"/>
    <w:basedOn w:val="6"/>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Supplementary Material"/>
    <w:basedOn w:val="5"/>
    <w:next w:val="5"/>
    <w:qFormat/>
    <w:uiPriority w:val="0"/>
    <w:pPr>
      <w:spacing w:after="120"/>
    </w:pPr>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1120</Words>
  <Characters>7401</Characters>
  <Lines>0</Lines>
  <Paragraphs>0</Paragraphs>
  <TotalTime>0</TotalTime>
  <ScaleCrop>false</ScaleCrop>
  <LinksUpToDate>false</LinksUpToDate>
  <CharactersWithSpaces>8456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艳宏</cp:lastModifiedBy>
  <dcterms:modified xsi:type="dcterms:W3CDTF">2026-05-06T14:14:14Z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eyJoZGlkIjoiZTdmYTQ5ZDRhMmJmNTkwZTc1ZGEzNTgzMjNmM2VlMDYiLCJ1c2VySWQiOiI0NDk5NDI4ODgifQ==</vt:lpwstr>
  </property>
  <property fmtid="{D5CDD505-2E9C-101B-9397-08002B2CF9AE}" pid="4" name="ICV">
    <vt:lpwstr>7ECFD41F00924C5189A12F3A1C43A7D0_12</vt:lpwstr>
  </property>
</Properties>
</file>