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89834" w14:textId="2C6AE2D4" w:rsidR="00980629" w:rsidRPr="00025D44" w:rsidRDefault="00980629" w:rsidP="00980629">
      <w:pPr>
        <w:spacing w:after="0" w:line="400" w:lineRule="exact"/>
        <w:rPr>
          <w:rFonts w:ascii="Times New Roman" w:hAnsi="Times New Roman" w:cs="Times New Roman"/>
          <w:sz w:val="24"/>
        </w:rPr>
      </w:pPr>
      <w:r w:rsidRPr="00025D44">
        <w:rPr>
          <w:rFonts w:ascii="Calibri" w:hAnsi="Calibri" w:cs="Calibri"/>
          <w:b/>
          <w:bCs/>
          <w:sz w:val="28"/>
          <w:szCs w:val="28"/>
        </w:rPr>
        <w:t>Supplementary Information</w:t>
      </w:r>
      <w:r w:rsidRPr="00980629">
        <w:rPr>
          <w:rFonts w:ascii="Times New Roman" w:hAnsi="Times New Roman" w:cs="Times New Roman"/>
          <w:sz w:val="24"/>
        </w:rPr>
        <w:br/>
      </w:r>
      <w:r w:rsidR="00714C4E" w:rsidRPr="00025D44">
        <w:rPr>
          <w:rFonts w:ascii="Times New Roman" w:hAnsi="Times New Roman" w:cs="Times New Roman" w:hint="eastAsia"/>
          <w:sz w:val="24"/>
        </w:rPr>
        <w:t>Tenascin-C promotes rheumatoid arthritis progression by regulating fibroblast survival and immune activation</w:t>
      </w:r>
      <w:r w:rsidRPr="00025D44">
        <w:rPr>
          <w:rFonts w:ascii="Times New Roman" w:hAnsi="Times New Roman" w:cs="Times New Roman"/>
          <w:sz w:val="24"/>
        </w:rPr>
        <w:br/>
        <w:t xml:space="preserve">First Authors: </w:t>
      </w:r>
      <w:r w:rsidRPr="00025D44">
        <w:rPr>
          <w:rFonts w:ascii="Times New Roman" w:hAnsi="Times New Roman" w:cs="Times New Roman" w:hint="eastAsia"/>
          <w:sz w:val="24"/>
        </w:rPr>
        <w:t>Mingyue Hu</w:t>
      </w:r>
    </w:p>
    <w:p w14:paraId="0488CD7C" w14:textId="03A367A8" w:rsidR="004D6264" w:rsidRPr="00CA5F6E" w:rsidRDefault="004D6264" w:rsidP="00980629">
      <w:pPr>
        <w:spacing w:line="40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2336" behindDoc="0" locked="0" layoutInCell="1" allowOverlap="1" wp14:anchorId="15AC04B9" wp14:editId="70FD6EED">
            <wp:simplePos x="0" y="0"/>
            <wp:positionH relativeFrom="column">
              <wp:posOffset>635</wp:posOffset>
            </wp:positionH>
            <wp:positionV relativeFrom="paragraph">
              <wp:posOffset>816709</wp:posOffset>
            </wp:positionV>
            <wp:extent cx="5274310" cy="2000885"/>
            <wp:effectExtent l="0" t="0" r="2540" b="0"/>
            <wp:wrapTopAndBottom/>
            <wp:docPr id="9407903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790394" name="图片 94079039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0629" w:rsidRPr="00025D44">
        <w:rPr>
          <w:rFonts w:ascii="Times New Roman" w:hAnsi="Times New Roman" w:cs="Times New Roman"/>
          <w:sz w:val="24"/>
        </w:rPr>
        <w:t xml:space="preserve">Corresponding Authors: </w:t>
      </w:r>
      <w:r w:rsidR="00980629" w:rsidRPr="00025D44">
        <w:rPr>
          <w:rFonts w:ascii="Times New Roman" w:eastAsiaTheme="minorHAnsi" w:hAnsi="Times New Roman" w:cs="Times New Roman"/>
          <w:sz w:val="24"/>
        </w:rPr>
        <w:t>Xiong Cai, and Liang Liu</w:t>
      </w:r>
      <w:r w:rsidR="00980629" w:rsidRPr="00025D44">
        <w:rPr>
          <w:rFonts w:ascii="Times New Roman" w:hAnsi="Times New Roman" w:cs="Times New Roman"/>
          <w:sz w:val="24"/>
        </w:rPr>
        <w:t xml:space="preserve"> </w:t>
      </w:r>
      <w:r w:rsidR="00980629" w:rsidRPr="00025D44">
        <w:rPr>
          <w:rFonts w:ascii="Times New Roman" w:hAnsi="Times New Roman" w:cs="Times New Roman"/>
          <w:sz w:val="24"/>
        </w:rPr>
        <w:br/>
        <w:t xml:space="preserve">Supplementary </w:t>
      </w:r>
      <w:r w:rsidR="003D350A" w:rsidRPr="00025D44">
        <w:rPr>
          <w:rFonts w:ascii="Times New Roman" w:hAnsi="Times New Roman" w:cs="Times New Roman" w:hint="eastAsia"/>
          <w:sz w:val="24"/>
        </w:rPr>
        <w:t>f</w:t>
      </w:r>
      <w:r w:rsidR="00980629" w:rsidRPr="00025D44">
        <w:rPr>
          <w:rFonts w:ascii="Times New Roman" w:hAnsi="Times New Roman" w:cs="Times New Roman"/>
          <w:sz w:val="24"/>
        </w:rPr>
        <w:t>igures 1-</w:t>
      </w:r>
      <w:r w:rsidR="00D6319D">
        <w:rPr>
          <w:rFonts w:ascii="Times New Roman" w:hAnsi="Times New Roman" w:cs="Times New Roman" w:hint="eastAsia"/>
          <w:sz w:val="24"/>
        </w:rPr>
        <w:t>4</w:t>
      </w:r>
      <w:r w:rsidR="00980629" w:rsidRPr="00025D44">
        <w:rPr>
          <w:rFonts w:ascii="Times New Roman" w:hAnsi="Times New Roman" w:cs="Times New Roman"/>
          <w:sz w:val="24"/>
        </w:rPr>
        <w:br/>
      </w:r>
      <w:bookmarkStart w:id="0" w:name="_Hlk207892444"/>
      <w:r w:rsidR="00980629" w:rsidRPr="00025D44">
        <w:rPr>
          <w:rFonts w:ascii="Times New Roman" w:hAnsi="Times New Roman" w:cs="Times New Roman"/>
          <w:sz w:val="24"/>
        </w:rPr>
        <w:t>Supplementary</w:t>
      </w:r>
      <w:bookmarkEnd w:id="0"/>
      <w:r w:rsidR="00980629" w:rsidRPr="00025D44">
        <w:rPr>
          <w:rFonts w:ascii="Times New Roman" w:hAnsi="Times New Roman" w:cs="Times New Roman"/>
          <w:sz w:val="24"/>
        </w:rPr>
        <w:t xml:space="preserve"> </w:t>
      </w:r>
      <w:r w:rsidR="003D350A" w:rsidRPr="00025D44">
        <w:rPr>
          <w:rFonts w:ascii="Times New Roman" w:hAnsi="Times New Roman" w:cs="Times New Roman" w:hint="eastAsia"/>
          <w:sz w:val="24"/>
        </w:rPr>
        <w:t>t</w:t>
      </w:r>
      <w:r w:rsidR="00980629" w:rsidRPr="00025D44">
        <w:rPr>
          <w:rFonts w:ascii="Times New Roman" w:hAnsi="Times New Roman" w:cs="Times New Roman"/>
          <w:sz w:val="24"/>
        </w:rPr>
        <w:t xml:space="preserve">ables </w:t>
      </w:r>
      <w:r w:rsidR="00D6319D">
        <w:rPr>
          <w:rFonts w:ascii="Times New Roman" w:hAnsi="Times New Roman" w:cs="Times New Roman" w:hint="eastAsia"/>
          <w:sz w:val="24"/>
        </w:rPr>
        <w:t>2</w:t>
      </w:r>
    </w:p>
    <w:p w14:paraId="70B34896" w14:textId="2DBFF9D9" w:rsidR="00537C64" w:rsidRDefault="000217B3" w:rsidP="00153CDE">
      <w:pPr>
        <w:spacing w:line="400" w:lineRule="exact"/>
        <w:ind w:left="220" w:hangingChars="100" w:hanging="220"/>
        <w:rPr>
          <w:rFonts w:ascii="Times New Roman" w:hAnsi="Times New Roman" w:cs="Times New Roman"/>
          <w:color w:val="EE0000"/>
          <w:szCs w:val="22"/>
        </w:rPr>
      </w:pPr>
      <w:r>
        <w:rPr>
          <w:rFonts w:ascii="Times New Roman" w:hAnsi="Times New Roman" w:cs="Times New Roman"/>
          <w:noProof/>
          <w:color w:val="EE0000"/>
          <w:szCs w:val="22"/>
        </w:rPr>
        <w:drawing>
          <wp:anchor distT="0" distB="0" distL="114300" distR="114300" simplePos="0" relativeHeight="251663360" behindDoc="0" locked="0" layoutInCell="1" allowOverlap="1" wp14:anchorId="4347CDD1" wp14:editId="0F1F33C3">
            <wp:simplePos x="0" y="0"/>
            <wp:positionH relativeFrom="column">
              <wp:posOffset>-33655</wp:posOffset>
            </wp:positionH>
            <wp:positionV relativeFrom="paragraph">
              <wp:posOffset>4516120</wp:posOffset>
            </wp:positionV>
            <wp:extent cx="5274310" cy="1749425"/>
            <wp:effectExtent l="0" t="0" r="2540" b="3175"/>
            <wp:wrapTopAndBottom/>
            <wp:docPr id="166002909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029096" name="图片 16600290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C64"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>Supplementary figure 1.</w:t>
      </w:r>
      <w:r w:rsidR="00537C64" w:rsidRPr="00ED6AC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537C64" w:rsidRPr="004D6E9B">
        <w:rPr>
          <w:rFonts w:ascii="Calibri Light" w:hAnsi="Calibri Light" w:cs="Calibri Light"/>
          <w:color w:val="000000" w:themeColor="text1"/>
          <w:sz w:val="20"/>
          <w:szCs w:val="20"/>
        </w:rPr>
        <w:t xml:space="preserve">TNC expression patterns in human and murine synovial tissues at single-cell and bulk transcriptomic levels. </w:t>
      </w:r>
      <w:r w:rsidR="00537C64" w:rsidRPr="00025D44">
        <w:rPr>
          <w:rFonts w:ascii="Calibri Light" w:hAnsi="Calibri Light" w:cs="Calibri Light"/>
          <w:color w:val="000000" w:themeColor="text1"/>
          <w:sz w:val="20"/>
          <w:szCs w:val="20"/>
        </w:rPr>
        <w:t>(</w:t>
      </w:r>
      <w:r w:rsidR="00537C64"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>A</w:t>
      </w:r>
      <w:r w:rsidR="00537C64" w:rsidRPr="00025D44">
        <w:rPr>
          <w:rFonts w:ascii="Calibri Light" w:hAnsi="Calibri Light" w:cs="Calibri Light"/>
          <w:color w:val="000000" w:themeColor="text1"/>
          <w:sz w:val="20"/>
          <w:szCs w:val="20"/>
        </w:rPr>
        <w:t xml:space="preserve">) </w:t>
      </w:r>
      <w:proofErr w:type="spellStart"/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>Pseudobulk</w:t>
      </w:r>
      <w:proofErr w:type="spellEnd"/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comparison of </w:t>
      </w:r>
      <w:r w:rsidR="00537C64" w:rsidRPr="0049761B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TNC</w:t>
      </w:r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expression between RA and OA synovial tissues </w:t>
      </w:r>
      <w:r w:rsidR="00537C64" w:rsidRPr="004D6E9B">
        <w:rPr>
          <w:rFonts w:ascii="Calibri Light" w:hAnsi="Calibri Light" w:cs="Calibri Light"/>
          <w:color w:val="000000" w:themeColor="text1"/>
          <w:sz w:val="20"/>
          <w:szCs w:val="20"/>
        </w:rPr>
        <w:t>derived from</w:t>
      </w:r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integrated </w:t>
      </w:r>
      <w:proofErr w:type="spellStart"/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>scRNA</w:t>
      </w:r>
      <w:proofErr w:type="spellEnd"/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>-seq datasets (GSE200815 and GSE152805). Expression values were aggregated at the patient level</w:t>
      </w:r>
      <w:r w:rsidR="00537C64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537C64" w:rsidRPr="004D6E9B">
        <w:rPr>
          <w:rFonts w:ascii="Calibri Light" w:hAnsi="Calibri Light" w:cs="Calibri Light"/>
          <w:color w:val="000000" w:themeColor="text1"/>
          <w:sz w:val="20"/>
          <w:szCs w:val="20"/>
        </w:rPr>
        <w:t>to account for inter-individual variability</w:t>
      </w:r>
      <w:r w:rsidR="00537C64" w:rsidRPr="00F0155B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  <w:r w:rsidR="00537C64" w:rsidRPr="00025D44">
        <w:rPr>
          <w:rFonts w:ascii="Calibri Light" w:hAnsi="Calibri Light" w:cs="Calibri Light"/>
          <w:color w:val="000000" w:themeColor="text1"/>
          <w:sz w:val="20"/>
          <w:szCs w:val="20"/>
        </w:rPr>
        <w:t xml:space="preserve"> (</w:t>
      </w:r>
      <w:r w:rsidR="00537C64"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>B</w:t>
      </w:r>
      <w:r w:rsidR="00537C64" w:rsidRPr="00025D44">
        <w:rPr>
          <w:rFonts w:ascii="Calibri Light" w:hAnsi="Calibri Light" w:cs="Calibri Light"/>
          <w:color w:val="000000" w:themeColor="text1"/>
          <w:sz w:val="20"/>
          <w:szCs w:val="20"/>
        </w:rPr>
        <w:t xml:space="preserve">) </w:t>
      </w:r>
      <w:r w:rsidR="00537C64" w:rsidRPr="004D6E9B">
        <w:rPr>
          <w:rFonts w:ascii="Calibri Light" w:hAnsi="Calibri Light" w:cs="Calibri Light"/>
          <w:color w:val="000000" w:themeColor="text1"/>
          <w:sz w:val="20"/>
          <w:szCs w:val="20"/>
        </w:rPr>
        <w:t>Cell type-specific</w:t>
      </w:r>
      <w:r w:rsidR="00537C64">
        <w:rPr>
          <w:rFonts w:ascii="Calibri Light" w:hAnsi="Calibri Light" w:cs="Calibri Light"/>
          <w:color w:val="000000" w:themeColor="text1"/>
          <w:sz w:val="20"/>
          <w:szCs w:val="20"/>
        </w:rPr>
        <w:t xml:space="preserve"> d</w:t>
      </w:r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 xml:space="preserve">istribution of </w:t>
      </w:r>
      <w:r w:rsidR="00537C64" w:rsidRPr="0049761B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TNC</w:t>
      </w:r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expression across major </w:t>
      </w:r>
      <w:r w:rsidR="00537C64" w:rsidRPr="004D6E9B">
        <w:rPr>
          <w:rFonts w:ascii="Calibri Light" w:hAnsi="Calibri Light" w:cs="Calibri Light"/>
          <w:color w:val="000000" w:themeColor="text1"/>
          <w:sz w:val="20"/>
          <w:szCs w:val="20"/>
        </w:rPr>
        <w:t>synovial</w:t>
      </w:r>
      <w:r w:rsidR="00537C64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>cell types, including B cells, endothelial cells, fibroblasts, macrophages, smooth muscle cells, and T cells</w:t>
      </w:r>
      <w:r w:rsidR="00537C64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</w:t>
      </w:r>
      <w:r w:rsidR="00537C64" w:rsidRPr="004D6E9B">
        <w:rPr>
          <w:rFonts w:ascii="Calibri Light" w:hAnsi="Calibri Light" w:cs="Calibri Light"/>
          <w:color w:val="000000" w:themeColor="text1"/>
          <w:sz w:val="20"/>
          <w:szCs w:val="20"/>
        </w:rPr>
        <w:t xml:space="preserve">identifying fibroblasts </w:t>
      </w:r>
      <w:r w:rsidRPr="00025D44">
        <w:rPr>
          <w:rFonts w:ascii="Calibri" w:hAnsi="Calibri" w:cs="Calibri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01C7BA34" wp14:editId="3E062F9A">
            <wp:simplePos x="0" y="0"/>
            <wp:positionH relativeFrom="column">
              <wp:posOffset>493395</wp:posOffset>
            </wp:positionH>
            <wp:positionV relativeFrom="paragraph">
              <wp:posOffset>-318</wp:posOffset>
            </wp:positionV>
            <wp:extent cx="3945890" cy="1945640"/>
            <wp:effectExtent l="0" t="0" r="0" b="0"/>
            <wp:wrapTopAndBottom/>
            <wp:docPr id="58802355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023555" name="图片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45890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7C64" w:rsidRPr="004D6E9B">
        <w:rPr>
          <w:rFonts w:ascii="Calibri Light" w:hAnsi="Calibri Light" w:cs="Calibri Light"/>
          <w:color w:val="000000" w:themeColor="text1"/>
          <w:sz w:val="20"/>
          <w:szCs w:val="20"/>
        </w:rPr>
        <w:t>as the predominant cellular source</w:t>
      </w:r>
      <w:r w:rsidR="00537C64" w:rsidRPr="00F0155B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  <w:r w:rsidR="00537C64" w:rsidRPr="00025D44">
        <w:rPr>
          <w:rFonts w:ascii="Calibri Light" w:hAnsi="Calibri Light" w:cs="Calibri Light"/>
          <w:b/>
          <w:bCs/>
          <w:color w:val="000000" w:themeColor="text1"/>
          <w:sz w:val="16"/>
          <w:szCs w:val="16"/>
        </w:rPr>
        <w:t xml:space="preserve"> </w:t>
      </w:r>
      <w:r w:rsidR="00537C64" w:rsidRPr="00025D44">
        <w:rPr>
          <w:rFonts w:ascii="Calibri Light" w:hAnsi="Calibri Light" w:cs="Calibri Light"/>
          <w:color w:val="000000" w:themeColor="text1"/>
          <w:sz w:val="20"/>
          <w:szCs w:val="20"/>
        </w:rPr>
        <w:t>(</w:t>
      </w:r>
      <w:r w:rsidR="00537C64">
        <w:rPr>
          <w:rFonts w:ascii="Calibri" w:hAnsi="Calibri" w:cs="Calibri" w:hint="eastAsia"/>
          <w:b/>
          <w:bCs/>
          <w:color w:val="000000" w:themeColor="text1"/>
          <w:sz w:val="20"/>
          <w:szCs w:val="20"/>
        </w:rPr>
        <w:t>C</w:t>
      </w:r>
      <w:r w:rsidR="00537C64" w:rsidRPr="00025D44">
        <w:rPr>
          <w:rFonts w:ascii="Calibri Light" w:hAnsi="Calibri Light" w:cs="Calibri Light"/>
          <w:color w:val="000000" w:themeColor="text1"/>
          <w:sz w:val="20"/>
          <w:szCs w:val="20"/>
        </w:rPr>
        <w:t>)</w:t>
      </w:r>
      <w:r w:rsidR="00537C64" w:rsidRPr="009334F0">
        <w:rPr>
          <w:rFonts w:ascii="Times New Roman" w:eastAsia="宋体" w:hAnsi="Times New Roman" w:cs="Times New Roman"/>
          <w:b/>
          <w:bCs/>
          <w:sz w:val="20"/>
          <w:szCs w:val="18"/>
        </w:rPr>
        <w:t xml:space="preserve"> </w:t>
      </w:r>
      <w:proofErr w:type="spellStart"/>
      <w:r w:rsidR="00537C64" w:rsidRPr="008F633F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Tnc</w:t>
      </w:r>
      <w:proofErr w:type="spellEnd"/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expression in </w:t>
      </w:r>
      <w:r w:rsidR="00537C64" w:rsidRPr="004D6E9B">
        <w:rPr>
          <w:rFonts w:ascii="Calibri Light" w:hAnsi="Calibri Light" w:cs="Calibri Light"/>
          <w:color w:val="000000" w:themeColor="text1"/>
          <w:sz w:val="20"/>
          <w:szCs w:val="20"/>
        </w:rPr>
        <w:t>primary</w:t>
      </w:r>
      <w:r w:rsidR="00537C64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>FLS isolated from naive and CIA mice (GSE162306). Expression values were log</w:t>
      </w:r>
      <w:r w:rsidR="00537C64" w:rsidRPr="008F633F">
        <w:rPr>
          <w:rFonts w:ascii="Calibri Light" w:hAnsi="Calibri Light" w:cs="Calibri Light" w:hint="eastAsia"/>
          <w:color w:val="000000" w:themeColor="text1"/>
          <w:sz w:val="20"/>
          <w:szCs w:val="20"/>
          <w:vertAlign w:val="subscript"/>
        </w:rPr>
        <w:t>2</w:t>
      </w:r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 xml:space="preserve">-transformed [log₂(TPM+1)] and are presented as </w:t>
      </w:r>
      <w:proofErr w:type="spellStart"/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>mean±SEM</w:t>
      </w:r>
      <w:proofErr w:type="spellEnd"/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(n=3 per group). *</w:t>
      </w:r>
      <w:r w:rsidR="00537C64" w:rsidRPr="008F633F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P</w:t>
      </w:r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 xml:space="preserve">&lt;0.05 </w:t>
      </w:r>
      <w:r w:rsidR="00537C64">
        <w:rPr>
          <w:rFonts w:ascii="Calibri Light" w:hAnsi="Calibri Light" w:cs="Calibri Light"/>
          <w:color w:val="000000" w:themeColor="text1"/>
          <w:sz w:val="20"/>
          <w:szCs w:val="20"/>
        </w:rPr>
        <w:t xml:space="preserve">by </w:t>
      </w:r>
      <w:r w:rsidR="00537C64" w:rsidRPr="008F633F">
        <w:rPr>
          <w:rFonts w:ascii="Calibri Light" w:hAnsi="Calibri Light" w:cs="Calibri Light"/>
          <w:color w:val="000000" w:themeColor="text1"/>
          <w:sz w:val="20"/>
          <w:szCs w:val="20"/>
        </w:rPr>
        <w:t>unpaired two-tailed Student’s t-test.</w:t>
      </w:r>
    </w:p>
    <w:p w14:paraId="6AB4E41F" w14:textId="11A718FD" w:rsidR="000217B3" w:rsidRPr="00025D44" w:rsidRDefault="00E158E8" w:rsidP="000217B3">
      <w:pPr>
        <w:spacing w:line="400" w:lineRule="exact"/>
        <w:ind w:left="200" w:hangingChars="100" w:hanging="200"/>
        <w:rPr>
          <w:rFonts w:ascii="Calibri Light" w:hAnsi="Calibri Light" w:cs="Calibri Light" w:hint="eastAsia"/>
          <w:color w:val="000000" w:themeColor="text1"/>
          <w:sz w:val="20"/>
          <w:szCs w:val="20"/>
        </w:rPr>
      </w:pPr>
      <w:r w:rsidRPr="00025D44">
        <w:rPr>
          <w:rFonts w:ascii="Calibri" w:hAnsi="Calibri" w:cs="Calibri"/>
          <w:b/>
          <w:bCs/>
          <w:sz w:val="20"/>
          <w:szCs w:val="20"/>
        </w:rPr>
        <w:t>Supplementary figure 2.</w:t>
      </w:r>
      <w:r w:rsidRPr="00025D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(</w:t>
      </w:r>
      <w:r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>A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) Predicted probability of RA by TNC level (multivariable logistic regression).</w:t>
      </w:r>
      <w:r w:rsidRPr="00025D44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 xml:space="preserve"> 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 xml:space="preserve">Higher TNC levels are associated with an increased predicted probability of RA, independent of age 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lastRenderedPageBreak/>
        <w:t>and sex. (</w:t>
      </w:r>
      <w:r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>B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) Predicted probabilities from the multivariable model (</w:t>
      </w:r>
      <w:proofErr w:type="spellStart"/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TNC+Age+Sex</w:t>
      </w:r>
      <w:proofErr w:type="spellEnd"/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) are shown for RA and HC groups. Distributions are visualized using violin plots to illustrate group separation. (</w:t>
      </w:r>
      <w:r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>C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)</w:t>
      </w:r>
      <w:r w:rsidRPr="00025D44">
        <w:rPr>
          <w:rFonts w:ascii="Calibri Light" w:hAnsi="Calibri Light" w:cs="Calibri Light"/>
          <w:color w:val="000000" w:themeColor="text1"/>
          <w:sz w:val="18"/>
          <w:szCs w:val="20"/>
        </w:rPr>
        <w:t xml:space="preserve"> 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 xml:space="preserve">Logistic regression model including TNC, Age, and Sex was fitted to distinguish RA from HC. The predicted probability of RA is plotted against TNC expression, holding other covariates constant, </w:t>
      </w:r>
      <w:r w:rsidR="000217B3">
        <w:rPr>
          <w:rFonts w:ascii="Calibri Light" w:hAnsi="Calibri Light" w:cs="Calibri Light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032ED646" wp14:editId="290A5A8A">
            <wp:simplePos x="0" y="0"/>
            <wp:positionH relativeFrom="column">
              <wp:posOffset>643650</wp:posOffset>
            </wp:positionH>
            <wp:positionV relativeFrom="paragraph">
              <wp:posOffset>1624330</wp:posOffset>
            </wp:positionV>
            <wp:extent cx="3947160" cy="1946148"/>
            <wp:effectExtent l="0" t="0" r="0" b="0"/>
            <wp:wrapTopAndBottom/>
            <wp:docPr id="1392415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41549" name="图片 1392415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47160" cy="1946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illustrating the nonlinear (sigmoidal) relationship between TNC levels and RA risk.</w:t>
      </w:r>
    </w:p>
    <w:p w14:paraId="7BDD340C" w14:textId="5776AB4B" w:rsidR="003426CE" w:rsidRDefault="000217B3" w:rsidP="000217B3">
      <w:pPr>
        <w:spacing w:line="400" w:lineRule="exact"/>
        <w:rPr>
          <w:rFonts w:ascii="Calibri Light" w:eastAsiaTheme="minorHAnsi" w:hAnsi="Calibri Light" w:cs="Calibri Light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78167C90" wp14:editId="38C61856">
            <wp:simplePos x="0" y="0"/>
            <wp:positionH relativeFrom="column">
              <wp:posOffset>-26035</wp:posOffset>
            </wp:positionH>
            <wp:positionV relativeFrom="paragraph">
              <wp:posOffset>3222625</wp:posOffset>
            </wp:positionV>
            <wp:extent cx="5274310" cy="1473200"/>
            <wp:effectExtent l="0" t="0" r="2540" b="0"/>
            <wp:wrapTopAndBottom/>
            <wp:docPr id="193366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6649" name="图片 1933664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7A6A"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Supplementary </w:t>
      </w:r>
      <w:r w:rsidR="003D350A"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>f</w:t>
      </w:r>
      <w:r w:rsidR="00417A6A"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igure </w:t>
      </w:r>
      <w:r w:rsidR="004C2B49"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>3</w:t>
      </w:r>
      <w:r w:rsidR="00417A6A"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>.</w:t>
      </w:r>
      <w:r w:rsidR="00417A6A" w:rsidRPr="00025D44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591A48" w:rsidRPr="00025D44">
        <w:rPr>
          <w:rFonts w:ascii="Calibri Light" w:eastAsiaTheme="minorHAnsi" w:hAnsi="Calibri Light" w:cs="Calibri Light"/>
          <w:color w:val="000000" w:themeColor="text1"/>
          <w:sz w:val="20"/>
          <w:szCs w:val="20"/>
        </w:rPr>
        <w:t>(</w:t>
      </w:r>
      <w:r w:rsidR="00591A48" w:rsidRPr="00025D44">
        <w:rPr>
          <w:rFonts w:ascii="Calibri" w:eastAsiaTheme="minorHAnsi" w:hAnsi="Calibri" w:cs="Calibri"/>
          <w:b/>
          <w:bCs/>
          <w:color w:val="000000" w:themeColor="text1"/>
          <w:sz w:val="20"/>
          <w:szCs w:val="20"/>
        </w:rPr>
        <w:t>A-B</w:t>
      </w:r>
      <w:r w:rsidR="00591A48" w:rsidRPr="00025D44">
        <w:rPr>
          <w:rFonts w:ascii="Calibri Light" w:eastAsiaTheme="minorHAnsi" w:hAnsi="Calibri Light" w:cs="Calibri Light"/>
          <w:color w:val="000000" w:themeColor="text1"/>
          <w:sz w:val="20"/>
          <w:szCs w:val="20"/>
        </w:rPr>
        <w:t xml:space="preserve">) RA-FLS were infected with a TNC-overexpressing adenoviral vector at a multiplicity of infection (MOI) of 300 for 48 h. </w:t>
      </w:r>
      <w:r w:rsidR="00417A6A" w:rsidRPr="00025D44">
        <w:rPr>
          <w:rFonts w:ascii="Calibri Light" w:eastAsiaTheme="minorHAnsi" w:hAnsi="Calibri Light" w:cs="Calibri Light"/>
          <w:color w:val="000000" w:themeColor="text1"/>
          <w:sz w:val="20"/>
          <w:szCs w:val="20"/>
        </w:rPr>
        <w:t>Western blot analysis was performed to assess the expression of Cyclin D1 and CDK4 (n=5).</w:t>
      </w:r>
    </w:p>
    <w:p w14:paraId="65C222F7" w14:textId="4B6AB38B" w:rsidR="000217B3" w:rsidRPr="00C70EF7" w:rsidRDefault="000217B3" w:rsidP="000217B3">
      <w:pPr>
        <w:spacing w:after="0" w:line="276" w:lineRule="auto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Supplementary figure </w:t>
      </w:r>
      <w:r>
        <w:rPr>
          <w:rFonts w:ascii="Calibri" w:hAnsi="Calibri" w:cs="Calibri" w:hint="eastAsia"/>
          <w:b/>
          <w:bCs/>
          <w:color w:val="000000" w:themeColor="text1"/>
          <w:sz w:val="20"/>
          <w:szCs w:val="20"/>
        </w:rPr>
        <w:t>4</w:t>
      </w:r>
      <w:r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>.</w:t>
      </w:r>
      <w:r w:rsidRPr="007F7CF4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Pr="00BC5E48">
        <w:rPr>
          <w:rFonts w:ascii="Calibri Light" w:hAnsi="Calibri Light" w:cs="Calibri Light"/>
          <w:color w:val="000000" w:themeColor="text1"/>
          <w:sz w:val="20"/>
          <w:szCs w:val="20"/>
        </w:rPr>
        <w:t>Association between elevated TNC expression and a ferroptosis-suppressing molecular program in RA synovial samples</w:t>
      </w:r>
      <w:r w:rsidRPr="007F7CF4">
        <w:rPr>
          <w:rFonts w:ascii="Calibri Light" w:hAnsi="Calibri Light" w:cs="Calibri Light"/>
          <w:color w:val="000000" w:themeColor="text1"/>
          <w:sz w:val="20"/>
          <w:szCs w:val="20"/>
        </w:rPr>
        <w:t xml:space="preserve"> (GSE89408). 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(</w:t>
      </w:r>
      <w:r w:rsidRPr="00025D44">
        <w:rPr>
          <w:rFonts w:ascii="Calibri" w:hAnsi="Calibri" w:cs="Calibri"/>
          <w:b/>
          <w:bCs/>
          <w:color w:val="000000" w:themeColor="text1"/>
          <w:sz w:val="20"/>
          <w:szCs w:val="20"/>
        </w:rPr>
        <w:t>A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)</w:t>
      </w:r>
      <w:r w:rsidRPr="007F7CF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7F7CF4">
        <w:rPr>
          <w:rFonts w:ascii="Calibri Light" w:hAnsi="Calibri Light" w:cs="Calibri Light"/>
          <w:color w:val="000000" w:themeColor="text1"/>
          <w:sz w:val="20"/>
          <w:szCs w:val="20"/>
        </w:rPr>
        <w:t xml:space="preserve">Ferroptosis suppressor signature scores in </w:t>
      </w:r>
      <w:r w:rsidRPr="0049761B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TNC</w:t>
      </w:r>
      <w:r w:rsidRPr="007F7CF4">
        <w:rPr>
          <w:rFonts w:ascii="Calibri Light" w:hAnsi="Calibri Light" w:cs="Calibri Light"/>
          <w:color w:val="000000" w:themeColor="text1"/>
          <w:sz w:val="20"/>
          <w:szCs w:val="20"/>
        </w:rPr>
        <w:t xml:space="preserve">-high and </w:t>
      </w:r>
      <w:r w:rsidRPr="0049761B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TNC</w:t>
      </w:r>
      <w:r w:rsidRPr="007F7CF4">
        <w:rPr>
          <w:rFonts w:ascii="Calibri Light" w:hAnsi="Calibri Light" w:cs="Calibri Light"/>
          <w:color w:val="000000" w:themeColor="text1"/>
          <w:sz w:val="20"/>
          <w:szCs w:val="20"/>
        </w:rPr>
        <w:t>-low groups</w:t>
      </w:r>
      <w:r w:rsidRPr="001D4653">
        <w:rPr>
          <w:rFonts w:ascii="Calibri Light" w:hAnsi="Calibri Light" w:cs="Calibri Light"/>
          <w:color w:val="000000" w:themeColor="text1"/>
          <w:sz w:val="20"/>
          <w:szCs w:val="20"/>
        </w:rPr>
        <w:t>, showing a significant enrichment of anti-</w:t>
      </w:r>
      <w:proofErr w:type="spellStart"/>
      <w:r w:rsidRPr="001D4653">
        <w:rPr>
          <w:rFonts w:ascii="Calibri Light" w:hAnsi="Calibri Light" w:cs="Calibri Light"/>
          <w:color w:val="000000" w:themeColor="text1"/>
          <w:sz w:val="20"/>
          <w:szCs w:val="20"/>
        </w:rPr>
        <w:t>ferroptotic</w:t>
      </w:r>
      <w:proofErr w:type="spellEnd"/>
      <w:r w:rsidRPr="001D4653">
        <w:rPr>
          <w:rFonts w:ascii="Calibri Light" w:hAnsi="Calibri Light" w:cs="Calibri Light"/>
          <w:color w:val="000000" w:themeColor="text1"/>
          <w:sz w:val="20"/>
          <w:szCs w:val="20"/>
        </w:rPr>
        <w:t xml:space="preserve"> markers in TNC-overexpressing synovia</w:t>
      </w:r>
      <w:r w:rsidRPr="007F7CF4">
        <w:rPr>
          <w:rFonts w:ascii="Calibri Light" w:hAnsi="Calibri Light" w:cs="Calibri Light"/>
          <w:color w:val="000000" w:themeColor="text1"/>
          <w:sz w:val="20"/>
          <w:szCs w:val="20"/>
        </w:rPr>
        <w:t xml:space="preserve">. Data are presented as </w:t>
      </w:r>
      <w:r>
        <w:rPr>
          <w:rFonts w:ascii="Calibri Light" w:hAnsi="Calibri Light" w:cs="Calibri Light"/>
          <w:color w:val="000000" w:themeColor="text1"/>
          <w:sz w:val="20"/>
          <w:szCs w:val="20"/>
        </w:rPr>
        <w:t xml:space="preserve">the </w:t>
      </w:r>
      <w:proofErr w:type="spellStart"/>
      <w:r w:rsidRPr="007F7CF4">
        <w:rPr>
          <w:rFonts w:ascii="Calibri Light" w:hAnsi="Calibri Light" w:cs="Calibri Light"/>
          <w:color w:val="000000" w:themeColor="text1"/>
          <w:sz w:val="20"/>
          <w:szCs w:val="20"/>
        </w:rPr>
        <w:t>mean±SEM</w:t>
      </w:r>
      <w:proofErr w:type="spellEnd"/>
      <w:r w:rsidRPr="007F7CF4">
        <w:rPr>
          <w:rFonts w:ascii="Calibri Light" w:hAnsi="Calibri Light" w:cs="Calibri Light"/>
          <w:color w:val="000000" w:themeColor="text1"/>
          <w:sz w:val="20"/>
          <w:szCs w:val="20"/>
        </w:rPr>
        <w:t>. ****</w:t>
      </w:r>
      <w:r w:rsidRPr="007F7CF4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P</w:t>
      </w:r>
      <w:r w:rsidRPr="007F7CF4">
        <w:rPr>
          <w:rFonts w:ascii="Calibri Light" w:hAnsi="Calibri Light" w:cs="Calibri Light"/>
          <w:color w:val="000000" w:themeColor="text1"/>
          <w:sz w:val="20"/>
          <w:szCs w:val="20"/>
        </w:rPr>
        <w:t xml:space="preserve">&lt;0.0001 </w:t>
      </w:r>
      <w:r>
        <w:rPr>
          <w:rFonts w:ascii="Calibri Light" w:hAnsi="Calibri Light" w:cs="Calibri Light"/>
          <w:color w:val="000000" w:themeColor="text1"/>
          <w:sz w:val="20"/>
          <w:szCs w:val="20"/>
        </w:rPr>
        <w:t xml:space="preserve">by </w:t>
      </w:r>
      <w:r w:rsidRPr="007F7CF4">
        <w:rPr>
          <w:rFonts w:ascii="Calibri Light" w:hAnsi="Calibri Light" w:cs="Calibri Light"/>
          <w:color w:val="000000" w:themeColor="text1"/>
          <w:sz w:val="20"/>
          <w:szCs w:val="20"/>
        </w:rPr>
        <w:t xml:space="preserve">unpaired two-tailed Student’s t-test. 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(</w:t>
      </w:r>
      <w:r>
        <w:rPr>
          <w:rFonts w:ascii="Calibri" w:hAnsi="Calibri" w:cs="Calibri" w:hint="eastAsia"/>
          <w:b/>
          <w:bCs/>
          <w:color w:val="000000" w:themeColor="text1"/>
          <w:sz w:val="20"/>
          <w:szCs w:val="20"/>
        </w:rPr>
        <w:t>B-D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)</w:t>
      </w:r>
      <w:r w:rsidRPr="007F7CF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>
        <w:rPr>
          <w:rFonts w:ascii="Calibri Light" w:hAnsi="Calibri Light" w:cs="Calibri Light" w:hint="eastAsia"/>
          <w:color w:val="000000" w:themeColor="text1"/>
          <w:sz w:val="20"/>
          <w:szCs w:val="20"/>
        </w:rPr>
        <w:t>C</w:t>
      </w:r>
      <w:r w:rsidRPr="00C70EF7">
        <w:rPr>
          <w:rFonts w:ascii="Calibri Light" w:hAnsi="Calibri Light" w:cs="Calibri Light"/>
          <w:color w:val="000000" w:themeColor="text1"/>
          <w:sz w:val="20"/>
          <w:szCs w:val="20"/>
        </w:rPr>
        <w:t xml:space="preserve">orrelation analyses between </w:t>
      </w:r>
      <w:r w:rsidRPr="0049761B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TNC</w:t>
      </w:r>
      <w:r w:rsidRPr="00C70EF7">
        <w:rPr>
          <w:rFonts w:ascii="Calibri Light" w:hAnsi="Calibri Light" w:cs="Calibri Light"/>
          <w:color w:val="000000" w:themeColor="text1"/>
          <w:sz w:val="20"/>
          <w:szCs w:val="20"/>
        </w:rPr>
        <w:t xml:space="preserve"> expression and </w:t>
      </w:r>
      <w:r w:rsidRPr="00DD4406">
        <w:rPr>
          <w:rFonts w:ascii="Calibri Light" w:hAnsi="Calibri Light" w:cs="Calibri Light"/>
          <w:color w:val="000000" w:themeColor="text1"/>
          <w:sz w:val="20"/>
          <w:szCs w:val="20"/>
        </w:rPr>
        <w:t>the expression of key</w:t>
      </w:r>
      <w:r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Pr="00C70EF7">
        <w:rPr>
          <w:rFonts w:ascii="Calibri Light" w:hAnsi="Calibri Light" w:cs="Calibri Light"/>
          <w:color w:val="000000" w:themeColor="text1"/>
          <w:sz w:val="20"/>
          <w:szCs w:val="20"/>
        </w:rPr>
        <w:t xml:space="preserve">ferroptosis-related genes, including </w:t>
      </w:r>
      <w:r w:rsidRPr="0049761B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SLC7A11</w:t>
      </w:r>
      <w:r w:rsidRPr="00C70EF7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(</w:t>
      </w:r>
      <w:r>
        <w:rPr>
          <w:rFonts w:ascii="Calibri" w:hAnsi="Calibri" w:cs="Calibri" w:hint="eastAsia"/>
          <w:b/>
          <w:bCs/>
          <w:color w:val="000000" w:themeColor="text1"/>
          <w:sz w:val="20"/>
          <w:szCs w:val="20"/>
        </w:rPr>
        <w:t>B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)</w:t>
      </w:r>
      <w:r w:rsidRPr="00C70EF7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</w:t>
      </w:r>
      <w:r w:rsidRPr="0049761B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 xml:space="preserve">GPX4 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(</w:t>
      </w:r>
      <w:r>
        <w:rPr>
          <w:rFonts w:ascii="Calibri" w:hAnsi="Calibri" w:cs="Calibri" w:hint="eastAsia"/>
          <w:b/>
          <w:bCs/>
          <w:color w:val="000000" w:themeColor="text1"/>
          <w:sz w:val="20"/>
          <w:szCs w:val="20"/>
        </w:rPr>
        <w:t>C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)</w:t>
      </w:r>
      <w:r w:rsidRPr="00C70EF7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and </w:t>
      </w:r>
      <w:r w:rsidRPr="0049761B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FTH1</w:t>
      </w:r>
      <w:r w:rsidRPr="00C70EF7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(</w:t>
      </w:r>
      <w:r>
        <w:rPr>
          <w:rFonts w:ascii="Calibri" w:hAnsi="Calibri" w:cs="Calibri" w:hint="eastAsia"/>
          <w:b/>
          <w:bCs/>
          <w:color w:val="000000" w:themeColor="text1"/>
          <w:sz w:val="20"/>
          <w:szCs w:val="20"/>
        </w:rPr>
        <w:t>D</w:t>
      </w:r>
      <w:r w:rsidRPr="00025D44">
        <w:rPr>
          <w:rFonts w:ascii="Calibri Light" w:hAnsi="Calibri Light" w:cs="Calibri Light"/>
          <w:color w:val="000000" w:themeColor="text1"/>
          <w:sz w:val="20"/>
          <w:szCs w:val="20"/>
        </w:rPr>
        <w:t>)</w:t>
      </w:r>
      <w:r w:rsidRPr="00C70EF7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in RA synovial samples. Correlations were assessed using Spearman’s rank correlation, with correlation coefficients (r) and </w:t>
      </w:r>
      <w:r w:rsidRPr="00C70EF7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P</w:t>
      </w:r>
      <w:r w:rsidRPr="00C70EF7">
        <w:rPr>
          <w:rFonts w:ascii="Calibri Light" w:hAnsi="Calibri Light" w:cs="Calibri Light"/>
          <w:color w:val="000000" w:themeColor="text1"/>
          <w:sz w:val="20"/>
          <w:szCs w:val="20"/>
        </w:rPr>
        <w:t xml:space="preserve"> values indicated.</w:t>
      </w:r>
    </w:p>
    <w:p w14:paraId="79485CEA" w14:textId="77777777" w:rsidR="000217B3" w:rsidRDefault="000217B3" w:rsidP="00980629">
      <w:pPr>
        <w:spacing w:line="400" w:lineRule="exact"/>
        <w:rPr>
          <w:rFonts w:ascii="Calibri" w:hAnsi="Calibri" w:cs="Calibri"/>
          <w:b/>
          <w:bCs/>
          <w:sz w:val="24"/>
        </w:rPr>
      </w:pPr>
    </w:p>
    <w:p w14:paraId="266B5760" w14:textId="727E7B2D" w:rsidR="00D6319D" w:rsidRDefault="00980629" w:rsidP="00980629">
      <w:pPr>
        <w:spacing w:line="400" w:lineRule="exact"/>
        <w:rPr>
          <w:rFonts w:ascii="Times New Roman" w:hAnsi="Times New Roman" w:cs="Times New Roman" w:hint="eastAsia"/>
          <w:sz w:val="24"/>
        </w:rPr>
      </w:pPr>
      <w:r w:rsidRPr="00D6319D">
        <w:rPr>
          <w:rFonts w:ascii="Calibri" w:hAnsi="Calibri" w:cs="Calibri"/>
          <w:b/>
          <w:bCs/>
          <w:sz w:val="24"/>
        </w:rPr>
        <w:t>Supplementary Table 1</w:t>
      </w:r>
      <w:r w:rsidRPr="00D6319D">
        <w:rPr>
          <w:rFonts w:ascii="Times New Roman" w:hAnsi="Times New Roman" w:cs="Times New Roman" w:hint="eastAsia"/>
          <w:sz w:val="24"/>
        </w:rPr>
        <w:t xml:space="preserve"> </w:t>
      </w:r>
      <w:r w:rsidR="00F64E7C" w:rsidRPr="00D6319D">
        <w:rPr>
          <w:rFonts w:ascii="Times New Roman" w:hAnsi="Times New Roman" w:cs="Times New Roman"/>
          <w:sz w:val="24"/>
        </w:rPr>
        <w:t>Clinical and laboratory characteristics of patients</w:t>
      </w:r>
      <w:r w:rsidR="00F64E7C" w:rsidRPr="00D6319D">
        <w:rPr>
          <w:rFonts w:ascii="Times New Roman" w:hAnsi="Times New Roman" w:cs="Times New Roman" w:hint="eastAsia"/>
          <w:sz w:val="24"/>
        </w:rPr>
        <w:t xml:space="preserve"> with RA</w:t>
      </w:r>
      <w:r w:rsidR="00F64E7C" w:rsidRPr="00D6319D">
        <w:rPr>
          <w:rFonts w:ascii="Times New Roman" w:hAnsi="Times New Roman" w:cs="Times New Roman"/>
          <w:sz w:val="24"/>
        </w:rPr>
        <w:t xml:space="preserve"> and </w:t>
      </w:r>
      <w:r w:rsidR="00F64E7C" w:rsidRPr="00D6319D">
        <w:rPr>
          <w:rFonts w:ascii="Times New Roman" w:hAnsi="Times New Roman" w:cs="Times New Roman" w:hint="eastAsia"/>
          <w:sz w:val="24"/>
        </w:rPr>
        <w:t>HC</w:t>
      </w:r>
      <w:r w:rsidR="00F64E7C" w:rsidRPr="00D6319D">
        <w:rPr>
          <w:rFonts w:ascii="Times New Roman" w:hAnsi="Times New Roman" w:cs="Times New Roman"/>
          <w:sz w:val="24"/>
        </w:rPr>
        <w:t>s (peripheral blood cohort)</w:t>
      </w:r>
    </w:p>
    <w:tbl>
      <w:tblPr>
        <w:tblStyle w:val="af2"/>
        <w:tblW w:w="113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1027"/>
        <w:gridCol w:w="1844"/>
        <w:gridCol w:w="2125"/>
        <w:gridCol w:w="2410"/>
        <w:gridCol w:w="2126"/>
      </w:tblGrid>
      <w:tr w:rsidR="00980629" w:rsidRPr="00BB5EA6" w14:paraId="59965DBC" w14:textId="77777777" w:rsidTr="00B8316D">
        <w:trPr>
          <w:trHeight w:val="679"/>
          <w:jc w:val="center"/>
        </w:trPr>
        <w:tc>
          <w:tcPr>
            <w:tcW w:w="1808" w:type="dxa"/>
            <w:vMerge w:val="restart"/>
            <w:tcBorders>
              <w:top w:val="single" w:sz="12" w:space="0" w:color="auto"/>
            </w:tcBorders>
            <w:vAlign w:val="center"/>
          </w:tcPr>
          <w:p w14:paraId="408DFAF8" w14:textId="7777777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bookmarkStart w:id="1" w:name="_Hlk180358136"/>
          </w:p>
        </w:tc>
        <w:tc>
          <w:tcPr>
            <w:tcW w:w="1027" w:type="dxa"/>
            <w:vMerge w:val="restart"/>
            <w:tcBorders>
              <w:top w:val="single" w:sz="12" w:space="0" w:color="auto"/>
            </w:tcBorders>
            <w:vAlign w:val="center"/>
          </w:tcPr>
          <w:p w14:paraId="21E1DEB4" w14:textId="3E0A075F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HCs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n=40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8505" w:type="dxa"/>
            <w:gridSpan w:val="4"/>
            <w:tcBorders>
              <w:top w:val="single" w:sz="12" w:space="0" w:color="auto"/>
            </w:tcBorders>
            <w:vAlign w:val="center"/>
          </w:tcPr>
          <w:p w14:paraId="7129545D" w14:textId="7837D35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Patients with RA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(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n=70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</w:tr>
      <w:tr w:rsidR="00980629" w:rsidRPr="00BB5EA6" w14:paraId="6B92744B" w14:textId="77777777" w:rsidTr="00B8316D">
        <w:trPr>
          <w:trHeight w:val="679"/>
          <w:jc w:val="center"/>
        </w:trPr>
        <w:tc>
          <w:tcPr>
            <w:tcW w:w="1808" w:type="dxa"/>
            <w:vMerge/>
            <w:tcBorders>
              <w:bottom w:val="single" w:sz="6" w:space="0" w:color="auto"/>
            </w:tcBorders>
            <w:vAlign w:val="center"/>
          </w:tcPr>
          <w:p w14:paraId="7896C923" w14:textId="7777777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bottom w:val="single" w:sz="6" w:space="0" w:color="auto"/>
            </w:tcBorders>
            <w:vAlign w:val="center"/>
          </w:tcPr>
          <w:p w14:paraId="4BAF4DBB" w14:textId="7777777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</w:p>
        </w:tc>
        <w:tc>
          <w:tcPr>
            <w:tcW w:w="1844" w:type="dxa"/>
            <w:tcBorders>
              <w:bottom w:val="single" w:sz="6" w:space="0" w:color="auto"/>
            </w:tcBorders>
            <w:vAlign w:val="center"/>
          </w:tcPr>
          <w:p w14:paraId="1F45EF41" w14:textId="7777777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Total</w:t>
            </w:r>
          </w:p>
          <w:p w14:paraId="58F84ECD" w14:textId="2956CB2C" w:rsidR="00980629" w:rsidRPr="00BB5EA6" w:rsidRDefault="00E86DA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="00980629" w:rsidRPr="00BB5EA6">
              <w:rPr>
                <w:rFonts w:ascii="Times New Roman" w:eastAsiaTheme="minorHAnsi" w:hAnsi="Times New Roman" w:cs="Times New Roman"/>
                <w:szCs w:val="21"/>
              </w:rPr>
              <w:t>n=70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5" w:type="dxa"/>
            <w:tcBorders>
              <w:bottom w:val="single" w:sz="6" w:space="0" w:color="auto"/>
            </w:tcBorders>
            <w:vAlign w:val="center"/>
          </w:tcPr>
          <w:p w14:paraId="48F40589" w14:textId="5D00D68D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 w:hint="eastAsia"/>
                <w:szCs w:val="21"/>
              </w:rPr>
              <w:t>DAS28-ESR</w:t>
            </w:r>
            <w:r w:rsidRPr="00BB5EA6">
              <w:rPr>
                <w:rFonts w:ascii="Times New Roman" w:eastAsiaTheme="minorHAnsi" w:hAnsi="Times New Roman" w:cs="Times New Roman" w:hint="eastAsia"/>
                <w:szCs w:val="21"/>
              </w:rPr>
              <w:t>≤</w:t>
            </w:r>
            <w:r w:rsidRPr="00BB5EA6">
              <w:rPr>
                <w:rFonts w:ascii="Times New Roman" w:eastAsiaTheme="minorHAnsi" w:hAnsi="Times New Roman" w:cs="Times New Roman" w:hint="eastAsia"/>
                <w:szCs w:val="21"/>
              </w:rPr>
              <w:t>3.2</w:t>
            </w:r>
          </w:p>
          <w:p w14:paraId="5485244C" w14:textId="70A3DCBC" w:rsidR="00980629" w:rsidRPr="00BB5EA6" w:rsidRDefault="00E86DA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="00980629" w:rsidRPr="00BB5EA6">
              <w:rPr>
                <w:rFonts w:ascii="Times New Roman" w:eastAsiaTheme="minorHAnsi" w:hAnsi="Times New Roman" w:cs="Times New Roman"/>
                <w:szCs w:val="21"/>
              </w:rPr>
              <w:t>n=11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14:paraId="12CE550C" w14:textId="4A96C33C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3.2</w:t>
            </w:r>
            <w:r w:rsidR="00E86DA5" w:rsidRPr="00E86DA5">
              <w:rPr>
                <w:rFonts w:ascii="Times New Roman" w:eastAsiaTheme="minorHAnsi" w:hAnsi="Times New Roman" w:cs="Times New Roman"/>
                <w:szCs w:val="21"/>
              </w:rPr>
              <w:t>＜</w:t>
            </w:r>
            <w:r w:rsidRPr="00BB5EA6">
              <w:rPr>
                <w:rFonts w:ascii="Times New Roman" w:eastAsiaTheme="minorHAnsi" w:hAnsi="Times New Roman" w:cs="Times New Roman" w:hint="eastAsia"/>
                <w:szCs w:val="21"/>
              </w:rPr>
              <w:t>DAS28-ESR</w:t>
            </w:r>
            <w:r w:rsidRPr="00BB5EA6">
              <w:rPr>
                <w:rFonts w:ascii="Times New Roman" w:eastAsiaTheme="minorHAnsi" w:hAnsi="Times New Roman" w:cs="Times New Roman" w:hint="eastAsia"/>
                <w:szCs w:val="21"/>
              </w:rPr>
              <w:t>≤</w:t>
            </w:r>
            <w:r w:rsidRPr="00BB5EA6">
              <w:rPr>
                <w:rFonts w:ascii="Times New Roman" w:eastAsiaTheme="minorHAnsi" w:hAnsi="Times New Roman" w:cs="Times New Roman" w:hint="eastAsia"/>
                <w:szCs w:val="21"/>
              </w:rPr>
              <w:t>5.1</w:t>
            </w:r>
          </w:p>
          <w:p w14:paraId="10A1743F" w14:textId="008006F0" w:rsidR="00980629" w:rsidRPr="00BB5EA6" w:rsidRDefault="00E86DA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="00980629" w:rsidRPr="00BB5EA6">
              <w:rPr>
                <w:rFonts w:ascii="Times New Roman" w:eastAsiaTheme="minorHAnsi" w:hAnsi="Times New Roman" w:cs="Times New Roman"/>
                <w:szCs w:val="21"/>
              </w:rPr>
              <w:t>n=31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6" w:type="dxa"/>
            <w:tcBorders>
              <w:bottom w:val="single" w:sz="6" w:space="0" w:color="auto"/>
            </w:tcBorders>
            <w:vAlign w:val="center"/>
          </w:tcPr>
          <w:p w14:paraId="1CF541EC" w14:textId="0AD704F5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DAS28-ESR&gt;5.1</w:t>
            </w:r>
          </w:p>
          <w:p w14:paraId="07EEB495" w14:textId="2255C0D1" w:rsidR="00980629" w:rsidRPr="00BB5EA6" w:rsidRDefault="00895C37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="00980629" w:rsidRPr="00BB5EA6">
              <w:rPr>
                <w:rFonts w:ascii="Times New Roman" w:eastAsiaTheme="minorHAnsi" w:hAnsi="Times New Roman" w:cs="Times New Roman"/>
                <w:szCs w:val="21"/>
              </w:rPr>
              <w:t>n=28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</w:tr>
      <w:tr w:rsidR="00980629" w:rsidRPr="00BB5EA6" w14:paraId="172FA563" w14:textId="77777777" w:rsidTr="00B8316D">
        <w:trPr>
          <w:trHeight w:val="851"/>
          <w:jc w:val="center"/>
        </w:trPr>
        <w:tc>
          <w:tcPr>
            <w:tcW w:w="1808" w:type="dxa"/>
            <w:tcBorders>
              <w:top w:val="single" w:sz="6" w:space="0" w:color="auto"/>
            </w:tcBorders>
            <w:vAlign w:val="center"/>
          </w:tcPr>
          <w:p w14:paraId="6C845BFA" w14:textId="53177966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Female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, 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n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%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1027" w:type="dxa"/>
            <w:tcBorders>
              <w:top w:val="single" w:sz="6" w:space="0" w:color="auto"/>
            </w:tcBorders>
            <w:vAlign w:val="center"/>
          </w:tcPr>
          <w:p w14:paraId="2CC9740B" w14:textId="21C9A792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22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55.0%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1844" w:type="dxa"/>
            <w:tcBorders>
              <w:top w:val="single" w:sz="6" w:space="0" w:color="auto"/>
            </w:tcBorders>
            <w:vAlign w:val="center"/>
          </w:tcPr>
          <w:p w14:paraId="477584F7" w14:textId="502E60A2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47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67.1%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5" w:type="dxa"/>
            <w:tcBorders>
              <w:top w:val="single" w:sz="6" w:space="0" w:color="auto"/>
            </w:tcBorders>
            <w:vAlign w:val="center"/>
          </w:tcPr>
          <w:p w14:paraId="027ACFB3" w14:textId="7F169A6E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9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81.8%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410" w:type="dxa"/>
            <w:tcBorders>
              <w:top w:val="single" w:sz="6" w:space="0" w:color="auto"/>
            </w:tcBorders>
            <w:vAlign w:val="center"/>
          </w:tcPr>
          <w:p w14:paraId="3C7EC2F2" w14:textId="212F7416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22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(71.0%)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66098B3E" w14:textId="1B8259A3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16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895C37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57.1%</w:t>
            </w:r>
            <w:r w:rsidR="00895C37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</w:tr>
      <w:tr w:rsidR="00980629" w:rsidRPr="00BB5EA6" w14:paraId="726983F5" w14:textId="77777777" w:rsidTr="00B8316D">
        <w:trPr>
          <w:trHeight w:val="851"/>
          <w:jc w:val="center"/>
        </w:trPr>
        <w:tc>
          <w:tcPr>
            <w:tcW w:w="1808" w:type="dxa"/>
            <w:vAlign w:val="center"/>
          </w:tcPr>
          <w:p w14:paraId="19E894F8" w14:textId="46990D1B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Age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(year)</w:t>
            </w:r>
          </w:p>
        </w:tc>
        <w:tc>
          <w:tcPr>
            <w:tcW w:w="1027" w:type="dxa"/>
            <w:vAlign w:val="center"/>
          </w:tcPr>
          <w:p w14:paraId="0AA7A4F2" w14:textId="365E27D6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51±14.7</w:t>
            </w:r>
          </w:p>
        </w:tc>
        <w:tc>
          <w:tcPr>
            <w:tcW w:w="1844" w:type="dxa"/>
            <w:vAlign w:val="center"/>
          </w:tcPr>
          <w:p w14:paraId="5C6F89E4" w14:textId="42B280BC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55.5±12.1</w:t>
            </w:r>
          </w:p>
        </w:tc>
        <w:tc>
          <w:tcPr>
            <w:tcW w:w="2125" w:type="dxa"/>
            <w:vAlign w:val="center"/>
          </w:tcPr>
          <w:p w14:paraId="3E09CF96" w14:textId="41D17EBE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44.0±9.9</w:t>
            </w:r>
          </w:p>
        </w:tc>
        <w:tc>
          <w:tcPr>
            <w:tcW w:w="2410" w:type="dxa"/>
            <w:vAlign w:val="center"/>
          </w:tcPr>
          <w:p w14:paraId="196D8C94" w14:textId="02F87925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55±11.9</w:t>
            </w:r>
          </w:p>
        </w:tc>
        <w:tc>
          <w:tcPr>
            <w:tcW w:w="2126" w:type="dxa"/>
            <w:vAlign w:val="center"/>
          </w:tcPr>
          <w:p w14:paraId="1AB6D080" w14:textId="08C9D29A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60.5±10.96</w:t>
            </w:r>
          </w:p>
        </w:tc>
      </w:tr>
      <w:tr w:rsidR="00980629" w:rsidRPr="00E86DA5" w14:paraId="3D415046" w14:textId="77777777" w:rsidTr="00B8316D">
        <w:trPr>
          <w:trHeight w:val="851"/>
          <w:jc w:val="center"/>
        </w:trPr>
        <w:tc>
          <w:tcPr>
            <w:tcW w:w="1808" w:type="dxa"/>
            <w:vAlign w:val="center"/>
          </w:tcPr>
          <w:p w14:paraId="54F83674" w14:textId="7777777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Duration of disease (month)</w:t>
            </w:r>
          </w:p>
        </w:tc>
        <w:tc>
          <w:tcPr>
            <w:tcW w:w="1027" w:type="dxa"/>
            <w:vAlign w:val="center"/>
          </w:tcPr>
          <w:p w14:paraId="514DE212" w14:textId="7777777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-</w:t>
            </w:r>
          </w:p>
        </w:tc>
        <w:tc>
          <w:tcPr>
            <w:tcW w:w="1844" w:type="dxa"/>
            <w:vAlign w:val="center"/>
          </w:tcPr>
          <w:p w14:paraId="33E6B5E4" w14:textId="1E3E0377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12.0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1.0-360.0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5" w:type="dxa"/>
            <w:vAlign w:val="center"/>
          </w:tcPr>
          <w:p w14:paraId="34DCAE24" w14:textId="08FD78F9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12.0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1.0-24.0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410" w:type="dxa"/>
            <w:vAlign w:val="center"/>
          </w:tcPr>
          <w:p w14:paraId="11116B68" w14:textId="348528DD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12.0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(2.0-360.0)</w:t>
            </w:r>
          </w:p>
        </w:tc>
        <w:tc>
          <w:tcPr>
            <w:tcW w:w="2126" w:type="dxa"/>
            <w:vAlign w:val="center"/>
          </w:tcPr>
          <w:p w14:paraId="64521D77" w14:textId="56412056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24.0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895C37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1.0-240.0</w:t>
            </w:r>
            <w:r w:rsidR="00895C37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</w:tr>
      <w:tr w:rsidR="00980629" w:rsidRPr="00E86DA5" w14:paraId="206162FE" w14:textId="77777777" w:rsidTr="00B8316D">
        <w:trPr>
          <w:trHeight w:val="851"/>
          <w:jc w:val="center"/>
        </w:trPr>
        <w:tc>
          <w:tcPr>
            <w:tcW w:w="1808" w:type="dxa"/>
            <w:vAlign w:val="center"/>
          </w:tcPr>
          <w:p w14:paraId="0DB15271" w14:textId="7898907C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RF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U/mL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1027" w:type="dxa"/>
            <w:vAlign w:val="center"/>
          </w:tcPr>
          <w:p w14:paraId="66B477B0" w14:textId="7777777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-</w:t>
            </w:r>
          </w:p>
        </w:tc>
        <w:tc>
          <w:tcPr>
            <w:tcW w:w="1844" w:type="dxa"/>
            <w:vAlign w:val="center"/>
          </w:tcPr>
          <w:p w14:paraId="34609572" w14:textId="4C17B330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102.1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9.2-545.7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5" w:type="dxa"/>
            <w:vAlign w:val="center"/>
          </w:tcPr>
          <w:p w14:paraId="78520F93" w14:textId="393D8AAA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48.5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11.9-198.9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410" w:type="dxa"/>
            <w:vAlign w:val="center"/>
          </w:tcPr>
          <w:p w14:paraId="7F2C8072" w14:textId="737D7AF4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115.3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(9.2-545.7)</w:t>
            </w:r>
          </w:p>
        </w:tc>
        <w:tc>
          <w:tcPr>
            <w:tcW w:w="2126" w:type="dxa"/>
            <w:vAlign w:val="center"/>
          </w:tcPr>
          <w:p w14:paraId="694893F7" w14:textId="70AA746B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131.1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895C37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12.9-477.2</w:t>
            </w:r>
            <w:r w:rsidR="00895C37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</w:tr>
      <w:tr w:rsidR="00980629" w:rsidRPr="00E86DA5" w14:paraId="4288BA91" w14:textId="77777777" w:rsidTr="00B8316D">
        <w:trPr>
          <w:trHeight w:val="851"/>
          <w:jc w:val="center"/>
        </w:trPr>
        <w:tc>
          <w:tcPr>
            <w:tcW w:w="1808" w:type="dxa"/>
            <w:vAlign w:val="center"/>
          </w:tcPr>
          <w:p w14:paraId="531F7234" w14:textId="0FEBD06C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Anti-CCP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U/mL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1027" w:type="dxa"/>
            <w:vAlign w:val="center"/>
          </w:tcPr>
          <w:p w14:paraId="786D1D1D" w14:textId="7777777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-</w:t>
            </w:r>
          </w:p>
        </w:tc>
        <w:tc>
          <w:tcPr>
            <w:tcW w:w="1844" w:type="dxa"/>
            <w:vAlign w:val="center"/>
          </w:tcPr>
          <w:p w14:paraId="0D02D4C7" w14:textId="444212CD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191.8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83.7-202.8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5" w:type="dxa"/>
            <w:vAlign w:val="center"/>
          </w:tcPr>
          <w:p w14:paraId="40A997DB" w14:textId="66ED50B1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187.5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92.0-199.7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410" w:type="dxa"/>
            <w:vAlign w:val="center"/>
          </w:tcPr>
          <w:p w14:paraId="453383ED" w14:textId="2FE2C639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192.0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92.0-202.8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6" w:type="dxa"/>
            <w:vAlign w:val="center"/>
          </w:tcPr>
          <w:p w14:paraId="6458ECFE" w14:textId="493E28A7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191.3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(83.7-200.1)</w:t>
            </w:r>
          </w:p>
        </w:tc>
      </w:tr>
      <w:tr w:rsidR="00980629" w:rsidRPr="00E86DA5" w14:paraId="39A028CB" w14:textId="77777777" w:rsidTr="00B8316D">
        <w:trPr>
          <w:trHeight w:val="851"/>
          <w:jc w:val="center"/>
        </w:trPr>
        <w:tc>
          <w:tcPr>
            <w:tcW w:w="1808" w:type="dxa"/>
            <w:vAlign w:val="center"/>
          </w:tcPr>
          <w:p w14:paraId="126A34E7" w14:textId="64A77DF3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CRP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(mg/L)</w:t>
            </w:r>
          </w:p>
        </w:tc>
        <w:tc>
          <w:tcPr>
            <w:tcW w:w="1027" w:type="dxa"/>
            <w:vAlign w:val="center"/>
          </w:tcPr>
          <w:p w14:paraId="0F7C4ECC" w14:textId="7777777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-</w:t>
            </w:r>
          </w:p>
        </w:tc>
        <w:tc>
          <w:tcPr>
            <w:tcW w:w="1844" w:type="dxa"/>
            <w:vAlign w:val="center"/>
          </w:tcPr>
          <w:p w14:paraId="2EE7A986" w14:textId="35D81E8F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17.3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0.2-152.5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5" w:type="dxa"/>
            <w:vAlign w:val="center"/>
          </w:tcPr>
          <w:p w14:paraId="085F431D" w14:textId="7594C242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2.5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0.2-29.0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410" w:type="dxa"/>
            <w:vAlign w:val="center"/>
          </w:tcPr>
          <w:p w14:paraId="499E634F" w14:textId="29DB3B9F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10.0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0.49-76.0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6" w:type="dxa"/>
            <w:vAlign w:val="center"/>
          </w:tcPr>
          <w:p w14:paraId="5C54BB3E" w14:textId="4AF2373E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41.5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(0.72-152.5)</w:t>
            </w:r>
          </w:p>
        </w:tc>
      </w:tr>
      <w:tr w:rsidR="00980629" w:rsidRPr="00E86DA5" w14:paraId="690EA71D" w14:textId="77777777" w:rsidTr="00B8316D">
        <w:trPr>
          <w:trHeight w:val="851"/>
          <w:jc w:val="center"/>
        </w:trPr>
        <w:tc>
          <w:tcPr>
            <w:tcW w:w="1808" w:type="dxa"/>
            <w:vAlign w:val="center"/>
          </w:tcPr>
          <w:p w14:paraId="5049C378" w14:textId="0897AE65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ESR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mm/h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1027" w:type="dxa"/>
            <w:vAlign w:val="center"/>
          </w:tcPr>
          <w:p w14:paraId="38DCB6A0" w14:textId="7777777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-</w:t>
            </w:r>
          </w:p>
        </w:tc>
        <w:tc>
          <w:tcPr>
            <w:tcW w:w="1844" w:type="dxa"/>
            <w:vAlign w:val="center"/>
          </w:tcPr>
          <w:p w14:paraId="0656DE69" w14:textId="3F1936DB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51.5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2-153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5" w:type="dxa"/>
            <w:vAlign w:val="center"/>
          </w:tcPr>
          <w:p w14:paraId="4D9F2428" w14:textId="0200D916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20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2.0-23.0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410" w:type="dxa"/>
            <w:vAlign w:val="center"/>
          </w:tcPr>
          <w:p w14:paraId="6D3AED58" w14:textId="5A8AFE1B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38.0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15.0-103.0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6" w:type="dxa"/>
            <w:vAlign w:val="center"/>
          </w:tcPr>
          <w:p w14:paraId="08B02882" w14:textId="55D79815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93.5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(43.0-153.0)</w:t>
            </w:r>
          </w:p>
        </w:tc>
      </w:tr>
      <w:tr w:rsidR="00980629" w:rsidRPr="00E86DA5" w14:paraId="3A6DED7B" w14:textId="77777777" w:rsidTr="00B8316D">
        <w:trPr>
          <w:trHeight w:val="851"/>
          <w:jc w:val="center"/>
        </w:trPr>
        <w:tc>
          <w:tcPr>
            <w:tcW w:w="1808" w:type="dxa"/>
            <w:tcBorders>
              <w:bottom w:val="single" w:sz="12" w:space="0" w:color="auto"/>
            </w:tcBorders>
            <w:vAlign w:val="center"/>
          </w:tcPr>
          <w:p w14:paraId="722E03F6" w14:textId="7777777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DAS28-ESR</w:t>
            </w:r>
          </w:p>
        </w:tc>
        <w:tc>
          <w:tcPr>
            <w:tcW w:w="1027" w:type="dxa"/>
            <w:tcBorders>
              <w:bottom w:val="single" w:sz="12" w:space="0" w:color="auto"/>
            </w:tcBorders>
            <w:vAlign w:val="center"/>
          </w:tcPr>
          <w:p w14:paraId="6A5ADAF1" w14:textId="77777777" w:rsidR="00980629" w:rsidRPr="00BB5EA6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-</w:t>
            </w:r>
          </w:p>
        </w:tc>
        <w:tc>
          <w:tcPr>
            <w:tcW w:w="1844" w:type="dxa"/>
            <w:tcBorders>
              <w:bottom w:val="single" w:sz="12" w:space="0" w:color="auto"/>
            </w:tcBorders>
            <w:vAlign w:val="center"/>
          </w:tcPr>
          <w:p w14:paraId="3A8E4304" w14:textId="455A4068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4.55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1.66-7.39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5" w:type="dxa"/>
            <w:tcBorders>
              <w:bottom w:val="single" w:sz="12" w:space="0" w:color="auto"/>
            </w:tcBorders>
            <w:vAlign w:val="center"/>
          </w:tcPr>
          <w:p w14:paraId="7EADC6C4" w14:textId="3265AF3F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2.92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(1.68-3.10)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6BAF56FE" w14:textId="21432641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4.06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(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3.31-4.96</w:t>
            </w:r>
            <w:r w:rsidR="00E86DA5">
              <w:rPr>
                <w:rFonts w:ascii="Times New Roman" w:eastAsiaTheme="minorHAnsi" w:hAnsi="Times New Roman" w:cs="Times New Roman" w:hint="eastAsia"/>
                <w:szCs w:val="21"/>
              </w:rPr>
              <w:t>)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40A94FF9" w14:textId="281F5A4A" w:rsidR="00980629" w:rsidRPr="00E86DA5" w:rsidRDefault="00980629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E86DA5">
              <w:rPr>
                <w:rFonts w:ascii="Times New Roman" w:eastAsiaTheme="minorHAnsi" w:hAnsi="Times New Roman" w:cs="Times New Roman"/>
                <w:szCs w:val="21"/>
              </w:rPr>
              <w:t>6.16</w:t>
            </w:r>
            <w:r w:rsidR="00F64E7C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E86DA5">
              <w:rPr>
                <w:rFonts w:ascii="Times New Roman" w:eastAsiaTheme="minorHAnsi" w:hAnsi="Times New Roman" w:cs="Times New Roman"/>
                <w:szCs w:val="21"/>
              </w:rPr>
              <w:t>(5.12-7.39)</w:t>
            </w:r>
          </w:p>
        </w:tc>
      </w:tr>
      <w:bookmarkEnd w:id="1"/>
    </w:tbl>
    <w:p w14:paraId="44FB29C6" w14:textId="77777777" w:rsidR="000217B3" w:rsidRDefault="000217B3" w:rsidP="004B3579">
      <w:pPr>
        <w:spacing w:line="400" w:lineRule="exact"/>
        <w:rPr>
          <w:rFonts w:ascii="Calibri" w:hAnsi="Calibri" w:cs="Calibri"/>
          <w:b/>
          <w:bCs/>
          <w:sz w:val="24"/>
        </w:rPr>
      </w:pPr>
    </w:p>
    <w:p w14:paraId="2BCC58A8" w14:textId="27DF84EC" w:rsidR="004B3579" w:rsidRDefault="004B3579" w:rsidP="004B3579">
      <w:pPr>
        <w:spacing w:line="400" w:lineRule="exact"/>
        <w:rPr>
          <w:rFonts w:ascii="Times New Roman" w:hAnsi="Times New Roman" w:cs="Times New Roman"/>
          <w:sz w:val="24"/>
        </w:rPr>
      </w:pPr>
      <w:r w:rsidRPr="00D6319D">
        <w:rPr>
          <w:rFonts w:ascii="Calibri" w:hAnsi="Calibri" w:cs="Calibri"/>
          <w:b/>
          <w:bCs/>
          <w:sz w:val="24"/>
        </w:rPr>
        <w:t xml:space="preserve">Supplementary Table </w:t>
      </w:r>
      <w:r w:rsidRPr="00D6319D">
        <w:rPr>
          <w:rFonts w:ascii="Calibri" w:hAnsi="Calibri" w:cs="Calibri" w:hint="eastAsia"/>
          <w:b/>
          <w:bCs/>
          <w:sz w:val="24"/>
        </w:rPr>
        <w:t>2</w:t>
      </w:r>
      <w:r w:rsidRPr="00D6319D">
        <w:rPr>
          <w:rFonts w:ascii="Times New Roman" w:hAnsi="Times New Roman" w:cs="Times New Roman" w:hint="eastAsia"/>
          <w:sz w:val="24"/>
        </w:rPr>
        <w:t xml:space="preserve"> </w:t>
      </w:r>
      <w:r w:rsidR="00CB5609" w:rsidRPr="00D6319D">
        <w:rPr>
          <w:rFonts w:ascii="Times New Roman" w:hAnsi="Times New Roman" w:cs="Times New Roman"/>
          <w:sz w:val="24"/>
        </w:rPr>
        <w:t>Clinical and laboratory characteristics of RA and OA synovial tissue donors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126"/>
        <w:gridCol w:w="2693"/>
      </w:tblGrid>
      <w:tr w:rsidR="00303DCF" w14:paraId="7312B722" w14:textId="77777777" w:rsidTr="00895C37">
        <w:trPr>
          <w:jc w:val="center"/>
        </w:trPr>
        <w:tc>
          <w:tcPr>
            <w:tcW w:w="255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40A9F2E" w14:textId="34467B55" w:rsidR="00303DCF" w:rsidRPr="00303DCF" w:rsidRDefault="00303DCF" w:rsidP="00303DCF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6898F91" w14:textId="024B459E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 xml:space="preserve">Patients with 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O</w:t>
            </w:r>
            <w:r w:rsidRPr="00BB5EA6">
              <w:rPr>
                <w:rFonts w:ascii="Times New Roman" w:eastAsiaTheme="minorHAnsi" w:hAnsi="Times New Roman" w:cs="Times New Roman"/>
                <w:szCs w:val="21"/>
              </w:rPr>
              <w:t>A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 xml:space="preserve"> (n=9)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65557B5" w14:textId="5C45E0CF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BB5EA6">
              <w:rPr>
                <w:rFonts w:ascii="Times New Roman" w:eastAsiaTheme="minorHAnsi" w:hAnsi="Times New Roman" w:cs="Times New Roman"/>
                <w:szCs w:val="21"/>
              </w:rPr>
              <w:t>Patients with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 xml:space="preserve"> RA (n=8)</w:t>
            </w:r>
          </w:p>
        </w:tc>
      </w:tr>
      <w:tr w:rsidR="00303DCF" w14:paraId="093305CB" w14:textId="77777777" w:rsidTr="00895C37">
        <w:trPr>
          <w:jc w:val="center"/>
        </w:trPr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0088146" w14:textId="65F752FC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Female, n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(%)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51541FE3" w14:textId="520939B3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6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(66.7%)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vAlign w:val="center"/>
          </w:tcPr>
          <w:p w14:paraId="23582FEB" w14:textId="46F7592D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7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(87.5%)</w:t>
            </w:r>
          </w:p>
        </w:tc>
      </w:tr>
      <w:tr w:rsidR="00303DCF" w14:paraId="6551091F" w14:textId="77777777" w:rsidTr="00895C37">
        <w:trPr>
          <w:jc w:val="center"/>
        </w:trPr>
        <w:tc>
          <w:tcPr>
            <w:tcW w:w="2552" w:type="dxa"/>
            <w:vAlign w:val="center"/>
          </w:tcPr>
          <w:p w14:paraId="0571F1CD" w14:textId="5C376B5B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Age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(year)</w:t>
            </w:r>
          </w:p>
        </w:tc>
        <w:tc>
          <w:tcPr>
            <w:tcW w:w="2126" w:type="dxa"/>
            <w:vAlign w:val="center"/>
          </w:tcPr>
          <w:p w14:paraId="7F55E9A9" w14:textId="51D7BF9E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66.3±5.8</w:t>
            </w:r>
          </w:p>
        </w:tc>
        <w:tc>
          <w:tcPr>
            <w:tcW w:w="2693" w:type="dxa"/>
            <w:vAlign w:val="center"/>
          </w:tcPr>
          <w:p w14:paraId="1DF1EE56" w14:textId="70372789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60.3±12.4</w:t>
            </w:r>
          </w:p>
        </w:tc>
      </w:tr>
      <w:tr w:rsidR="00303DCF" w14:paraId="68783713" w14:textId="77777777" w:rsidTr="00895C37">
        <w:trPr>
          <w:jc w:val="center"/>
        </w:trPr>
        <w:tc>
          <w:tcPr>
            <w:tcW w:w="2552" w:type="dxa"/>
            <w:vAlign w:val="center"/>
          </w:tcPr>
          <w:p w14:paraId="70D7C6B8" w14:textId="551E6BC8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Duration of disease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(month)</w:t>
            </w:r>
          </w:p>
        </w:tc>
        <w:tc>
          <w:tcPr>
            <w:tcW w:w="2126" w:type="dxa"/>
            <w:vAlign w:val="center"/>
          </w:tcPr>
          <w:p w14:paraId="20EF8698" w14:textId="595DF06A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72 (5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-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120)</w:t>
            </w:r>
          </w:p>
        </w:tc>
        <w:tc>
          <w:tcPr>
            <w:tcW w:w="2693" w:type="dxa"/>
            <w:vAlign w:val="center"/>
          </w:tcPr>
          <w:p w14:paraId="200B318A" w14:textId="1A24E253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60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(6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-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360)</w:t>
            </w:r>
          </w:p>
        </w:tc>
      </w:tr>
      <w:tr w:rsidR="00303DCF" w14:paraId="73B230C0" w14:textId="77777777" w:rsidTr="00895C37">
        <w:trPr>
          <w:jc w:val="center"/>
        </w:trPr>
        <w:tc>
          <w:tcPr>
            <w:tcW w:w="2552" w:type="dxa"/>
            <w:vAlign w:val="center"/>
          </w:tcPr>
          <w:p w14:paraId="66E5B9BA" w14:textId="0B19BCD0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RF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(U/mL)</w:t>
            </w:r>
          </w:p>
        </w:tc>
        <w:tc>
          <w:tcPr>
            <w:tcW w:w="2126" w:type="dxa"/>
            <w:vAlign w:val="center"/>
          </w:tcPr>
          <w:p w14:paraId="16130F02" w14:textId="0433EA39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>
              <w:rPr>
                <w:rFonts w:ascii="Times New Roman" w:eastAsiaTheme="minorHAnsi" w:hAnsi="Times New Roman" w:cs="Times New Roman" w:hint="eastAsia"/>
                <w:szCs w:val="21"/>
              </w:rPr>
              <w:t>-</w:t>
            </w:r>
          </w:p>
        </w:tc>
        <w:tc>
          <w:tcPr>
            <w:tcW w:w="2693" w:type="dxa"/>
            <w:vAlign w:val="center"/>
          </w:tcPr>
          <w:p w14:paraId="74336B8F" w14:textId="140B4EDD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110.5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(11.3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-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645.1)</w:t>
            </w:r>
          </w:p>
        </w:tc>
      </w:tr>
      <w:tr w:rsidR="00303DCF" w14:paraId="50778D94" w14:textId="77777777" w:rsidTr="00895C37">
        <w:trPr>
          <w:jc w:val="center"/>
        </w:trPr>
        <w:tc>
          <w:tcPr>
            <w:tcW w:w="2552" w:type="dxa"/>
            <w:vAlign w:val="center"/>
          </w:tcPr>
          <w:p w14:paraId="160533DB" w14:textId="756D3347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Anti-CCP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(U/mL)</w:t>
            </w:r>
          </w:p>
        </w:tc>
        <w:tc>
          <w:tcPr>
            <w:tcW w:w="2126" w:type="dxa"/>
            <w:vAlign w:val="center"/>
          </w:tcPr>
          <w:p w14:paraId="60A32702" w14:textId="0245D0F2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>
              <w:rPr>
                <w:rFonts w:ascii="Times New Roman" w:eastAsiaTheme="minorHAnsi" w:hAnsi="Times New Roman" w:cs="Times New Roman" w:hint="eastAsia"/>
                <w:szCs w:val="21"/>
              </w:rPr>
              <w:t>-</w:t>
            </w:r>
          </w:p>
        </w:tc>
        <w:tc>
          <w:tcPr>
            <w:tcW w:w="2693" w:type="dxa"/>
            <w:vAlign w:val="center"/>
          </w:tcPr>
          <w:p w14:paraId="6E1C5862" w14:textId="10DD3D6B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187.0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(8.8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-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204.6)</w:t>
            </w:r>
          </w:p>
        </w:tc>
      </w:tr>
      <w:tr w:rsidR="00303DCF" w14:paraId="79402A15" w14:textId="77777777" w:rsidTr="00895C37">
        <w:trPr>
          <w:jc w:val="center"/>
        </w:trPr>
        <w:tc>
          <w:tcPr>
            <w:tcW w:w="2552" w:type="dxa"/>
            <w:vAlign w:val="center"/>
          </w:tcPr>
          <w:p w14:paraId="438C9CAA" w14:textId="79552213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CRP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(mg/L)</w:t>
            </w:r>
          </w:p>
        </w:tc>
        <w:tc>
          <w:tcPr>
            <w:tcW w:w="2126" w:type="dxa"/>
            <w:vAlign w:val="center"/>
          </w:tcPr>
          <w:p w14:paraId="0462EBAB" w14:textId="50CE4661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4.32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(0.25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-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16.69)</w:t>
            </w:r>
          </w:p>
        </w:tc>
        <w:tc>
          <w:tcPr>
            <w:tcW w:w="2693" w:type="dxa"/>
            <w:vAlign w:val="center"/>
          </w:tcPr>
          <w:p w14:paraId="61F7C4A7" w14:textId="1289F024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9.24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(2.19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-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127.55)</w:t>
            </w:r>
          </w:p>
        </w:tc>
      </w:tr>
      <w:tr w:rsidR="00303DCF" w14:paraId="38A478E2" w14:textId="77777777" w:rsidTr="00895C37">
        <w:trPr>
          <w:jc w:val="center"/>
        </w:trPr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2D9B6BA7" w14:textId="146EE503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lastRenderedPageBreak/>
              <w:t>ESR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(mm/h)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3E7DC19B" w14:textId="7D545B89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12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(3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-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28)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79792C46" w14:textId="2848807F" w:rsidR="00303DCF" w:rsidRPr="00303DCF" w:rsidRDefault="00303DCF" w:rsidP="00303DC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1"/>
              </w:rPr>
            </w:pPr>
            <w:r w:rsidRPr="00303DCF">
              <w:rPr>
                <w:rFonts w:ascii="Times New Roman" w:eastAsiaTheme="minorHAnsi" w:hAnsi="Times New Roman" w:cs="Times New Roman"/>
                <w:szCs w:val="21"/>
              </w:rPr>
              <w:t>62</w:t>
            </w:r>
            <w:r w:rsidR="00CB5609">
              <w:rPr>
                <w:rFonts w:ascii="Times New Roman" w:eastAsiaTheme="minorHAnsi" w:hAnsi="Times New Roman" w:cs="Times New Roman" w:hint="eastAsia"/>
                <w:szCs w:val="21"/>
              </w:rPr>
              <w:t xml:space="preserve"> 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(42</w:t>
            </w:r>
            <w:r>
              <w:rPr>
                <w:rFonts w:ascii="Times New Roman" w:eastAsiaTheme="minorHAnsi" w:hAnsi="Times New Roman" w:cs="Times New Roman" w:hint="eastAsia"/>
                <w:szCs w:val="21"/>
              </w:rPr>
              <w:t>-</w:t>
            </w:r>
            <w:r w:rsidRPr="00303DCF">
              <w:rPr>
                <w:rFonts w:ascii="Times New Roman" w:eastAsiaTheme="minorHAnsi" w:hAnsi="Times New Roman" w:cs="Times New Roman"/>
                <w:szCs w:val="21"/>
              </w:rPr>
              <w:t>129)</w:t>
            </w:r>
          </w:p>
        </w:tc>
      </w:tr>
    </w:tbl>
    <w:p w14:paraId="32620E84" w14:textId="77777777" w:rsidR="00980629" w:rsidRPr="00980629" w:rsidRDefault="00980629" w:rsidP="00980629">
      <w:pPr>
        <w:spacing w:line="400" w:lineRule="exact"/>
        <w:rPr>
          <w:rFonts w:ascii="Times New Roman" w:hAnsi="Times New Roman" w:cs="Times New Roman"/>
          <w:sz w:val="24"/>
        </w:rPr>
      </w:pPr>
    </w:p>
    <w:sectPr w:rsidR="00980629" w:rsidRPr="009806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C0CAF" w14:textId="77777777" w:rsidR="00253B05" w:rsidRDefault="00253B05" w:rsidP="0098062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853E12" w14:textId="77777777" w:rsidR="00253B05" w:rsidRDefault="00253B05" w:rsidP="0098062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48738" w14:textId="77777777" w:rsidR="00253B05" w:rsidRDefault="00253B05" w:rsidP="0098062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16C23BE" w14:textId="77777777" w:rsidR="00253B05" w:rsidRDefault="00253B05" w:rsidP="0098062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341"/>
    <w:rsid w:val="000217B3"/>
    <w:rsid w:val="00025D44"/>
    <w:rsid w:val="00067859"/>
    <w:rsid w:val="0007230E"/>
    <w:rsid w:val="000741CD"/>
    <w:rsid w:val="000E58A3"/>
    <w:rsid w:val="00153CDE"/>
    <w:rsid w:val="001A736A"/>
    <w:rsid w:val="002405FF"/>
    <w:rsid w:val="00253B05"/>
    <w:rsid w:val="002A1F67"/>
    <w:rsid w:val="002F569A"/>
    <w:rsid w:val="00303DCF"/>
    <w:rsid w:val="003426CE"/>
    <w:rsid w:val="003D350A"/>
    <w:rsid w:val="00417A6A"/>
    <w:rsid w:val="00421B02"/>
    <w:rsid w:val="00487238"/>
    <w:rsid w:val="004B3579"/>
    <w:rsid w:val="004C2B49"/>
    <w:rsid w:val="004D6264"/>
    <w:rsid w:val="00537C64"/>
    <w:rsid w:val="00591A48"/>
    <w:rsid w:val="005E1EAE"/>
    <w:rsid w:val="00662A2A"/>
    <w:rsid w:val="00700FAC"/>
    <w:rsid w:val="007059AE"/>
    <w:rsid w:val="00714C4E"/>
    <w:rsid w:val="007F262B"/>
    <w:rsid w:val="00894498"/>
    <w:rsid w:val="00895C37"/>
    <w:rsid w:val="008D43DB"/>
    <w:rsid w:val="008D6F6E"/>
    <w:rsid w:val="00980629"/>
    <w:rsid w:val="009F7904"/>
    <w:rsid w:val="00A275A4"/>
    <w:rsid w:val="00A7712A"/>
    <w:rsid w:val="00B46DB0"/>
    <w:rsid w:val="00B8316D"/>
    <w:rsid w:val="00B95042"/>
    <w:rsid w:val="00C31AD6"/>
    <w:rsid w:val="00CA5F6E"/>
    <w:rsid w:val="00CB5609"/>
    <w:rsid w:val="00D104D9"/>
    <w:rsid w:val="00D40CE9"/>
    <w:rsid w:val="00D6319D"/>
    <w:rsid w:val="00DE067B"/>
    <w:rsid w:val="00E158E8"/>
    <w:rsid w:val="00E34247"/>
    <w:rsid w:val="00E61D85"/>
    <w:rsid w:val="00E75986"/>
    <w:rsid w:val="00E86DA5"/>
    <w:rsid w:val="00EC2AA8"/>
    <w:rsid w:val="00EF4130"/>
    <w:rsid w:val="00F64E7C"/>
    <w:rsid w:val="00F7041B"/>
    <w:rsid w:val="00F76462"/>
    <w:rsid w:val="00F81341"/>
    <w:rsid w:val="00F8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38A4C1"/>
  <w14:defaultImageDpi w14:val="32767"/>
  <w15:chartTrackingRefBased/>
  <w15:docId w15:val="{08D8CC5B-6834-453B-9F9A-22A82A4A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813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13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134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134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134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134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134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134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8134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813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81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8134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8134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8134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813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813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813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8134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81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134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813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13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813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13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134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13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8134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8134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8062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8062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8062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80629"/>
    <w:rPr>
      <w:sz w:val="18"/>
      <w:szCs w:val="18"/>
    </w:rPr>
  </w:style>
  <w:style w:type="table" w:styleId="af2">
    <w:name w:val="Table Grid"/>
    <w:basedOn w:val="a1"/>
    <w:uiPriority w:val="39"/>
    <w:qFormat/>
    <w:rsid w:val="0098062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2404</TotalTime>
  <Pages>1</Pages>
  <Words>561</Words>
  <Characters>3480</Characters>
  <Application>Microsoft Office Word</Application>
  <DocSecurity>0</DocSecurity>
  <Lines>64</Lines>
  <Paragraphs>15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mingyue hu</dc:creator>
  <cp:keywords/>
  <dc:description/>
  <cp:lastModifiedBy>mingyue hu</cp:lastModifiedBy>
  <cp:revision>8</cp:revision>
  <dcterms:created xsi:type="dcterms:W3CDTF">2025-09-04T07:30:00Z</dcterms:created>
  <dcterms:modified xsi:type="dcterms:W3CDTF">2026-05-08T16:40:00Z</dcterms:modified>
</cp:coreProperties>
</file>