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733866" w14:textId="79CA8C40" w:rsidR="00D9090A" w:rsidRPr="00D9090A" w:rsidRDefault="00533E28" w:rsidP="00D9090A">
      <w:pPr>
        <w:pStyle w:val="Heading1"/>
        <w:spacing w:line="360" w:lineRule="auto"/>
        <w:rPr>
          <w:rFonts w:eastAsiaTheme="minorHAnsi" w:cstheme="minorBidi"/>
          <w:color w:val="auto"/>
          <w:sz w:val="30"/>
          <w:szCs w:val="30"/>
          <w:lang w:val="en-US"/>
        </w:rPr>
      </w:pPr>
      <w:r>
        <w:rPr>
          <w:rFonts w:eastAsiaTheme="minorHAnsi" w:cstheme="minorBidi"/>
          <w:color w:val="auto"/>
          <w:sz w:val="30"/>
          <w:szCs w:val="30"/>
          <w:lang w:val="en-US"/>
        </w:rPr>
        <w:t>T</w:t>
      </w:r>
      <w:r w:rsidR="00D9090A" w:rsidRPr="00D9090A">
        <w:rPr>
          <w:rFonts w:eastAsiaTheme="minorHAnsi" w:cstheme="minorBidi"/>
          <w:color w:val="auto"/>
          <w:sz w:val="30"/>
          <w:szCs w:val="30"/>
          <w:lang w:val="en-US"/>
        </w:rPr>
        <w:t xml:space="preserve">he risk of carbon leakage in global climate agreements </w:t>
      </w:r>
    </w:p>
    <w:p w14:paraId="132BE619" w14:textId="64799C86" w:rsidR="00A95D9B" w:rsidRPr="00D93F6E" w:rsidRDefault="002A20C1" w:rsidP="00721031">
      <w:pPr>
        <w:pStyle w:val="Heading1"/>
        <w:rPr>
          <w:lang w:val="en-US"/>
        </w:rPr>
      </w:pPr>
      <w:r w:rsidRPr="008220A7">
        <w:rPr>
          <w:lang w:val="en-US"/>
        </w:rPr>
        <w:t>Supplementary</w:t>
      </w:r>
      <w:r w:rsidRPr="00D93F6E">
        <w:rPr>
          <w:lang w:val="en-US"/>
        </w:rPr>
        <w:t xml:space="preserve"> </w:t>
      </w:r>
      <w:r w:rsidR="00615959">
        <w:rPr>
          <w:lang w:val="en-US"/>
        </w:rPr>
        <w:t>I</w:t>
      </w:r>
      <w:r w:rsidRPr="00D93F6E">
        <w:rPr>
          <w:lang w:val="en-US"/>
        </w:rPr>
        <w:t>nformation</w:t>
      </w:r>
      <w:r w:rsidR="008220A7">
        <w:rPr>
          <w:lang w:val="en-US"/>
        </w:rPr>
        <w:t xml:space="preserve"> SI.1</w:t>
      </w:r>
    </w:p>
    <w:p w14:paraId="1626FB3E" w14:textId="77777777" w:rsidR="00D5502F" w:rsidRPr="00D93F6E" w:rsidRDefault="00D5502F" w:rsidP="004D7B0A">
      <w:pPr>
        <w:rPr>
          <w:lang w:val="en-US"/>
        </w:rPr>
      </w:pPr>
    </w:p>
    <w:p w14:paraId="708128CD" w14:textId="107D3D3B" w:rsidR="00FA1346" w:rsidRPr="00D93F6E" w:rsidRDefault="00D109AC" w:rsidP="00770319">
      <w:pPr>
        <w:pStyle w:val="Heading2"/>
        <w:rPr>
          <w:rFonts w:asciiTheme="majorHAnsi" w:hAnsiTheme="majorHAnsi"/>
          <w:lang w:val="en-US"/>
        </w:rPr>
      </w:pPr>
      <w:r>
        <w:rPr>
          <w:rFonts w:asciiTheme="majorHAnsi" w:hAnsiTheme="majorHAnsi"/>
          <w:lang w:val="en-US"/>
        </w:rPr>
        <w:t>The Technology-Adjusted Balance of Emissions Embodied in Trade</w:t>
      </w:r>
      <w:r w:rsidR="008772D4">
        <w:rPr>
          <w:rFonts w:asciiTheme="majorHAnsi" w:hAnsiTheme="majorHAnsi"/>
          <w:lang w:val="en-US"/>
        </w:rPr>
        <w:t xml:space="preserve"> (TBEET)</w:t>
      </w:r>
    </w:p>
    <w:p w14:paraId="652CC322" w14:textId="5A78FA37" w:rsidR="00155572" w:rsidRDefault="00F921DE" w:rsidP="00C26176">
      <w:pPr>
        <w:rPr>
          <w:lang w:val="en-US"/>
        </w:rPr>
      </w:pPr>
      <w:r>
        <w:rPr>
          <w:lang w:val="en-US"/>
        </w:rPr>
        <w:t>In line with Jiborn et al. (20</w:t>
      </w:r>
      <w:r w:rsidR="00AB4329">
        <w:rPr>
          <w:lang w:val="en-US"/>
        </w:rPr>
        <w:t>20</w:t>
      </w:r>
      <w:r>
        <w:rPr>
          <w:lang w:val="en-US"/>
        </w:rPr>
        <w:t>), we link the carbon emi</w:t>
      </w:r>
      <w:r w:rsidR="001E1033">
        <w:rPr>
          <w:lang w:val="en-US"/>
        </w:rPr>
        <w:t>ssion and input-output data of 56 sectors in each of the 43</w:t>
      </w:r>
      <w:r>
        <w:rPr>
          <w:lang w:val="en-US"/>
        </w:rPr>
        <w:t xml:space="preserve"> countries and a Rest-of-the-World residual, which are included in the World Input-Output Database (WIOD) (Timmer et al., 2015)</w:t>
      </w:r>
      <w:r w:rsidR="00475AA4">
        <w:rPr>
          <w:lang w:val="en-US"/>
        </w:rPr>
        <w:t xml:space="preserve">. The considered carbon emissions </w:t>
      </w:r>
      <w:r w:rsidR="001E1033">
        <w:rPr>
          <w:lang w:val="en-US"/>
        </w:rPr>
        <w:t>during the regarded period (2000 – 2014</w:t>
      </w:r>
      <w:r w:rsidR="00475AA4">
        <w:rPr>
          <w:lang w:val="en-US"/>
        </w:rPr>
        <w:t>)</w:t>
      </w:r>
      <w:r w:rsidR="001E1033">
        <w:rPr>
          <w:lang w:val="en-US"/>
        </w:rPr>
        <w:t xml:space="preserve"> are obtained from </w:t>
      </w:r>
      <w:r w:rsidR="0077189E" w:rsidRPr="0077189E">
        <w:rPr>
          <w:lang w:val="en-US"/>
        </w:rPr>
        <w:t>Corsatea et al (2019</w:t>
      </w:r>
      <w:r w:rsidR="007A0D9C">
        <w:rPr>
          <w:lang w:val="en-US"/>
        </w:rPr>
        <w:t>)</w:t>
      </w:r>
      <w:r w:rsidR="00F74CF4">
        <w:rPr>
          <w:lang w:val="en-US"/>
        </w:rPr>
        <w:t>.</w:t>
      </w:r>
      <w:r w:rsidR="00D109AC">
        <w:rPr>
          <w:lang w:val="en-US"/>
        </w:rPr>
        <w:t xml:space="preserve"> </w:t>
      </w:r>
    </w:p>
    <w:p w14:paraId="60FB6330" w14:textId="4D4F6A1D" w:rsidR="008772D4" w:rsidRDefault="008772D4" w:rsidP="00C26176">
      <w:pPr>
        <w:rPr>
          <w:lang w:val="en-US"/>
        </w:rPr>
      </w:pPr>
      <w:r>
        <w:rPr>
          <w:lang w:val="en-US"/>
        </w:rPr>
        <w:t>To derive each country’s TBEET</w:t>
      </w:r>
      <w:r w:rsidR="00B774C9">
        <w:rPr>
          <w:lang w:val="en-US"/>
        </w:rPr>
        <w:t>, we use simple matrix algebra to calculate, first,</w:t>
      </w:r>
      <w:r w:rsidR="002C3CDF">
        <w:rPr>
          <w:lang w:val="en-US"/>
        </w:rPr>
        <w:t xml:space="preserve"> the</w:t>
      </w:r>
      <w:r w:rsidR="00B121A1">
        <w:rPr>
          <w:lang w:val="en-US"/>
        </w:rPr>
        <w:t xml:space="preserve"> direct and indirect global emissions </w:t>
      </w:r>
      <w:r w:rsidR="00B121A1">
        <w:rPr>
          <w:b/>
          <w:lang w:val="en-US"/>
        </w:rPr>
        <w:t xml:space="preserve">E </w:t>
      </w:r>
      <w:r w:rsidR="00B121A1">
        <w:rPr>
          <w:lang w:val="en-US"/>
        </w:rPr>
        <w:t>that are required to</w:t>
      </w:r>
      <w:r w:rsidR="002C3CDF">
        <w:rPr>
          <w:lang w:val="en-US"/>
        </w:rPr>
        <w:t xml:space="preserve"> serve</w:t>
      </w:r>
      <w:r w:rsidR="00B121A1">
        <w:rPr>
          <w:lang w:val="en-US"/>
        </w:rPr>
        <w:t xml:space="preserve"> final demands contained in the matrix </w:t>
      </w:r>
      <w:r w:rsidR="00B774C9">
        <w:rPr>
          <w:lang w:val="en-US"/>
        </w:rPr>
        <w:t xml:space="preserve"> </w:t>
      </w:r>
      <w:r w:rsidR="00B121A1">
        <w:rPr>
          <w:b/>
          <w:lang w:val="en-US"/>
        </w:rPr>
        <w:t>F</w:t>
      </w:r>
      <w:r w:rsidR="00BD1A74">
        <w:rPr>
          <w:lang w:val="en-US"/>
        </w:rPr>
        <w:t>:</w:t>
      </w:r>
    </w:p>
    <w:p w14:paraId="179621F9" w14:textId="7B5AF99E" w:rsidR="00BD1A74" w:rsidRPr="0014532B" w:rsidRDefault="0014532B" w:rsidP="00C26176">
      <w:pPr>
        <w:rPr>
          <w:rFonts w:cstheme="minorHAnsi"/>
          <w:lang w:val="en-US"/>
        </w:rPr>
      </w:pPr>
      <w:r>
        <w:rPr>
          <w:lang w:val="en-US"/>
        </w:rPr>
        <w:t>(1)</w:t>
      </w:r>
      <w:r w:rsidR="004B1FBF" w:rsidRPr="0014532B">
        <w:rPr>
          <w:lang w:val="en-US"/>
        </w:rPr>
        <w:tab/>
      </w:r>
      <m:oMath>
        <m:r>
          <m:rPr>
            <m:sty m:val="b"/>
          </m:rPr>
          <w:rPr>
            <w:rFonts w:ascii="Cambria Math" w:hAnsi="Cambria Math"/>
            <w:lang w:val="en-US"/>
          </w:rPr>
          <m:t xml:space="preserve">E </m:t>
        </m:r>
        <m:r>
          <m:rPr>
            <m:sty m:val="p"/>
          </m:rPr>
          <w:rPr>
            <w:rFonts w:ascii="Cambria Math" w:hAnsi="Cambria Math"/>
            <w:lang w:val="en-US"/>
          </w:rPr>
          <m:t>=</m:t>
        </m:r>
        <m:r>
          <m:rPr>
            <m:sty m:val="b"/>
          </m:rPr>
          <w:rPr>
            <w:rFonts w:ascii="Cambria Math" w:hAnsi="Cambria Math"/>
            <w:lang w:val="en-US"/>
          </w:rPr>
          <m:t xml:space="preserve"> </m:t>
        </m:r>
        <m:acc>
          <m:accPr>
            <m:ctrlPr>
              <w:rPr>
                <w:rFonts w:ascii="Cambria Math" w:eastAsia="Arial Unicode MS" w:hAnsi="Cambria Math" w:cs="Arial Unicode MS"/>
                <w:b/>
                <w:lang w:val="en-US"/>
              </w:rPr>
            </m:ctrlPr>
          </m:accPr>
          <m:e>
            <m:r>
              <m:rPr>
                <m:sty m:val="b"/>
              </m:rPr>
              <w:rPr>
                <w:rFonts w:ascii="Cambria Math" w:eastAsia="Arial Unicode MS" w:hAnsi="Cambria Math" w:cs="Arial Unicode MS"/>
                <w:lang w:val="en-US"/>
              </w:rPr>
              <m:t>d</m:t>
            </m:r>
          </m:e>
        </m:acc>
        <m:r>
          <m:rPr>
            <m:sty m:val="b"/>
          </m:rPr>
          <w:rPr>
            <w:rFonts w:ascii="Cambria Math" w:eastAsia="Arial Unicode MS" w:hAnsi="Cambria Math" w:cs="Arial Unicode MS"/>
            <w:lang w:val="en-US"/>
          </w:rPr>
          <m:t>L</m:t>
        </m:r>
        <m:r>
          <m:rPr>
            <m:sty m:val="b"/>
          </m:rPr>
          <w:rPr>
            <w:rFonts w:ascii="Cambria Math" w:hAnsi="Cambria Math"/>
            <w:lang w:val="en-US"/>
          </w:rPr>
          <m:t>F</m:t>
        </m:r>
      </m:oMath>
    </w:p>
    <w:p w14:paraId="27CB0AE1" w14:textId="0367468B" w:rsidR="004B1FBF" w:rsidRDefault="004B1FBF" w:rsidP="00C26176">
      <w:pPr>
        <w:rPr>
          <w:lang w:val="en-US"/>
        </w:rPr>
      </w:pPr>
      <w:r>
        <w:rPr>
          <w:lang w:val="en-US"/>
        </w:rPr>
        <w:t xml:space="preserve">with </w:t>
      </w:r>
      <w:r w:rsidRPr="004B1FBF">
        <w:rPr>
          <w:b/>
          <w:lang w:val="en-US"/>
        </w:rPr>
        <w:t>L</w:t>
      </w:r>
      <w:r>
        <w:rPr>
          <w:b/>
          <w:lang w:val="en-US"/>
        </w:rPr>
        <w:t xml:space="preserve"> </w:t>
      </w:r>
      <w:r>
        <w:rPr>
          <w:lang w:val="en-US"/>
        </w:rPr>
        <w:t xml:space="preserve">as the Leontief inverse (describing the direct and indirect product requirements for one unit of </w:t>
      </w:r>
      <w:r w:rsidR="0009165E">
        <w:rPr>
          <w:lang w:val="en-US"/>
        </w:rPr>
        <w:t>final demand in a given industry)</w:t>
      </w:r>
      <w:r w:rsidR="00621C16">
        <w:rPr>
          <w:lang w:val="en-US"/>
        </w:rPr>
        <w:t xml:space="preserve"> and </w:t>
      </w:r>
      <m:oMath>
        <m:acc>
          <m:accPr>
            <m:ctrlPr>
              <w:rPr>
                <w:rFonts w:ascii="Cambria Math" w:eastAsia="Arial Unicode MS" w:hAnsi="Cambria Math" w:cs="Arial Unicode MS"/>
                <w:b/>
                <w:lang w:val="en-US"/>
              </w:rPr>
            </m:ctrlPr>
          </m:accPr>
          <m:e>
            <m:r>
              <m:rPr>
                <m:sty m:val="b"/>
              </m:rPr>
              <w:rPr>
                <w:rFonts w:ascii="Cambria Math" w:eastAsia="Arial Unicode MS" w:hAnsi="Cambria Math" w:cs="Arial Unicode MS"/>
                <w:lang w:val="en-US"/>
              </w:rPr>
              <m:t>d</m:t>
            </m:r>
          </m:e>
        </m:acc>
      </m:oMath>
      <w:r w:rsidR="00F46BE1">
        <w:rPr>
          <w:rFonts w:eastAsiaTheme="minorEastAsia"/>
          <w:b/>
          <w:lang w:val="en-US"/>
        </w:rPr>
        <w:t xml:space="preserve"> </w:t>
      </w:r>
      <w:r w:rsidR="00F46BE1">
        <w:rPr>
          <w:rFonts w:eastAsiaTheme="minorEastAsia"/>
          <w:lang w:val="en-US"/>
        </w:rPr>
        <w:t xml:space="preserve">as a matrix indicating </w:t>
      </w:r>
      <w:r w:rsidR="00F46BE1" w:rsidRPr="0DE47D89">
        <w:rPr>
          <w:lang w:val="en-US"/>
        </w:rPr>
        <w:t xml:space="preserve">each </w:t>
      </w:r>
      <w:r w:rsidR="00F46BE1">
        <w:rPr>
          <w:lang w:val="en-US"/>
        </w:rPr>
        <w:t>sector’s</w:t>
      </w:r>
      <w:r w:rsidR="00F46BE1" w:rsidRPr="0DE47D89">
        <w:rPr>
          <w:lang w:val="en-US"/>
        </w:rPr>
        <w:t xml:space="preserve"> direct CO</w:t>
      </w:r>
      <w:r w:rsidR="00F46BE1" w:rsidRPr="0DE47D89">
        <w:rPr>
          <w:vertAlign w:val="subscript"/>
          <w:lang w:val="en-US"/>
        </w:rPr>
        <w:t>2</w:t>
      </w:r>
      <w:r w:rsidR="00F46BE1" w:rsidRPr="0DE47D89">
        <w:rPr>
          <w:lang w:val="en-US"/>
        </w:rPr>
        <w:t xml:space="preserve"> intensity</w:t>
      </w:r>
      <w:r w:rsidR="00F46BE1">
        <w:rPr>
          <w:lang w:val="en-US"/>
        </w:rPr>
        <w:t xml:space="preserve"> on the diagonal.</w:t>
      </w:r>
      <w:r w:rsidR="00F93CC5">
        <w:rPr>
          <w:lang w:val="en-US"/>
        </w:rPr>
        <w:t xml:space="preserve"> </w:t>
      </w:r>
    </w:p>
    <w:p w14:paraId="45D75884" w14:textId="1864D68C" w:rsidR="00DB2BA7" w:rsidRDefault="00F93CC5" w:rsidP="00C26176">
      <w:pPr>
        <w:rPr>
          <w:rFonts w:eastAsiaTheme="minorEastAsia"/>
          <w:lang w:val="en-US"/>
        </w:rPr>
      </w:pPr>
      <w:r>
        <w:rPr>
          <w:rFonts w:cstheme="minorHAnsi"/>
          <w:lang w:val="en-US"/>
        </w:rPr>
        <w:t>However, in order to cancel out the effects of international differences in technology</w:t>
      </w:r>
      <w:r w:rsidR="00DB2BA7">
        <w:rPr>
          <w:rFonts w:cstheme="minorHAnsi"/>
          <w:lang w:val="en-US"/>
        </w:rPr>
        <w:t xml:space="preserve">, we create a revised vector </w:t>
      </w:r>
      <w:r w:rsidR="00DB2BA7" w:rsidRPr="00854726">
        <w:rPr>
          <w:b/>
          <w:bCs/>
          <w:lang w:val="en-US"/>
        </w:rPr>
        <w:t>d</w:t>
      </w:r>
      <w:r w:rsidR="00DB2BA7" w:rsidRPr="00854726">
        <w:rPr>
          <w:b/>
          <w:bCs/>
          <w:vertAlign w:val="superscript"/>
          <w:lang w:val="en-US"/>
        </w:rPr>
        <w:t>WA</w:t>
      </w:r>
      <w:r w:rsidR="00DB2BA7">
        <w:rPr>
          <w:bCs/>
          <w:lang w:val="en-US"/>
        </w:rPr>
        <w:t xml:space="preserve"> (and through diagonalization the matrix</w:t>
      </w:r>
      <m:oMath>
        <m:r>
          <m:rPr>
            <m:sty m:val="b"/>
          </m:rPr>
          <w:rPr>
            <w:rFonts w:ascii="Cambria Math" w:hAnsi="Cambria Math"/>
            <w:lang w:val="en-US"/>
          </w:rPr>
          <m:t xml:space="preserve"> </m:t>
        </m:r>
        <m:acc>
          <m:accPr>
            <m:ctrlPr>
              <w:rPr>
                <w:rFonts w:ascii="Cambria Math" w:eastAsia="Arial Unicode MS" w:hAnsi="Cambria Math" w:cs="Arial Unicode MS"/>
                <w:b/>
                <w:vertAlign w:val="superscript"/>
                <w:lang w:val="en-US"/>
              </w:rPr>
            </m:ctrlPr>
          </m:accPr>
          <m:e>
            <m:sSup>
              <m:sSupPr>
                <m:ctrlPr>
                  <w:rPr>
                    <w:rFonts w:ascii="Cambria Math" w:eastAsia="Arial Unicode MS" w:hAnsi="Cambria Math" w:cs="Arial Unicode MS"/>
                    <w:b/>
                    <w:vertAlign w:val="superscript"/>
                    <w:lang w:val="en-US"/>
                  </w:rPr>
                </m:ctrlPr>
              </m:sSupPr>
              <m:e>
                <m:r>
                  <m:rPr>
                    <m:sty m:val="b"/>
                  </m:rPr>
                  <w:rPr>
                    <w:rFonts w:ascii="Cambria Math" w:eastAsia="Arial Unicode MS" w:hAnsi="Cambria Math" w:cs="Arial Unicode MS"/>
                    <w:vertAlign w:val="superscript"/>
                    <w:lang w:val="en-US"/>
                  </w:rPr>
                  <m:t>d</m:t>
                </m:r>
              </m:e>
              <m:sup>
                <m:r>
                  <m:rPr>
                    <m:sty m:val="b"/>
                  </m:rPr>
                  <w:rPr>
                    <w:rFonts w:ascii="Cambria Math" w:eastAsia="Arial Unicode MS" w:hAnsi="Cambria Math" w:cs="Arial Unicode MS"/>
                    <w:vertAlign w:val="superscript"/>
                    <w:lang w:val="en-US"/>
                  </w:rPr>
                  <m:t>WA</m:t>
                </m:r>
              </m:sup>
            </m:sSup>
          </m:e>
        </m:acc>
      </m:oMath>
      <w:r w:rsidR="00DB2BA7">
        <w:rPr>
          <w:rFonts w:eastAsiaTheme="minorEastAsia"/>
          <w:lang w:val="en-US"/>
        </w:rPr>
        <w:t xml:space="preserve">) with world average sectoral carbon intensities. Consequently, the total emission matrix </w:t>
      </w:r>
      <m:oMath>
        <m:sSup>
          <m:sSupPr>
            <m:ctrlPr>
              <w:rPr>
                <w:rFonts w:ascii="Cambria Math" w:hAnsi="Cambria Math"/>
                <w:b/>
                <w:lang w:val="en-US"/>
              </w:rPr>
            </m:ctrlPr>
          </m:sSupPr>
          <m:e>
            <m:r>
              <m:rPr>
                <m:sty m:val="b"/>
              </m:rPr>
              <w:rPr>
                <w:rFonts w:ascii="Cambria Math" w:hAnsi="Cambria Math"/>
                <w:lang w:val="en-US"/>
              </w:rPr>
              <m:t>E</m:t>
            </m:r>
          </m:e>
          <m:sup>
            <m:r>
              <m:rPr>
                <m:sty m:val="b"/>
              </m:rPr>
              <w:rPr>
                <w:rFonts w:ascii="Cambria Math" w:hAnsi="Cambria Math"/>
                <w:lang w:val="en-US"/>
              </w:rPr>
              <m:t>WA</m:t>
            </m:r>
          </m:sup>
        </m:sSup>
      </m:oMath>
      <w:r w:rsidR="00DB2BA7">
        <w:rPr>
          <w:rFonts w:eastAsiaTheme="minorEastAsia"/>
          <w:b/>
          <w:lang w:val="en-US"/>
        </w:rPr>
        <w:t xml:space="preserve"> </w:t>
      </w:r>
      <w:r w:rsidR="0050552F">
        <w:rPr>
          <w:rFonts w:eastAsiaTheme="minorEastAsia"/>
          <w:lang w:val="en-US"/>
        </w:rPr>
        <w:t>compute</w:t>
      </w:r>
      <w:r w:rsidR="00DB2BA7" w:rsidRPr="00DB2BA7">
        <w:rPr>
          <w:rFonts w:eastAsiaTheme="minorEastAsia"/>
          <w:lang w:val="en-US"/>
        </w:rPr>
        <w:t>d by</w:t>
      </w:r>
    </w:p>
    <w:p w14:paraId="694B0AE3" w14:textId="44A23300" w:rsidR="00DB2BA7" w:rsidRDefault="00DB2BA7" w:rsidP="00C26176">
      <w:pPr>
        <w:rPr>
          <w:rFonts w:eastAsiaTheme="minorEastAsia"/>
          <w:b/>
          <w:lang w:val="en-US"/>
        </w:rPr>
      </w:pPr>
      <w:r>
        <w:rPr>
          <w:lang w:val="en-US"/>
        </w:rPr>
        <w:t>(2</w:t>
      </w:r>
      <w:r w:rsidRPr="00F04167">
        <w:rPr>
          <w:lang w:val="en-US"/>
        </w:rPr>
        <w:t>)</w:t>
      </w:r>
      <w:r w:rsidRPr="00391F2D">
        <w:rPr>
          <w:b/>
          <w:lang w:val="en-US"/>
        </w:rPr>
        <w:tab/>
      </w:r>
      <m:oMath>
        <m:sSup>
          <m:sSupPr>
            <m:ctrlPr>
              <w:rPr>
                <w:rFonts w:ascii="Cambria Math" w:hAnsi="Cambria Math"/>
                <w:b/>
                <w:lang w:val="en-US"/>
              </w:rPr>
            </m:ctrlPr>
          </m:sSupPr>
          <m:e>
            <m:r>
              <m:rPr>
                <m:sty m:val="b"/>
              </m:rPr>
              <w:rPr>
                <w:rFonts w:ascii="Cambria Math" w:hAnsi="Cambria Math"/>
                <w:lang w:val="en-US"/>
              </w:rPr>
              <m:t>E</m:t>
            </m:r>
          </m:e>
          <m:sup>
            <m:r>
              <m:rPr>
                <m:sty m:val="b"/>
              </m:rPr>
              <w:rPr>
                <w:rFonts w:ascii="Cambria Math" w:hAnsi="Cambria Math"/>
                <w:lang w:val="en-US"/>
              </w:rPr>
              <m:t>WA</m:t>
            </m:r>
          </m:sup>
        </m:sSup>
        <m:r>
          <m:rPr>
            <m:sty m:val="b"/>
          </m:rPr>
          <w:rPr>
            <w:rFonts w:ascii="Cambria Math" w:hAnsi="Cambria Math"/>
            <w:lang w:val="en-US"/>
          </w:rPr>
          <m:t xml:space="preserve">= </m:t>
        </m:r>
        <m:acc>
          <m:accPr>
            <m:ctrlPr>
              <w:rPr>
                <w:rFonts w:ascii="Cambria Math" w:eastAsia="Arial Unicode MS" w:hAnsi="Cambria Math" w:cs="Arial Unicode MS"/>
                <w:b/>
                <w:vertAlign w:val="superscript"/>
                <w:lang w:val="en-US"/>
              </w:rPr>
            </m:ctrlPr>
          </m:accPr>
          <m:e>
            <m:sSup>
              <m:sSupPr>
                <m:ctrlPr>
                  <w:rPr>
                    <w:rFonts w:ascii="Cambria Math" w:eastAsia="Arial Unicode MS" w:hAnsi="Cambria Math" w:cs="Arial Unicode MS"/>
                    <w:b/>
                    <w:vertAlign w:val="superscript"/>
                    <w:lang w:val="en-US"/>
                  </w:rPr>
                </m:ctrlPr>
              </m:sSupPr>
              <m:e>
                <m:r>
                  <m:rPr>
                    <m:sty m:val="b"/>
                  </m:rPr>
                  <w:rPr>
                    <w:rFonts w:ascii="Cambria Math" w:eastAsia="Arial Unicode MS" w:hAnsi="Cambria Math" w:cs="Arial Unicode MS"/>
                    <w:vertAlign w:val="superscript"/>
                    <w:lang w:val="en-US"/>
                  </w:rPr>
                  <m:t>d</m:t>
                </m:r>
              </m:e>
              <m:sup>
                <m:r>
                  <m:rPr>
                    <m:sty m:val="b"/>
                  </m:rPr>
                  <w:rPr>
                    <w:rFonts w:ascii="Cambria Math" w:eastAsia="Arial Unicode MS" w:hAnsi="Cambria Math" w:cs="Arial Unicode MS"/>
                    <w:vertAlign w:val="superscript"/>
                    <w:lang w:val="en-US"/>
                  </w:rPr>
                  <m:t>WA</m:t>
                </m:r>
              </m:sup>
            </m:sSup>
          </m:e>
        </m:acc>
        <m:r>
          <m:rPr>
            <m:sty m:val="b"/>
          </m:rPr>
          <w:rPr>
            <w:rFonts w:ascii="Cambria Math" w:hAnsi="Cambria Math"/>
            <w:lang w:val="en-US"/>
          </w:rPr>
          <m:t>LF</m:t>
        </m:r>
      </m:oMath>
    </w:p>
    <w:p w14:paraId="1D8B5F31" w14:textId="6F3AA1D7" w:rsidR="0050552F" w:rsidRDefault="0050552F" w:rsidP="00C26176">
      <w:pPr>
        <w:rPr>
          <w:lang w:val="en-US"/>
        </w:rPr>
      </w:pPr>
      <w:r>
        <w:rPr>
          <w:lang w:val="en-US"/>
        </w:rPr>
        <w:t xml:space="preserve">displays emissions that would have been generated if the final goods had been produced by the use of a world average technology (Baumert et al., </w:t>
      </w:r>
      <w:r w:rsidR="007A0D9C">
        <w:rPr>
          <w:lang w:val="en-US"/>
        </w:rPr>
        <w:t>2019</w:t>
      </w:r>
      <w:r>
        <w:rPr>
          <w:lang w:val="en-US"/>
        </w:rPr>
        <w:t xml:space="preserve">). </w:t>
      </w:r>
    </w:p>
    <w:p w14:paraId="34850B3D" w14:textId="251E4AAF" w:rsidR="00DB2BA7" w:rsidRDefault="0050552F" w:rsidP="00C26176">
      <w:pPr>
        <w:rPr>
          <w:lang w:val="en-GB"/>
        </w:rPr>
      </w:pPr>
      <w:r>
        <w:rPr>
          <w:lang w:val="en-US"/>
        </w:rPr>
        <w:t xml:space="preserve">By using </w:t>
      </w:r>
      <m:oMath>
        <m:sSubSup>
          <m:sSubSupPr>
            <m:ctrlPr>
              <w:rPr>
                <w:rFonts w:ascii="Cambria Math" w:hAnsi="Cambria Math"/>
                <w:b/>
                <w:lang w:val="en-GB"/>
              </w:rPr>
            </m:ctrlPr>
          </m:sSubSupPr>
          <m:e>
            <m:r>
              <m:rPr>
                <m:sty m:val="b"/>
              </m:rPr>
              <w:rPr>
                <w:rFonts w:ascii="Cambria Math" w:hAnsi="Cambria Math"/>
                <w:lang w:val="en-GB"/>
              </w:rPr>
              <m:t>e</m:t>
            </m:r>
          </m:e>
          <m:sub>
            <m:r>
              <m:rPr>
                <m:sty m:val="b"/>
              </m:rPr>
              <w:rPr>
                <w:rFonts w:ascii="Cambria Math" w:hAnsi="Cambria Math"/>
                <w:lang w:val="en-GB"/>
              </w:rPr>
              <m:t>ij</m:t>
            </m:r>
          </m:sub>
          <m:sup>
            <m:r>
              <m:rPr>
                <m:sty m:val="b"/>
              </m:rPr>
              <w:rPr>
                <w:rFonts w:ascii="Cambria Math" w:hAnsi="Cambria Math"/>
                <w:lang w:val="en-GB"/>
              </w:rPr>
              <m:t>WA</m:t>
            </m:r>
          </m:sup>
        </m:sSubSup>
      </m:oMath>
      <w:r w:rsidR="000844A4">
        <w:rPr>
          <w:b/>
          <w:lang w:val="en-GB"/>
        </w:rPr>
        <w:t xml:space="preserve"> </w:t>
      </w:r>
      <w:r w:rsidR="000844A4">
        <w:rPr>
          <w:lang w:val="en-GB"/>
        </w:rPr>
        <w:t xml:space="preserve">as a measure of embodied emissions in trade from country </w:t>
      </w:r>
      <w:r w:rsidR="000844A4">
        <w:rPr>
          <w:i/>
          <w:lang w:val="en-GB"/>
        </w:rPr>
        <w:t xml:space="preserve">i </w:t>
      </w:r>
      <w:r w:rsidR="000844A4">
        <w:rPr>
          <w:lang w:val="en-GB"/>
        </w:rPr>
        <w:t xml:space="preserve">to </w:t>
      </w:r>
      <w:r w:rsidR="000844A4">
        <w:rPr>
          <w:i/>
          <w:lang w:val="en-GB"/>
        </w:rPr>
        <w:t>j</w:t>
      </w:r>
      <w:r w:rsidR="000844A4">
        <w:rPr>
          <w:lang w:val="en-GB"/>
        </w:rPr>
        <w:t xml:space="preserve">, country </w:t>
      </w:r>
      <w:r w:rsidR="000844A4">
        <w:rPr>
          <w:i/>
          <w:lang w:val="en-GB"/>
        </w:rPr>
        <w:t>i</w:t>
      </w:r>
      <w:r w:rsidR="000844A4">
        <w:rPr>
          <w:lang w:val="en-GB"/>
        </w:rPr>
        <w:t xml:space="preserve">’s technology-adjusted </w:t>
      </w:r>
      <w:r w:rsidR="007B663B">
        <w:rPr>
          <w:lang w:val="en-GB"/>
        </w:rPr>
        <w:t>emissions embodied in exports (</w:t>
      </w:r>
      <w:r w:rsidR="007B663B" w:rsidRPr="007B663B">
        <w:rPr>
          <w:b/>
          <w:lang w:val="en-GB"/>
        </w:rPr>
        <w:t>TEEE</w:t>
      </w:r>
      <w:r w:rsidR="007B663B">
        <w:rPr>
          <w:lang w:val="en-GB"/>
        </w:rPr>
        <w:t>) are calculated by</w:t>
      </w:r>
    </w:p>
    <w:p w14:paraId="7F6D5850" w14:textId="3457E04B" w:rsidR="007B663B" w:rsidRDefault="007B663B" w:rsidP="00C26176">
      <w:pPr>
        <w:rPr>
          <w:rFonts w:eastAsiaTheme="minorEastAsia"/>
          <w:b/>
          <w:lang w:val="en-GB"/>
        </w:rPr>
      </w:pPr>
      <w:r>
        <w:rPr>
          <w:lang w:val="en-US"/>
        </w:rPr>
        <w:t>(3</w:t>
      </w:r>
      <w:r w:rsidRPr="0DE47D89">
        <w:rPr>
          <w:lang w:val="en-US"/>
        </w:rPr>
        <w:t xml:space="preserve">) </w:t>
      </w:r>
      <w:r>
        <w:rPr>
          <w:lang w:val="en-US"/>
        </w:rPr>
        <w:tab/>
      </w:r>
      <m:oMath>
        <m:sSub>
          <m:sSubPr>
            <m:ctrlPr>
              <w:rPr>
                <w:rFonts w:ascii="Cambria Math" w:hAnsi="Cambria Math"/>
                <w:b/>
                <w:lang w:val="en-GB"/>
              </w:rPr>
            </m:ctrlPr>
          </m:sSubPr>
          <m:e>
            <m:r>
              <m:rPr>
                <m:sty m:val="b"/>
              </m:rPr>
              <w:rPr>
                <w:rFonts w:ascii="Cambria Math" w:hAnsi="Cambria Math"/>
                <w:lang w:val="en-GB"/>
              </w:rPr>
              <m:t>TEEE</m:t>
            </m:r>
          </m:e>
          <m:sub>
            <m:r>
              <m:rPr>
                <m:sty m:val="b"/>
              </m:rPr>
              <w:rPr>
                <w:rFonts w:ascii="Cambria Math" w:hAnsi="Cambria Math"/>
                <w:lang w:val="en-GB"/>
              </w:rPr>
              <m:t>i</m:t>
            </m:r>
          </m:sub>
        </m:sSub>
        <m:r>
          <m:rPr>
            <m:nor/>
          </m:rPr>
          <w:rPr>
            <w:b/>
            <w:lang w:val="en-GB"/>
          </w:rPr>
          <m:t xml:space="preserve">= </m:t>
        </m:r>
        <m:nary>
          <m:naryPr>
            <m:chr m:val="∑"/>
            <m:grow m:val="1"/>
            <m:ctrlPr>
              <w:rPr>
                <w:rFonts w:ascii="Cambria Math" w:hAnsi="Cambria Math"/>
                <w:b/>
                <w:lang w:val="en-GB"/>
              </w:rPr>
            </m:ctrlPr>
          </m:naryPr>
          <m:sub>
            <m:r>
              <m:rPr>
                <m:sty m:val="b"/>
              </m:rPr>
              <w:rPr>
                <w:rFonts w:ascii="Cambria Math" w:eastAsia="Cambria Math" w:hAnsi="Cambria Math" w:cs="Cambria Math"/>
                <w:lang w:val="en-GB"/>
              </w:rPr>
              <m:t>j≠i</m:t>
            </m:r>
          </m:sub>
          <m:sup>
            <m:r>
              <m:rPr>
                <m:sty m:val="b"/>
              </m:rPr>
              <w:rPr>
                <w:rFonts w:ascii="Cambria Math" w:eastAsia="Cambria Math" w:hAnsi="Cambria Math" w:cs="Cambria Math"/>
                <w:lang w:val="en-GB"/>
              </w:rPr>
              <m:t>n</m:t>
            </m:r>
          </m:sup>
          <m:e>
            <m:sSubSup>
              <m:sSubSupPr>
                <m:ctrlPr>
                  <w:rPr>
                    <w:rFonts w:ascii="Cambria Math" w:hAnsi="Cambria Math"/>
                    <w:b/>
                    <w:lang w:val="en-GB"/>
                  </w:rPr>
                </m:ctrlPr>
              </m:sSubSupPr>
              <m:e>
                <m:r>
                  <m:rPr>
                    <m:sty m:val="b"/>
                  </m:rPr>
                  <w:rPr>
                    <w:rFonts w:ascii="Cambria Math" w:hAnsi="Cambria Math"/>
                    <w:lang w:val="en-GB"/>
                  </w:rPr>
                  <m:t>e</m:t>
                </m:r>
              </m:e>
              <m:sub>
                <m:r>
                  <m:rPr>
                    <m:sty m:val="b"/>
                  </m:rPr>
                  <w:rPr>
                    <w:rFonts w:ascii="Cambria Math" w:hAnsi="Cambria Math"/>
                    <w:lang w:val="en-GB"/>
                  </w:rPr>
                  <m:t>ij</m:t>
                </m:r>
              </m:sub>
              <m:sup>
                <m:r>
                  <m:rPr>
                    <m:sty m:val="b"/>
                  </m:rPr>
                  <w:rPr>
                    <w:rFonts w:ascii="Cambria Math" w:hAnsi="Cambria Math"/>
                    <w:lang w:val="en-GB"/>
                  </w:rPr>
                  <m:t>WA</m:t>
                </m:r>
              </m:sup>
            </m:sSubSup>
          </m:e>
        </m:nary>
      </m:oMath>
    </w:p>
    <w:p w14:paraId="2A44652E" w14:textId="0443444F" w:rsidR="007B663B" w:rsidRDefault="007B663B" w:rsidP="00C26176">
      <w:pPr>
        <w:rPr>
          <w:lang w:val="en-GB"/>
        </w:rPr>
      </w:pPr>
      <w:r>
        <w:rPr>
          <w:lang w:val="en-GB"/>
        </w:rPr>
        <w:t>and its technology-adjusted emissions embodied in imports</w:t>
      </w:r>
      <w:r w:rsidR="00AA17F8">
        <w:rPr>
          <w:lang w:val="en-GB"/>
        </w:rPr>
        <w:t xml:space="preserve"> (</w:t>
      </w:r>
      <w:r w:rsidR="00AA17F8">
        <w:rPr>
          <w:b/>
          <w:lang w:val="en-GB"/>
        </w:rPr>
        <w:t>TEEI</w:t>
      </w:r>
      <w:r w:rsidR="00AA17F8">
        <w:rPr>
          <w:lang w:val="en-GB"/>
        </w:rPr>
        <w:t>)</w:t>
      </w:r>
      <w:r>
        <w:rPr>
          <w:lang w:val="en-GB"/>
        </w:rPr>
        <w:t xml:space="preserve"> are computed by </w:t>
      </w:r>
    </w:p>
    <w:p w14:paraId="08BDFFA4" w14:textId="39F5373F" w:rsidR="007B663B" w:rsidRDefault="007B663B" w:rsidP="00C26176">
      <w:pPr>
        <w:rPr>
          <w:rFonts w:eastAsiaTheme="minorEastAsia"/>
          <w:lang w:val="en-GB"/>
        </w:rPr>
      </w:pPr>
      <w:r w:rsidRPr="0DE47D89">
        <w:rPr>
          <w:lang w:val="en-US"/>
        </w:rPr>
        <w:t>(</w:t>
      </w:r>
      <w:r>
        <w:rPr>
          <w:lang w:val="en-US"/>
        </w:rPr>
        <w:t>4</w:t>
      </w:r>
      <w:r w:rsidRPr="0DE47D89">
        <w:rPr>
          <w:lang w:val="en-US"/>
        </w:rPr>
        <w:t>)</w:t>
      </w:r>
      <w:r w:rsidRPr="00BC7506">
        <w:rPr>
          <w:lang w:val="en-US"/>
        </w:rPr>
        <w:tab/>
      </w:r>
      <w:r w:rsidRPr="0DE47D89">
        <w:rPr>
          <w:lang w:val="en-US"/>
        </w:rPr>
        <w:t xml:space="preserve"> </w:t>
      </w:r>
      <m:oMath>
        <m:sSub>
          <m:sSubPr>
            <m:ctrlPr>
              <w:rPr>
                <w:rFonts w:ascii="Cambria Math" w:hAnsi="Cambria Math"/>
                <w:b/>
                <w:lang w:val="en-GB"/>
              </w:rPr>
            </m:ctrlPr>
          </m:sSubPr>
          <m:e>
            <m:r>
              <m:rPr>
                <m:sty m:val="b"/>
              </m:rPr>
              <w:rPr>
                <w:rFonts w:ascii="Cambria Math" w:hAnsi="Cambria Math"/>
                <w:lang w:val="en-GB"/>
              </w:rPr>
              <m:t>TEEI</m:t>
            </m:r>
          </m:e>
          <m:sub>
            <m:r>
              <m:rPr>
                <m:sty m:val="b"/>
              </m:rPr>
              <w:rPr>
                <w:rFonts w:ascii="Cambria Math" w:hAnsi="Cambria Math"/>
                <w:lang w:val="en-GB"/>
              </w:rPr>
              <m:t>i</m:t>
            </m:r>
          </m:sub>
        </m:sSub>
        <m:r>
          <m:rPr>
            <m:nor/>
          </m:rPr>
          <w:rPr>
            <w:b/>
            <w:lang w:val="en-GB"/>
          </w:rPr>
          <m:t xml:space="preserve"> = </m:t>
        </m:r>
        <m:nary>
          <m:naryPr>
            <m:chr m:val="∑"/>
            <m:grow m:val="1"/>
            <m:ctrlPr>
              <w:rPr>
                <w:rFonts w:ascii="Cambria Math" w:hAnsi="Cambria Math"/>
                <w:b/>
                <w:lang w:val="en-GB"/>
              </w:rPr>
            </m:ctrlPr>
          </m:naryPr>
          <m:sub>
            <m:r>
              <m:rPr>
                <m:sty m:val="b"/>
              </m:rPr>
              <w:rPr>
                <w:rFonts w:ascii="Cambria Math" w:eastAsia="Cambria Math" w:hAnsi="Cambria Math" w:cs="Cambria Math"/>
                <w:lang w:val="en-GB"/>
              </w:rPr>
              <m:t>j≠i</m:t>
            </m:r>
          </m:sub>
          <m:sup>
            <m:r>
              <m:rPr>
                <m:sty m:val="b"/>
              </m:rPr>
              <w:rPr>
                <w:rFonts w:ascii="Cambria Math" w:eastAsia="Cambria Math" w:hAnsi="Cambria Math" w:cs="Cambria Math"/>
                <w:lang w:val="en-GB"/>
              </w:rPr>
              <m:t>n</m:t>
            </m:r>
          </m:sup>
          <m:e>
            <m:sSubSup>
              <m:sSubSupPr>
                <m:ctrlPr>
                  <w:rPr>
                    <w:rFonts w:ascii="Cambria Math" w:hAnsi="Cambria Math"/>
                    <w:b/>
                    <w:lang w:val="en-GB"/>
                  </w:rPr>
                </m:ctrlPr>
              </m:sSubSupPr>
              <m:e>
                <m:r>
                  <m:rPr>
                    <m:sty m:val="b"/>
                  </m:rPr>
                  <w:rPr>
                    <w:rFonts w:ascii="Cambria Math" w:hAnsi="Cambria Math"/>
                    <w:lang w:val="en-GB"/>
                  </w:rPr>
                  <m:t>e</m:t>
                </m:r>
              </m:e>
              <m:sub>
                <m:r>
                  <m:rPr>
                    <m:sty m:val="b"/>
                  </m:rPr>
                  <w:rPr>
                    <w:rFonts w:ascii="Cambria Math" w:hAnsi="Cambria Math"/>
                    <w:lang w:val="en-GB"/>
                  </w:rPr>
                  <m:t>ji</m:t>
                </m:r>
              </m:sub>
              <m:sup>
                <m:r>
                  <m:rPr>
                    <m:sty m:val="b"/>
                  </m:rPr>
                  <w:rPr>
                    <w:rFonts w:ascii="Cambria Math" w:hAnsi="Cambria Math"/>
                    <w:lang w:val="en-GB"/>
                  </w:rPr>
                  <m:t>WA</m:t>
                </m:r>
              </m:sup>
            </m:sSubSup>
          </m:e>
        </m:nary>
      </m:oMath>
      <w:r w:rsidR="00CE54D4">
        <w:rPr>
          <w:rFonts w:eastAsiaTheme="minorEastAsia"/>
          <w:b/>
          <w:lang w:val="en-GB"/>
        </w:rPr>
        <w:t xml:space="preserve"> </w:t>
      </w:r>
      <w:r w:rsidR="00CE54D4" w:rsidRPr="00CE54D4">
        <w:rPr>
          <w:rFonts w:eastAsiaTheme="minorEastAsia"/>
          <w:lang w:val="en-GB"/>
        </w:rPr>
        <w:t>.</w:t>
      </w:r>
    </w:p>
    <w:p w14:paraId="0F553BB0" w14:textId="67B052F2" w:rsidR="00CE54D4" w:rsidRDefault="00CE54D4" w:rsidP="00C26176">
      <w:pPr>
        <w:rPr>
          <w:lang w:val="en-GB"/>
        </w:rPr>
      </w:pPr>
      <w:r>
        <w:rPr>
          <w:lang w:val="en-GB"/>
        </w:rPr>
        <w:t xml:space="preserve">Finally, </w:t>
      </w:r>
      <w:r w:rsidR="00EB7052">
        <w:rPr>
          <w:lang w:val="en-GB"/>
        </w:rPr>
        <w:t xml:space="preserve">country </w:t>
      </w:r>
      <w:r w:rsidR="00EB7052">
        <w:rPr>
          <w:i/>
          <w:lang w:val="en-GB"/>
        </w:rPr>
        <w:t>i</w:t>
      </w:r>
      <w:r w:rsidR="00EB7052">
        <w:rPr>
          <w:lang w:val="en-GB"/>
        </w:rPr>
        <w:t>'s</w:t>
      </w:r>
      <w:r>
        <w:rPr>
          <w:lang w:val="en-GB"/>
        </w:rPr>
        <w:t xml:space="preserve"> technology-adjusted balance of emissions embodied in trade</w:t>
      </w:r>
      <w:r w:rsidR="00EB7052">
        <w:rPr>
          <w:lang w:val="en-GB"/>
        </w:rPr>
        <w:t xml:space="preserve"> (</w:t>
      </w:r>
      <w:r w:rsidR="00EB7052" w:rsidRPr="00EB7052">
        <w:rPr>
          <w:b/>
          <w:lang w:val="en-GB"/>
        </w:rPr>
        <w:t>TBEET</w:t>
      </w:r>
      <w:r w:rsidR="00EB7052">
        <w:rPr>
          <w:lang w:val="en-GB"/>
        </w:rPr>
        <w:t>)</w:t>
      </w:r>
      <w:r>
        <w:rPr>
          <w:lang w:val="en-GB"/>
        </w:rPr>
        <w:t xml:space="preserve"> </w:t>
      </w:r>
      <w:r w:rsidR="001C2344">
        <w:rPr>
          <w:lang w:val="en-GB"/>
        </w:rPr>
        <w:t>equals</w:t>
      </w:r>
    </w:p>
    <w:p w14:paraId="7B065914" w14:textId="32FFD42A" w:rsidR="00CE54D4" w:rsidRDefault="00CE54D4" w:rsidP="00C26176">
      <w:pPr>
        <w:rPr>
          <w:rFonts w:eastAsiaTheme="minorEastAsia"/>
          <w:b/>
          <w:lang w:val="en-GB"/>
        </w:rPr>
      </w:pPr>
      <w:r>
        <w:rPr>
          <w:lang w:val="en-US"/>
        </w:rPr>
        <w:t>(5</w:t>
      </w:r>
      <w:r w:rsidRPr="0DE47D89">
        <w:rPr>
          <w:lang w:val="en-US"/>
        </w:rPr>
        <w:t xml:space="preserve">) </w:t>
      </w:r>
      <w:r w:rsidRPr="00BC7506">
        <w:rPr>
          <w:lang w:val="en-US"/>
        </w:rPr>
        <w:tab/>
      </w:r>
      <m:oMath>
        <m:sSub>
          <m:sSubPr>
            <m:ctrlPr>
              <w:rPr>
                <w:rFonts w:ascii="Cambria Math" w:hAnsi="Cambria Math"/>
                <w:b/>
                <w:lang w:val="en-GB"/>
              </w:rPr>
            </m:ctrlPr>
          </m:sSubPr>
          <m:e>
            <m:r>
              <m:rPr>
                <m:sty m:val="b"/>
              </m:rPr>
              <w:rPr>
                <w:rFonts w:ascii="Cambria Math" w:hAnsi="Cambria Math"/>
                <w:lang w:val="en-GB"/>
              </w:rPr>
              <m:t>TBEET</m:t>
            </m:r>
          </m:e>
          <m:sub>
            <m:r>
              <m:rPr>
                <m:sty m:val="b"/>
              </m:rPr>
              <w:rPr>
                <w:rFonts w:ascii="Cambria Math" w:hAnsi="Cambria Math"/>
                <w:lang w:val="en-GB"/>
              </w:rPr>
              <m:t>i</m:t>
            </m:r>
          </m:sub>
        </m:sSub>
        <m:r>
          <m:rPr>
            <m:sty m:val="b"/>
          </m:rPr>
          <w:rPr>
            <w:rFonts w:ascii="Cambria Math" w:hAnsi="Cambria Math"/>
            <w:lang w:val="en-GB"/>
          </w:rPr>
          <m:t>=</m:t>
        </m:r>
        <m:sSub>
          <m:sSubPr>
            <m:ctrlPr>
              <w:rPr>
                <w:rFonts w:ascii="Cambria Math" w:hAnsi="Cambria Math"/>
                <w:b/>
                <w:lang w:val="en-GB"/>
              </w:rPr>
            </m:ctrlPr>
          </m:sSubPr>
          <m:e>
            <m:r>
              <m:rPr>
                <m:sty m:val="b"/>
              </m:rPr>
              <w:rPr>
                <w:rFonts w:ascii="Cambria Math" w:hAnsi="Cambria Math"/>
                <w:lang w:val="en-GB"/>
              </w:rPr>
              <m:t>TEEE</m:t>
            </m:r>
          </m:e>
          <m:sub>
            <m:r>
              <m:rPr>
                <m:sty m:val="b"/>
              </m:rPr>
              <w:rPr>
                <w:rFonts w:ascii="Cambria Math" w:hAnsi="Cambria Math"/>
                <w:lang w:val="en-GB"/>
              </w:rPr>
              <m:t>i</m:t>
            </m:r>
          </m:sub>
        </m:sSub>
        <m:r>
          <m:rPr>
            <m:sty m:val="b"/>
          </m:rPr>
          <w:rPr>
            <w:rFonts w:ascii="Cambria Math" w:hAnsi="Cambria Math"/>
            <w:lang w:val="en-GB"/>
          </w:rPr>
          <m:t>-</m:t>
        </m:r>
        <m:sSub>
          <m:sSubPr>
            <m:ctrlPr>
              <w:rPr>
                <w:rFonts w:ascii="Cambria Math" w:hAnsi="Cambria Math"/>
                <w:b/>
                <w:lang w:val="en-GB"/>
              </w:rPr>
            </m:ctrlPr>
          </m:sSubPr>
          <m:e>
            <m:r>
              <m:rPr>
                <m:sty m:val="b"/>
              </m:rPr>
              <w:rPr>
                <w:rFonts w:ascii="Cambria Math" w:hAnsi="Cambria Math"/>
                <w:lang w:val="en-GB"/>
              </w:rPr>
              <m:t>TEEI</m:t>
            </m:r>
          </m:e>
          <m:sub>
            <m:r>
              <m:rPr>
                <m:sty m:val="b"/>
              </m:rPr>
              <w:rPr>
                <w:rFonts w:ascii="Cambria Math" w:hAnsi="Cambria Math"/>
                <w:lang w:val="en-GB"/>
              </w:rPr>
              <m:t>i</m:t>
            </m:r>
          </m:sub>
        </m:sSub>
      </m:oMath>
    </w:p>
    <w:p w14:paraId="34D89239" w14:textId="4FE8C417" w:rsidR="008220A7" w:rsidRPr="00D93F6E" w:rsidRDefault="008220A7" w:rsidP="008220A7">
      <w:pPr>
        <w:pStyle w:val="Heading1"/>
        <w:rPr>
          <w:lang w:val="en-US"/>
        </w:rPr>
      </w:pPr>
      <w:r w:rsidRPr="008220A7">
        <w:rPr>
          <w:lang w:val="en-US"/>
        </w:rPr>
        <w:lastRenderedPageBreak/>
        <w:t>Supplementary</w:t>
      </w:r>
      <w:r w:rsidRPr="00D93F6E">
        <w:rPr>
          <w:lang w:val="en-US"/>
        </w:rPr>
        <w:t xml:space="preserve"> </w:t>
      </w:r>
      <w:r>
        <w:rPr>
          <w:lang w:val="en-US"/>
        </w:rPr>
        <w:t>I</w:t>
      </w:r>
      <w:r w:rsidRPr="00D93F6E">
        <w:rPr>
          <w:lang w:val="en-US"/>
        </w:rPr>
        <w:t>nformation</w:t>
      </w:r>
      <w:r>
        <w:rPr>
          <w:lang w:val="en-US"/>
        </w:rPr>
        <w:t xml:space="preserve"> SI.2</w:t>
      </w:r>
    </w:p>
    <w:p w14:paraId="1B7B2D38" w14:textId="2876BC77" w:rsidR="00E66643" w:rsidRDefault="00E66643" w:rsidP="00721031">
      <w:pPr>
        <w:pStyle w:val="Heading2"/>
        <w:rPr>
          <w:lang w:val="en-GB"/>
        </w:rPr>
      </w:pPr>
      <w:r>
        <w:rPr>
          <w:lang w:val="en-GB"/>
        </w:rPr>
        <w:t xml:space="preserve">Uncertainties and Limitations </w:t>
      </w:r>
    </w:p>
    <w:p w14:paraId="7C5A3574" w14:textId="77777777" w:rsidR="00E66643" w:rsidRPr="001E13D1" w:rsidRDefault="00E66643" w:rsidP="00721031">
      <w:pPr>
        <w:rPr>
          <w:lang w:val="en-US"/>
        </w:rPr>
      </w:pPr>
      <w:r w:rsidRPr="005B5E31">
        <w:rPr>
          <w:lang w:val="en-US"/>
        </w:rPr>
        <w:t>As noted by Lenzen (2004) in general practice, only a minor proportion of authors add uncertainty and robustness analyses to their input-output studies. This is mainly due to</w:t>
      </w:r>
      <w:r w:rsidRPr="005B5E31">
        <w:rPr>
          <w:color w:val="000000"/>
          <w:shd w:val="clear" w:color="auto" w:fill="FFFFFF"/>
          <w:lang w:val="en-US"/>
        </w:rPr>
        <w:t xml:space="preserve"> limitations of data availability and computational power required to perform such analyses (Rodrigues et al, 2018). Given that it is difficult to quantify potential errors associated with the environmental IO analysis we chose not to perform such task. Instead we discuss </w:t>
      </w:r>
      <w:r w:rsidRPr="005B5E31">
        <w:rPr>
          <w:lang w:val="en-US"/>
        </w:rPr>
        <w:t xml:space="preserve">uncertainties inherent in IO analyses that have been outlined in previous uncertainty-specific studies and are likely to be important in our case. </w:t>
      </w:r>
    </w:p>
    <w:p w14:paraId="2BC19C14" w14:textId="77777777" w:rsidR="00E66643" w:rsidRPr="005B5E31" w:rsidRDefault="00E66643" w:rsidP="00721031">
      <w:pPr>
        <w:rPr>
          <w:lang w:val="en-US"/>
        </w:rPr>
      </w:pPr>
      <w:r>
        <w:rPr>
          <w:lang w:val="en-US"/>
        </w:rPr>
        <w:t xml:space="preserve">Past work </w:t>
      </w:r>
      <w:r w:rsidRPr="005B5E31">
        <w:rPr>
          <w:lang w:val="en-US"/>
        </w:rPr>
        <w:t>(</w:t>
      </w:r>
      <w:r>
        <w:rPr>
          <w:lang w:val="en-US"/>
        </w:rPr>
        <w:t xml:space="preserve">e.g. </w:t>
      </w:r>
      <w:r w:rsidRPr="005B5E31">
        <w:rPr>
          <w:lang w:val="en-US"/>
        </w:rPr>
        <w:t>Lenzen et al, 2010; Barret et al, 2013)</w:t>
      </w:r>
      <w:r>
        <w:rPr>
          <w:lang w:val="en-US"/>
        </w:rPr>
        <w:t xml:space="preserve"> has indicated that </w:t>
      </w:r>
      <w:r w:rsidRPr="007C23FF">
        <w:rPr>
          <w:lang w:val="en-US"/>
        </w:rPr>
        <w:t xml:space="preserve">the </w:t>
      </w:r>
      <w:r>
        <w:rPr>
          <w:lang w:val="en-US"/>
        </w:rPr>
        <w:t>uncertainty</w:t>
      </w:r>
      <w:r w:rsidRPr="007C23FF">
        <w:rPr>
          <w:lang w:val="en-US"/>
        </w:rPr>
        <w:t xml:space="preserve"> </w:t>
      </w:r>
      <w:r>
        <w:rPr>
          <w:lang w:val="en-US"/>
        </w:rPr>
        <w:t>i</w:t>
      </w:r>
      <w:r w:rsidRPr="005B5E31">
        <w:rPr>
          <w:lang w:val="en-US"/>
        </w:rPr>
        <w:t xml:space="preserve">n </w:t>
      </w:r>
      <w:r>
        <w:rPr>
          <w:lang w:val="en-US"/>
        </w:rPr>
        <w:t xml:space="preserve">the </w:t>
      </w:r>
      <w:r w:rsidRPr="005B5E31">
        <w:rPr>
          <w:lang w:val="en-US"/>
        </w:rPr>
        <w:t xml:space="preserve">environmental input output </w:t>
      </w:r>
      <w:r>
        <w:rPr>
          <w:lang w:val="en-US"/>
        </w:rPr>
        <w:t>analysis</w:t>
      </w:r>
      <w:r w:rsidRPr="005B5E31">
        <w:rPr>
          <w:lang w:val="en-US"/>
        </w:rPr>
        <w:t xml:space="preserve"> may occur due to calibration, balancing, and harmonization of input output tables, the use of different time periods, different currencies, different country classifications, different exchange rates, levels of disaggregation, inflation, and raw data errors.</w:t>
      </w:r>
    </w:p>
    <w:p w14:paraId="3D8D6556" w14:textId="77777777" w:rsidR="00E66643" w:rsidRDefault="00E66643" w:rsidP="00721031">
      <w:pPr>
        <w:rPr>
          <w:lang w:val="en-US"/>
        </w:rPr>
      </w:pPr>
      <w:r w:rsidRPr="005B5E31">
        <w:rPr>
          <w:shd w:val="clear" w:color="auto" w:fill="FFFFFF"/>
          <w:lang w:val="en-US"/>
        </w:rPr>
        <w:t xml:space="preserve">The current consensus is that the major source of uncertainty affecting </w:t>
      </w:r>
      <w:r>
        <w:rPr>
          <w:shd w:val="clear" w:color="auto" w:fill="FFFFFF"/>
          <w:lang w:val="en-US"/>
        </w:rPr>
        <w:t>consumption based carbon accounting</w:t>
      </w:r>
      <w:r w:rsidRPr="005B5E31">
        <w:rPr>
          <w:shd w:val="clear" w:color="auto" w:fill="FFFFFF"/>
          <w:lang w:val="en-US"/>
        </w:rPr>
        <w:t xml:space="preserve"> </w:t>
      </w:r>
      <w:r>
        <w:rPr>
          <w:shd w:val="clear" w:color="auto" w:fill="FFFFFF"/>
          <w:lang w:val="en-US"/>
        </w:rPr>
        <w:t>estimates</w:t>
      </w:r>
      <w:r w:rsidRPr="005B5E31">
        <w:rPr>
          <w:shd w:val="clear" w:color="auto" w:fill="FFFFFF"/>
          <w:lang w:val="en-US"/>
        </w:rPr>
        <w:t xml:space="preserve"> is the </w:t>
      </w:r>
      <w:r>
        <w:rPr>
          <w:shd w:val="clear" w:color="auto" w:fill="FFFFFF"/>
          <w:lang w:val="en-US"/>
        </w:rPr>
        <w:t>energy and</w:t>
      </w:r>
      <w:r w:rsidRPr="005B5E31">
        <w:rPr>
          <w:shd w:val="clear" w:color="auto" w:fill="FFFFFF"/>
          <w:lang w:val="en-US"/>
        </w:rPr>
        <w:t xml:space="preserve"> emission data and not the economic data</w:t>
      </w:r>
      <w:r>
        <w:rPr>
          <w:shd w:val="clear" w:color="auto" w:fill="FFFFFF"/>
          <w:lang w:val="en-US"/>
        </w:rPr>
        <w:t xml:space="preserve"> (Owen, 2015, </w:t>
      </w:r>
      <w:r w:rsidRPr="005B5E31">
        <w:rPr>
          <w:shd w:val="clear" w:color="auto" w:fill="FFFFFF"/>
          <w:lang w:val="en-US"/>
        </w:rPr>
        <w:t>Rodrigues et al, 2018</w:t>
      </w:r>
      <w:r>
        <w:rPr>
          <w:shd w:val="clear" w:color="auto" w:fill="FFFFFF"/>
          <w:lang w:val="en-US"/>
        </w:rPr>
        <w:t>)</w:t>
      </w:r>
      <w:r w:rsidRPr="005B5E31">
        <w:rPr>
          <w:shd w:val="clear" w:color="auto" w:fill="FFFFFF"/>
          <w:lang w:val="en-US"/>
        </w:rPr>
        <w:t>.</w:t>
      </w:r>
      <w:r>
        <w:rPr>
          <w:shd w:val="clear" w:color="auto" w:fill="FFFFFF"/>
          <w:lang w:val="en-US"/>
        </w:rPr>
        <w:t xml:space="preserve"> Thus, we can expect that the</w:t>
      </w:r>
      <w:r>
        <w:rPr>
          <w:lang w:val="en-US"/>
        </w:rPr>
        <w:t xml:space="preserve"> </w:t>
      </w:r>
      <w:r w:rsidRPr="007C23FF">
        <w:rPr>
          <w:lang w:val="en-US"/>
        </w:rPr>
        <w:t xml:space="preserve">error types </w:t>
      </w:r>
      <w:r>
        <w:rPr>
          <w:lang w:val="en-US"/>
        </w:rPr>
        <w:t xml:space="preserve">that </w:t>
      </w:r>
      <w:r w:rsidRPr="007C23FF">
        <w:rPr>
          <w:lang w:val="en-US"/>
        </w:rPr>
        <w:t xml:space="preserve">are likely </w:t>
      </w:r>
      <w:r>
        <w:rPr>
          <w:lang w:val="en-US"/>
        </w:rPr>
        <w:t xml:space="preserve">to be </w:t>
      </w:r>
      <w:r w:rsidRPr="007C23FF">
        <w:rPr>
          <w:lang w:val="en-US"/>
        </w:rPr>
        <w:t xml:space="preserve">important </w:t>
      </w:r>
      <w:r>
        <w:rPr>
          <w:lang w:val="en-US"/>
        </w:rPr>
        <w:t>in our study</w:t>
      </w:r>
      <w:r w:rsidRPr="007C23FF">
        <w:rPr>
          <w:lang w:val="en-US"/>
        </w:rPr>
        <w:t xml:space="preserve"> include</w:t>
      </w:r>
      <w:r>
        <w:rPr>
          <w:lang w:val="en-US"/>
        </w:rPr>
        <w:t xml:space="preserve"> sectoral aggregation, spatial aggregation, and </w:t>
      </w:r>
      <w:r w:rsidRPr="007C23FF">
        <w:rPr>
          <w:lang w:val="en-US"/>
        </w:rPr>
        <w:t>allocation uncertainty</w:t>
      </w:r>
      <w:r>
        <w:rPr>
          <w:lang w:val="en-US"/>
        </w:rPr>
        <w:t xml:space="preserve">.  </w:t>
      </w:r>
    </w:p>
    <w:p w14:paraId="74756550" w14:textId="120681BC" w:rsidR="00E66643" w:rsidRPr="00FD66F9" w:rsidRDefault="00E66643" w:rsidP="00721031">
      <w:pPr>
        <w:rPr>
          <w:lang w:val="en-US"/>
        </w:rPr>
      </w:pPr>
      <w:r w:rsidRPr="00FD66F9">
        <w:rPr>
          <w:shd w:val="clear" w:color="auto" w:fill="FFFFFF"/>
          <w:lang w:val="en-US"/>
        </w:rPr>
        <w:t xml:space="preserve">Aggregation is an issue when high and low impacting sectors are combined in one aggregate sector (Lenzen et al, 2010). </w:t>
      </w:r>
    </w:p>
    <w:p w14:paraId="56BC9C6E" w14:textId="77777777" w:rsidR="00E66643" w:rsidRPr="008220A7" w:rsidRDefault="00E66643" w:rsidP="00721031">
      <w:pPr>
        <w:rPr>
          <w:rFonts w:ascii="Times New Roman" w:hAnsi="Times New Roman"/>
          <w:lang w:val="en-US"/>
        </w:rPr>
      </w:pPr>
      <w:r w:rsidRPr="000C1F67">
        <w:rPr>
          <w:color w:val="000000" w:themeColor="text1"/>
          <w:lang w:val="en-US"/>
        </w:rPr>
        <w:t xml:space="preserve">Bouwmeester and </w:t>
      </w:r>
      <w:r w:rsidRPr="002B1D30">
        <w:rPr>
          <w:color w:val="000000" w:themeColor="text1"/>
          <w:lang w:val="en-US"/>
        </w:rPr>
        <w:t xml:space="preserve">Oosterhaven (2013) show </w:t>
      </w:r>
      <w:r w:rsidRPr="002B1D30">
        <w:rPr>
          <w:lang w:val="en-US"/>
        </w:rPr>
        <w:t>that for CO</w:t>
      </w:r>
      <w:r w:rsidRPr="007B6087">
        <w:rPr>
          <w:vertAlign w:val="subscript"/>
          <w:lang w:val="en-US"/>
        </w:rPr>
        <w:t>2</w:t>
      </w:r>
      <w:r w:rsidRPr="002B1D30">
        <w:rPr>
          <w:position w:val="-6"/>
          <w:lang w:val="en-US"/>
        </w:rPr>
        <w:t xml:space="preserve"> </w:t>
      </w:r>
      <w:r w:rsidRPr="002B1D30">
        <w:rPr>
          <w:lang w:val="en-US"/>
        </w:rPr>
        <w:t>emissions, aggregation errors are on average 2.3% when sectoral detail is reduced from 129 to 59 sectors and about 3.4 % when sectoral detail is reduced from 59 to 10 sectors. The spatial aggregation error is on average 1.4% when aggregating from 43 to 5 regions and 2.4% when aggregating from 5 to 2 regions. However, in most cases the results differ strongly across countries, suggesting that a uniform prescription for the level of sectoral and spatial detail is not possible. Cyprus, Luxembourg, Malta, Greece and the Baltic countries show the largest aggregation error</w:t>
      </w:r>
      <w:r>
        <w:rPr>
          <w:lang w:val="en-US"/>
        </w:rPr>
        <w:t xml:space="preserve"> (</w:t>
      </w:r>
      <w:r w:rsidRPr="002B1D30">
        <w:rPr>
          <w:lang w:val="en-US"/>
        </w:rPr>
        <w:t>Bouwmeester and Oosterhaven</w:t>
      </w:r>
      <w:r>
        <w:rPr>
          <w:lang w:val="en-US"/>
        </w:rPr>
        <w:t xml:space="preserve">, </w:t>
      </w:r>
      <w:r w:rsidRPr="002B1D30">
        <w:rPr>
          <w:lang w:val="en-US"/>
        </w:rPr>
        <w:t>2013).</w:t>
      </w:r>
    </w:p>
    <w:p w14:paraId="1CCA173B" w14:textId="1EABBD60" w:rsidR="00E66643" w:rsidRDefault="00E66643" w:rsidP="00721031">
      <w:pPr>
        <w:rPr>
          <w:lang w:val="en-US"/>
        </w:rPr>
      </w:pPr>
      <w:r w:rsidRPr="00712C7B">
        <w:rPr>
          <w:lang w:val="en-US"/>
        </w:rPr>
        <w:t xml:space="preserve">Allocation error comes from allocation of environmental impacts and material use across different products and industries </w:t>
      </w:r>
      <w:r w:rsidRPr="00712C7B">
        <w:rPr>
          <w:rFonts w:ascii="Times New Roman" w:hAnsi="Times New Roman"/>
          <w:lang w:val="en-US"/>
        </w:rPr>
        <w:t>(</w:t>
      </w:r>
      <w:r w:rsidRPr="00712C7B">
        <w:rPr>
          <w:lang w:val="en-US"/>
        </w:rPr>
        <w:t xml:space="preserve">Weber, </w:t>
      </w:r>
      <w:r w:rsidRPr="00103E31">
        <w:rPr>
          <w:lang w:val="en-US"/>
        </w:rPr>
        <w:t>2008). In general</w:t>
      </w:r>
      <w:r w:rsidR="007A0D9C">
        <w:rPr>
          <w:lang w:val="en-US"/>
        </w:rPr>
        <w:t>,</w:t>
      </w:r>
      <w:r w:rsidRPr="00103E31">
        <w:rPr>
          <w:lang w:val="en-US"/>
        </w:rPr>
        <w:t xml:space="preserve"> there is little information on how the allocation should be performed and the choice</w:t>
      </w:r>
      <w:r>
        <w:rPr>
          <w:lang w:val="en-US"/>
        </w:rPr>
        <w:t xml:space="preserve"> </w:t>
      </w:r>
      <w:r w:rsidRPr="00103E31">
        <w:rPr>
          <w:lang w:val="en-US"/>
        </w:rPr>
        <w:t>largely depends on the question at hand (Owen, 2017)</w:t>
      </w:r>
      <w:r>
        <w:rPr>
          <w:lang w:val="en-US"/>
        </w:rPr>
        <w:t xml:space="preserve">. Owen (2015) show that there is a considerable degree of variation in the sectoral emission intensities across WIOD, Eora and GTAP databases. The variation is lower for emission multipliers (i.e. when e (emission intensity) is multiplied with L matrix) this is because there is less uncertainty in monetary data used to calculate L matrix. The variation reduces even further for total emissions (i.e. eLy) because of multiplication </w:t>
      </w:r>
      <w:r w:rsidRPr="00720584">
        <w:rPr>
          <w:rFonts w:ascii="Calibri" w:hAnsi="Calibri" w:cs="Calibri"/>
          <w:lang w:val="en-US"/>
        </w:rPr>
        <w:t>﻿</w:t>
      </w:r>
      <w:r w:rsidRPr="00720584">
        <w:rPr>
          <w:lang w:val="en-US"/>
        </w:rPr>
        <w:t>by final demand</w:t>
      </w:r>
      <w:r>
        <w:rPr>
          <w:lang w:val="en-US"/>
        </w:rPr>
        <w:t xml:space="preserve"> (y)</w:t>
      </w:r>
      <w:r w:rsidRPr="00720584">
        <w:rPr>
          <w:lang w:val="en-US"/>
        </w:rPr>
        <w:t>,</w:t>
      </w:r>
      <w:r>
        <w:rPr>
          <w:lang w:val="en-US"/>
        </w:rPr>
        <w:t xml:space="preserve"> this is mainly because final demand vectors are similar across different databases. </w:t>
      </w:r>
    </w:p>
    <w:p w14:paraId="1F619C90" w14:textId="27C9DD98" w:rsidR="00E66643" w:rsidRPr="00E66643" w:rsidRDefault="00E66643" w:rsidP="00721031">
      <w:pPr>
        <w:rPr>
          <w:rFonts w:ascii="Times New Roman" w:hAnsi="Times New Roman"/>
          <w:lang w:val="en-US"/>
        </w:rPr>
      </w:pPr>
      <w:r w:rsidRPr="001A1272">
        <w:rPr>
          <w:lang w:val="en-US"/>
        </w:rPr>
        <w:t xml:space="preserve">Lenzen et al (2010) also show that uncertainty differs for various carbon accounting components (i.e. CBA, EEI, EEE, BEET). Generally, the greater the aggregation of the results, the smaller the error of the component. The largest uncertainty occurs in the case of BEET because of </w:t>
      </w:r>
      <w:r>
        <w:rPr>
          <w:lang w:val="en-US"/>
        </w:rPr>
        <w:t xml:space="preserve">the </w:t>
      </w:r>
      <w:r w:rsidRPr="001A1272">
        <w:rPr>
          <w:lang w:val="en-US"/>
        </w:rPr>
        <w:t>subtraction</w:t>
      </w:r>
      <w:r>
        <w:rPr>
          <w:lang w:val="en-US"/>
        </w:rPr>
        <w:t xml:space="preserve"> (BEET = EEE-EEI)</w:t>
      </w:r>
      <w:r w:rsidRPr="001A1272">
        <w:rPr>
          <w:lang w:val="en-US"/>
        </w:rPr>
        <w:t xml:space="preserve"> involved in its calculation.</w:t>
      </w:r>
      <w:r>
        <w:rPr>
          <w:lang w:val="en-US"/>
        </w:rPr>
        <w:t xml:space="preserve"> BEET values closer to zero are more uncertain than those further away from zero. This is an important issue for our study since the calculation of TBEET is similar to BEET. Those values of TBEET which are closer to zero should be interpreted with caution.</w:t>
      </w:r>
    </w:p>
    <w:p w14:paraId="7EC00697" w14:textId="7A635316" w:rsidR="00E66643" w:rsidRDefault="00E66643" w:rsidP="00721031">
      <w:pPr>
        <w:rPr>
          <w:shd w:val="clear" w:color="auto" w:fill="FFFFFF"/>
          <w:lang w:val="en-US"/>
        </w:rPr>
      </w:pPr>
      <w:r>
        <w:rPr>
          <w:shd w:val="clear" w:color="auto" w:fill="FFFFFF"/>
          <w:lang w:val="en-US"/>
        </w:rPr>
        <w:lastRenderedPageBreak/>
        <w:t>Some</w:t>
      </w:r>
      <w:r w:rsidRPr="005C6A87">
        <w:rPr>
          <w:shd w:val="clear" w:color="auto" w:fill="FFFFFF"/>
          <w:lang w:val="en-US"/>
        </w:rPr>
        <w:t xml:space="preserve"> </w:t>
      </w:r>
      <w:r>
        <w:rPr>
          <w:shd w:val="clear" w:color="auto" w:fill="FFFFFF"/>
          <w:lang w:val="en-US"/>
        </w:rPr>
        <w:t xml:space="preserve">of the </w:t>
      </w:r>
      <w:r w:rsidRPr="005C6A87">
        <w:rPr>
          <w:shd w:val="clear" w:color="auto" w:fill="FFFFFF"/>
          <w:lang w:val="en-US"/>
        </w:rPr>
        <w:t>issue</w:t>
      </w:r>
      <w:r>
        <w:rPr>
          <w:shd w:val="clear" w:color="auto" w:fill="FFFFFF"/>
          <w:lang w:val="en-US"/>
        </w:rPr>
        <w:t>s</w:t>
      </w:r>
      <w:r w:rsidRPr="005C6A87">
        <w:rPr>
          <w:shd w:val="clear" w:color="auto" w:fill="FFFFFF"/>
          <w:lang w:val="en-US"/>
        </w:rPr>
        <w:t xml:space="preserve"> </w:t>
      </w:r>
      <w:r>
        <w:rPr>
          <w:shd w:val="clear" w:color="auto" w:fill="FFFFFF"/>
          <w:lang w:val="en-US"/>
        </w:rPr>
        <w:t>can</w:t>
      </w:r>
      <w:r w:rsidRPr="005C6A87">
        <w:rPr>
          <w:shd w:val="clear" w:color="auto" w:fill="FFFFFF"/>
          <w:lang w:val="en-US"/>
        </w:rPr>
        <w:t xml:space="preserve"> be alleviated by using a database with more detailed sectoral </w:t>
      </w:r>
      <w:r>
        <w:rPr>
          <w:shd w:val="clear" w:color="auto" w:fill="FFFFFF"/>
          <w:lang w:val="en-US"/>
        </w:rPr>
        <w:t xml:space="preserve">and country </w:t>
      </w:r>
      <w:r w:rsidRPr="005C6A87">
        <w:rPr>
          <w:shd w:val="clear" w:color="auto" w:fill="FFFFFF"/>
          <w:lang w:val="en-US"/>
        </w:rPr>
        <w:t>classification.</w:t>
      </w:r>
      <w:r>
        <w:rPr>
          <w:shd w:val="clear" w:color="auto" w:fill="FFFFFF"/>
          <w:lang w:val="en-US"/>
        </w:rPr>
        <w:t xml:space="preserve"> </w:t>
      </w:r>
      <w:r w:rsidR="00A03010">
        <w:rPr>
          <w:shd w:val="clear" w:color="auto" w:fill="FFFFFF"/>
          <w:lang w:val="en-US"/>
        </w:rPr>
        <w:t xml:space="preserve">Alternative databases include </w:t>
      </w:r>
      <w:r>
        <w:rPr>
          <w:shd w:val="clear" w:color="auto" w:fill="FFFFFF"/>
          <w:lang w:val="en-US"/>
        </w:rPr>
        <w:t>Eora</w:t>
      </w:r>
      <w:r w:rsidR="00A03010">
        <w:rPr>
          <w:shd w:val="clear" w:color="auto" w:fill="FFFFFF"/>
          <w:lang w:val="en-US"/>
        </w:rPr>
        <w:t xml:space="preserve">, GTAP, and EXIOBASE. We believe that future </w:t>
      </w:r>
      <w:r>
        <w:rPr>
          <w:shd w:val="clear" w:color="auto" w:fill="FFFFFF"/>
          <w:lang w:val="en-US"/>
        </w:rPr>
        <w:t xml:space="preserve">analysis using EXIOBASE3 could shed more light on the robustness of our results and also on </w:t>
      </w:r>
      <w:r w:rsidR="00940D70">
        <w:rPr>
          <w:shd w:val="clear" w:color="auto" w:fill="FFFFFF"/>
          <w:lang w:val="en-US"/>
        </w:rPr>
        <w:t xml:space="preserve">the </w:t>
      </w:r>
      <w:r w:rsidR="00A03010">
        <w:rPr>
          <w:shd w:val="clear" w:color="auto" w:fill="FFFFFF"/>
          <w:lang w:val="en-US"/>
        </w:rPr>
        <w:t>more recent TBEET trends. However, the current study using WIOD2016</w:t>
      </w:r>
      <w:r>
        <w:rPr>
          <w:shd w:val="clear" w:color="auto" w:fill="FFFFFF"/>
          <w:lang w:val="en-US"/>
        </w:rPr>
        <w:t xml:space="preserve"> version allows to compare </w:t>
      </w:r>
      <w:r w:rsidR="00C139A2">
        <w:rPr>
          <w:shd w:val="clear" w:color="auto" w:fill="FFFFFF"/>
          <w:lang w:val="en-US"/>
        </w:rPr>
        <w:t>the results of this study</w:t>
      </w:r>
      <w:r>
        <w:rPr>
          <w:shd w:val="clear" w:color="auto" w:fill="FFFFFF"/>
          <w:lang w:val="en-US"/>
        </w:rPr>
        <w:t xml:space="preserve"> with </w:t>
      </w:r>
      <w:r w:rsidR="00C139A2">
        <w:rPr>
          <w:shd w:val="clear" w:color="auto" w:fill="FFFFFF"/>
          <w:lang w:val="en-US"/>
        </w:rPr>
        <w:t xml:space="preserve">the results of </w:t>
      </w:r>
      <w:r>
        <w:rPr>
          <w:shd w:val="clear" w:color="auto" w:fill="FFFFFF"/>
          <w:lang w:val="en-US"/>
        </w:rPr>
        <w:t xml:space="preserve">other studies that have utilized the same database. </w:t>
      </w:r>
      <w:r w:rsidR="00A03010">
        <w:rPr>
          <w:shd w:val="clear" w:color="auto" w:fill="FFFFFF"/>
          <w:lang w:val="en-US"/>
        </w:rPr>
        <w:t>Moreover, the environmental accounts have recently been updated and the 2016 version of WIOD includes a much higher number of included sectors and countries as compared to the 2013 release.</w:t>
      </w:r>
    </w:p>
    <w:p w14:paraId="74C07135" w14:textId="2F0165B6" w:rsidR="00357FDF" w:rsidRDefault="00357FDF" w:rsidP="00721031">
      <w:pPr>
        <w:rPr>
          <w:shd w:val="clear" w:color="auto" w:fill="FFFFFF"/>
          <w:lang w:val="en-US"/>
        </w:rPr>
      </w:pPr>
      <w:r>
        <w:rPr>
          <w:shd w:val="clear" w:color="auto" w:fill="FFFFFF"/>
          <w:lang w:val="en-US"/>
        </w:rPr>
        <w:t>The mai</w:t>
      </w:r>
      <w:r w:rsidR="00F00DCD">
        <w:rPr>
          <w:shd w:val="clear" w:color="auto" w:fill="FFFFFF"/>
          <w:lang w:val="en-US"/>
        </w:rPr>
        <w:t>n</w:t>
      </w:r>
      <w:r>
        <w:rPr>
          <w:shd w:val="clear" w:color="auto" w:fill="FFFFFF"/>
          <w:lang w:val="en-US"/>
        </w:rPr>
        <w:t xml:space="preserve"> results</w:t>
      </w:r>
      <w:r w:rsidR="00FE1599">
        <w:rPr>
          <w:shd w:val="clear" w:color="auto" w:fill="FFFFFF"/>
          <w:lang w:val="en-US"/>
        </w:rPr>
        <w:t xml:space="preserve"> for </w:t>
      </w:r>
      <w:r w:rsidR="00F00DCD">
        <w:rPr>
          <w:shd w:val="clear" w:color="auto" w:fill="FFFFFF"/>
          <w:lang w:val="en-US"/>
        </w:rPr>
        <w:t xml:space="preserve">TBEET by country and year </w:t>
      </w:r>
      <w:r>
        <w:rPr>
          <w:shd w:val="clear" w:color="auto" w:fill="FFFFFF"/>
          <w:lang w:val="en-US"/>
        </w:rPr>
        <w:t xml:space="preserve">are </w:t>
      </w:r>
      <w:r w:rsidR="00F00DCD">
        <w:rPr>
          <w:shd w:val="clear" w:color="auto" w:fill="FFFFFF"/>
          <w:lang w:val="en-US"/>
        </w:rPr>
        <w:t>tabular</w:t>
      </w:r>
      <w:r w:rsidR="00FE1599">
        <w:rPr>
          <w:shd w:val="clear" w:color="auto" w:fill="FFFFFF"/>
          <w:lang w:val="en-US"/>
        </w:rPr>
        <w:t>ized</w:t>
      </w:r>
      <w:r>
        <w:rPr>
          <w:shd w:val="clear" w:color="auto" w:fill="FFFFFF"/>
          <w:lang w:val="en-US"/>
        </w:rPr>
        <w:t xml:space="preserve"> in </w:t>
      </w:r>
      <w:r w:rsidR="00DB77A8">
        <w:rPr>
          <w:shd w:val="clear" w:color="auto" w:fill="FFFFFF"/>
          <w:lang w:val="en-US"/>
        </w:rPr>
        <w:t xml:space="preserve">the </w:t>
      </w:r>
      <w:r>
        <w:rPr>
          <w:shd w:val="clear" w:color="auto" w:fill="FFFFFF"/>
          <w:lang w:val="en-US"/>
        </w:rPr>
        <w:t>supp</w:t>
      </w:r>
      <w:r w:rsidR="008D0911">
        <w:rPr>
          <w:shd w:val="clear" w:color="auto" w:fill="FFFFFF"/>
          <w:lang w:val="en-US"/>
        </w:rPr>
        <w:t>o</w:t>
      </w:r>
      <w:r>
        <w:rPr>
          <w:shd w:val="clear" w:color="auto" w:fill="FFFFFF"/>
          <w:lang w:val="en-US"/>
        </w:rPr>
        <w:t xml:space="preserve">rting excel file. </w:t>
      </w:r>
    </w:p>
    <w:p w14:paraId="5C7DE67D" w14:textId="77777777" w:rsidR="007A0D9C" w:rsidRDefault="007A0D9C" w:rsidP="0027000D">
      <w:pPr>
        <w:rPr>
          <w:b/>
          <w:sz w:val="26"/>
          <w:szCs w:val="26"/>
          <w:lang w:val="en-US"/>
        </w:rPr>
      </w:pPr>
    </w:p>
    <w:p w14:paraId="66C97AB0" w14:textId="68032A62" w:rsidR="0027000D" w:rsidRDefault="0027000D" w:rsidP="0027000D">
      <w:pPr>
        <w:rPr>
          <w:b/>
          <w:sz w:val="26"/>
          <w:szCs w:val="26"/>
          <w:lang w:val="en-US"/>
        </w:rPr>
      </w:pPr>
      <w:r w:rsidRPr="00F921DE">
        <w:rPr>
          <w:b/>
          <w:sz w:val="26"/>
          <w:szCs w:val="26"/>
          <w:lang w:val="en-US"/>
        </w:rPr>
        <w:t>References</w:t>
      </w:r>
    </w:p>
    <w:p w14:paraId="46710AD4" w14:textId="5472724A" w:rsidR="00093269" w:rsidRPr="008220A7" w:rsidRDefault="00093269" w:rsidP="0027000D">
      <w:pPr>
        <w:rPr>
          <w:lang w:val="de-DE"/>
        </w:rPr>
      </w:pPr>
      <w:r w:rsidRPr="00721031">
        <w:rPr>
          <w:shd w:val="clear" w:color="auto" w:fill="FFFFFF"/>
          <w:lang w:val="en-US"/>
        </w:rPr>
        <w:t>Barrett, J., Peters, G., Wiedmann, T., Scott, K., Lenzen, M., Roelich, K., &amp; Le Quéré, C. (2013). Consumption-based GHG emission accounting: a UK case study. </w:t>
      </w:r>
      <w:r w:rsidRPr="008220A7">
        <w:rPr>
          <w:i/>
          <w:iCs/>
          <w:shd w:val="clear" w:color="auto" w:fill="FFFFFF"/>
          <w:lang w:val="de-DE"/>
        </w:rPr>
        <w:t>Climate Policy</w:t>
      </w:r>
      <w:r w:rsidRPr="008220A7">
        <w:rPr>
          <w:shd w:val="clear" w:color="auto" w:fill="FFFFFF"/>
          <w:lang w:val="de-DE"/>
        </w:rPr>
        <w:t>, </w:t>
      </w:r>
      <w:r w:rsidRPr="008220A7">
        <w:rPr>
          <w:i/>
          <w:iCs/>
          <w:shd w:val="clear" w:color="auto" w:fill="FFFFFF"/>
          <w:lang w:val="de-DE"/>
        </w:rPr>
        <w:t>13</w:t>
      </w:r>
      <w:r w:rsidRPr="008220A7">
        <w:rPr>
          <w:shd w:val="clear" w:color="auto" w:fill="FFFFFF"/>
          <w:lang w:val="de-DE"/>
        </w:rPr>
        <w:t>(4), 451-470.</w:t>
      </w:r>
    </w:p>
    <w:p w14:paraId="395BC1B0" w14:textId="1476E28D" w:rsidR="00160D5E" w:rsidRDefault="00160D5E" w:rsidP="00093269">
      <w:pPr>
        <w:rPr>
          <w:i/>
          <w:noProof/>
          <w:lang w:val="en-US"/>
        </w:rPr>
      </w:pPr>
      <w:r w:rsidRPr="00721031">
        <w:rPr>
          <w:noProof/>
          <w:lang w:val="de-DE"/>
        </w:rPr>
        <w:t>Baumert, N., Kander, A., Jiborn, M., Kulionis, V. &amp; Nielsen, T. (</w:t>
      </w:r>
      <w:r w:rsidR="007A0D9C">
        <w:rPr>
          <w:noProof/>
          <w:lang w:val="de-DE"/>
        </w:rPr>
        <w:t>2019</w:t>
      </w:r>
      <w:r w:rsidRPr="00721031">
        <w:rPr>
          <w:noProof/>
          <w:lang w:val="de-DE"/>
        </w:rPr>
        <w:t xml:space="preserve">). </w:t>
      </w:r>
      <w:r w:rsidRPr="00721031">
        <w:rPr>
          <w:noProof/>
          <w:lang w:val="en-US"/>
        </w:rPr>
        <w:t xml:space="preserve">Global Outsourcing of Carbon Emissions 1995 - 2009: A Reassessment. </w:t>
      </w:r>
      <w:r w:rsidRPr="00721031">
        <w:rPr>
          <w:i/>
          <w:noProof/>
          <w:lang w:val="en-US"/>
        </w:rPr>
        <w:t>Environmental Science &amp; Policy</w:t>
      </w:r>
    </w:p>
    <w:p w14:paraId="6D1EFDB8" w14:textId="2FDE0747" w:rsidR="00093269" w:rsidRPr="007A0D9C" w:rsidRDefault="00093269" w:rsidP="00093269">
      <w:pPr>
        <w:rPr>
          <w:lang w:val="en-US"/>
        </w:rPr>
      </w:pPr>
      <w:r w:rsidRPr="00721031">
        <w:rPr>
          <w:lang w:val="en-US"/>
        </w:rPr>
        <w:t xml:space="preserve">Bouwmeester, M. C. &amp; Oosterhaven, J. (2013). Specification and Aggregation Errors in Environmentally Extended Input-Output Models. </w:t>
      </w:r>
      <w:r w:rsidRPr="00721031">
        <w:rPr>
          <w:i/>
          <w:lang w:val="en-US"/>
        </w:rPr>
        <w:t>Environmental and Resource Economics</w:t>
      </w:r>
      <w:r w:rsidRPr="00721031">
        <w:rPr>
          <w:lang w:val="en-US"/>
        </w:rPr>
        <w:t xml:space="preserve">, </w:t>
      </w:r>
      <w:r w:rsidRPr="007A0D9C">
        <w:rPr>
          <w:lang w:val="en-US"/>
        </w:rPr>
        <w:t xml:space="preserve">56(3):307–335. </w:t>
      </w:r>
    </w:p>
    <w:p w14:paraId="73C9F047" w14:textId="211C9E63" w:rsidR="007A0D9C" w:rsidRPr="007A0D9C" w:rsidRDefault="007A0D9C" w:rsidP="00093269">
      <w:pPr>
        <w:rPr>
          <w:lang w:val="en-US"/>
        </w:rPr>
      </w:pPr>
      <w:r w:rsidRPr="007A0D9C">
        <w:rPr>
          <w:rFonts w:cs="Arial"/>
          <w:color w:val="222222"/>
          <w:shd w:val="clear" w:color="auto" w:fill="FFFFFF"/>
          <w:lang w:val="en-US"/>
        </w:rPr>
        <w:t>Corsatea, T. D., Lindner, S., Arto, I., Roman, M. V., Rueda-</w:t>
      </w:r>
      <w:r>
        <w:rPr>
          <w:rFonts w:cs="Arial"/>
          <w:color w:val="222222"/>
          <w:shd w:val="clear" w:color="auto" w:fill="FFFFFF"/>
          <w:lang w:val="en-US"/>
        </w:rPr>
        <w:t>Cantuche, J. M., Afonso, A. V.,</w:t>
      </w:r>
      <w:r w:rsidRPr="007A0D9C">
        <w:rPr>
          <w:rFonts w:cs="Arial"/>
          <w:color w:val="222222"/>
          <w:shd w:val="clear" w:color="auto" w:fill="FFFFFF"/>
          <w:lang w:val="en-US"/>
        </w:rPr>
        <w:t xml:space="preserve"> &amp; Neuwahl, F. (2019). </w:t>
      </w:r>
      <w:r w:rsidRPr="007A0D9C">
        <w:rPr>
          <w:rFonts w:cs="Arial"/>
          <w:i/>
          <w:iCs/>
          <w:color w:val="222222"/>
          <w:shd w:val="clear" w:color="auto" w:fill="FFFFFF"/>
          <w:lang w:val="en-US"/>
        </w:rPr>
        <w:t>World Input-Output Database Environmental Accounts</w:t>
      </w:r>
      <w:r w:rsidRPr="007A0D9C">
        <w:rPr>
          <w:rFonts w:cs="Arial"/>
          <w:color w:val="222222"/>
          <w:shd w:val="clear" w:color="auto" w:fill="FFFFFF"/>
          <w:lang w:val="en-US"/>
        </w:rPr>
        <w:t xml:space="preserve"> (No. </w:t>
      </w:r>
      <w:r w:rsidRPr="00533E28">
        <w:rPr>
          <w:rFonts w:cs="Arial"/>
          <w:color w:val="222222"/>
          <w:shd w:val="clear" w:color="auto" w:fill="FFFFFF"/>
          <w:lang w:val="en-US"/>
        </w:rPr>
        <w:t>JRC116234). Joint Research Centre (Seville site).</w:t>
      </w:r>
    </w:p>
    <w:p w14:paraId="487C8483" w14:textId="376CE1A3" w:rsidR="002F113E" w:rsidRDefault="002F113E" w:rsidP="00093269">
      <w:pPr>
        <w:rPr>
          <w:shd w:val="clear" w:color="auto" w:fill="FFFFFF"/>
          <w:lang w:val="en-US"/>
        </w:rPr>
      </w:pPr>
      <w:r w:rsidRPr="00FE1599">
        <w:rPr>
          <w:shd w:val="clear" w:color="auto" w:fill="FFFFFF"/>
          <w:lang w:val="de-DE"/>
        </w:rPr>
        <w:t xml:space="preserve">Jiborn, M., Kander, A., Kulionis, V., Nielsen, H., &amp; Moran, D. D. (2018). </w:t>
      </w:r>
      <w:r w:rsidRPr="00721031">
        <w:rPr>
          <w:shd w:val="clear" w:color="auto" w:fill="FFFFFF"/>
          <w:lang w:val="en-US"/>
        </w:rPr>
        <w:t>Decoupling or delusion? Measuring emissions displacement in foreign trade. </w:t>
      </w:r>
      <w:r w:rsidRPr="00721031">
        <w:rPr>
          <w:i/>
          <w:iCs/>
          <w:shd w:val="clear" w:color="auto" w:fill="FFFFFF"/>
          <w:lang w:val="en-US"/>
        </w:rPr>
        <w:t>Global Environmental Change</w:t>
      </w:r>
      <w:r w:rsidRPr="00721031">
        <w:rPr>
          <w:shd w:val="clear" w:color="auto" w:fill="FFFFFF"/>
          <w:lang w:val="en-US"/>
        </w:rPr>
        <w:t>, </w:t>
      </w:r>
      <w:r w:rsidRPr="00721031">
        <w:rPr>
          <w:i/>
          <w:iCs/>
          <w:shd w:val="clear" w:color="auto" w:fill="FFFFFF"/>
          <w:lang w:val="en-US"/>
        </w:rPr>
        <w:t>49</w:t>
      </w:r>
      <w:r w:rsidRPr="00721031">
        <w:rPr>
          <w:shd w:val="clear" w:color="auto" w:fill="FFFFFF"/>
          <w:lang w:val="en-US"/>
        </w:rPr>
        <w:t>, 27-34.</w:t>
      </w:r>
    </w:p>
    <w:p w14:paraId="67190780" w14:textId="2F21FBCB" w:rsidR="00093269" w:rsidRPr="00093269" w:rsidRDefault="00093269" w:rsidP="00093269">
      <w:pPr>
        <w:rPr>
          <w:lang w:val="en-US"/>
        </w:rPr>
      </w:pPr>
      <w:r w:rsidRPr="00533E28">
        <w:rPr>
          <w:lang w:val="de-DE"/>
        </w:rPr>
        <w:t xml:space="preserve">Lenzen,M., Wood, R., &amp; Wiedmann, T. (2010). </w:t>
      </w:r>
      <w:r w:rsidRPr="00721031">
        <w:rPr>
          <w:lang w:val="en-US"/>
        </w:rPr>
        <w:t xml:space="preserve">Uncertainty analysis for Multi-region input-output models – a case study of the UK’s carbon footprint, </w:t>
      </w:r>
      <w:r w:rsidRPr="00721031">
        <w:rPr>
          <w:i/>
          <w:lang w:val="en-US"/>
        </w:rPr>
        <w:t>Economic Systems Research</w:t>
      </w:r>
      <w:r w:rsidRPr="00721031">
        <w:rPr>
          <w:lang w:val="en-US"/>
        </w:rPr>
        <w:t>, 22:1, 43-63 https://doi.org/10.1080/09535311003661226</w:t>
      </w:r>
    </w:p>
    <w:p w14:paraId="3E38113A" w14:textId="77777777" w:rsidR="00721031" w:rsidRPr="00721031" w:rsidRDefault="00721031" w:rsidP="00093269">
      <w:pPr>
        <w:rPr>
          <w:shd w:val="clear" w:color="auto" w:fill="FFFFFF"/>
          <w:lang w:val="en-US"/>
        </w:rPr>
      </w:pPr>
      <w:r w:rsidRPr="008220A7">
        <w:rPr>
          <w:shd w:val="clear" w:color="auto" w:fill="FFFFFF"/>
          <w:lang w:val="de-DE"/>
        </w:rPr>
        <w:t xml:space="preserve">Owen, A., Steen-Olsen, K., Barrett, J., Wiedmann, T., &amp; Lenzen, M. (2014). </w:t>
      </w:r>
      <w:r w:rsidRPr="00721031">
        <w:rPr>
          <w:shd w:val="clear" w:color="auto" w:fill="FFFFFF"/>
          <w:lang w:val="en-US"/>
        </w:rPr>
        <w:t>A structural decomposition approach to comparing MRIO databases. </w:t>
      </w:r>
      <w:r w:rsidRPr="00721031">
        <w:rPr>
          <w:i/>
          <w:iCs/>
          <w:shd w:val="clear" w:color="auto" w:fill="FFFFFF"/>
          <w:lang w:val="en-US"/>
        </w:rPr>
        <w:t>Economic Systems Research</w:t>
      </w:r>
      <w:r w:rsidRPr="00721031">
        <w:rPr>
          <w:shd w:val="clear" w:color="auto" w:fill="FFFFFF"/>
          <w:lang w:val="en-US"/>
        </w:rPr>
        <w:t>, </w:t>
      </w:r>
      <w:r w:rsidRPr="00721031">
        <w:rPr>
          <w:i/>
          <w:iCs/>
          <w:shd w:val="clear" w:color="auto" w:fill="FFFFFF"/>
          <w:lang w:val="en-US"/>
        </w:rPr>
        <w:t>26</w:t>
      </w:r>
      <w:r w:rsidRPr="00721031">
        <w:rPr>
          <w:shd w:val="clear" w:color="auto" w:fill="FFFFFF"/>
          <w:lang w:val="en-US"/>
        </w:rPr>
        <w:t>(3), 262-283</w:t>
      </w:r>
    </w:p>
    <w:p w14:paraId="07F9C301" w14:textId="7C15A933" w:rsidR="00721031" w:rsidRDefault="00721031" w:rsidP="00093269">
      <w:pPr>
        <w:rPr>
          <w:shd w:val="clear" w:color="auto" w:fill="FFFFFF"/>
          <w:lang w:val="en-US"/>
        </w:rPr>
      </w:pPr>
      <w:r w:rsidRPr="00721031">
        <w:rPr>
          <w:shd w:val="clear" w:color="auto" w:fill="FFFFFF"/>
          <w:lang w:val="en-US"/>
        </w:rPr>
        <w:t>Owen, A. E. (2015). </w:t>
      </w:r>
      <w:r w:rsidRPr="00721031">
        <w:rPr>
          <w:lang w:val="en-US"/>
        </w:rPr>
        <w:t>Techniques for evaluating the differences in consumption-based accounts: a comparative evaluation of Eora, GTAP and WIOD,</w:t>
      </w:r>
      <w:r w:rsidRPr="00721031">
        <w:rPr>
          <w:shd w:val="clear" w:color="auto" w:fill="FFFFFF"/>
          <w:lang w:val="en-US"/>
        </w:rPr>
        <w:t> Doctoral dissertation, University of Leeds.</w:t>
      </w:r>
    </w:p>
    <w:p w14:paraId="006303BE" w14:textId="3EA3A1B6" w:rsidR="00093269" w:rsidRPr="00721031" w:rsidRDefault="00093269" w:rsidP="007A0D9C">
      <w:pPr>
        <w:jc w:val="left"/>
        <w:rPr>
          <w:shd w:val="clear" w:color="auto" w:fill="FFFFFF"/>
          <w:lang w:val="en-US"/>
        </w:rPr>
      </w:pPr>
      <w:r w:rsidRPr="00721031">
        <w:rPr>
          <w:shd w:val="clear" w:color="auto" w:fill="FFFFFF"/>
          <w:lang w:val="en-US"/>
        </w:rPr>
        <w:t xml:space="preserve">Rodrigues, J. F., Moran, D., Wood, R., &amp; Behrens, P. (2018). Uncertainty of Consumption-Based </w:t>
      </w:r>
      <w:r w:rsidR="007A0D9C">
        <w:rPr>
          <w:lang w:val="en-US"/>
        </w:rPr>
        <w:t xml:space="preserve">Carbon </w:t>
      </w:r>
      <w:r w:rsidRPr="00721031">
        <w:rPr>
          <w:lang w:val="en-US"/>
        </w:rPr>
        <w:t>Accounts. Envi</w:t>
      </w:r>
      <w:r w:rsidR="007A0D9C">
        <w:rPr>
          <w:lang w:val="en-US"/>
        </w:rPr>
        <w:t xml:space="preserve">ronmental science &amp; technology. </w:t>
      </w:r>
      <w:r w:rsidR="007A0D9C" w:rsidRPr="00023ADE">
        <w:rPr>
          <w:lang w:val="en-US"/>
        </w:rPr>
        <w:t>https://pubs.acs.org/doi/full/10.1021/acs.est.8b00632</w:t>
      </w:r>
    </w:p>
    <w:p w14:paraId="6608F319" w14:textId="5F0DCA97" w:rsidR="00093269" w:rsidRPr="00093269" w:rsidRDefault="00093269" w:rsidP="00093269">
      <w:pPr>
        <w:rPr>
          <w:rFonts w:eastAsia="Times New Roman"/>
          <w:lang w:val="en-US" w:eastAsia="de-DE"/>
        </w:rPr>
      </w:pPr>
      <w:r w:rsidRPr="00721031">
        <w:rPr>
          <w:shd w:val="clear" w:color="auto" w:fill="FFFFFF"/>
          <w:lang w:val="de-DE"/>
        </w:rPr>
        <w:t xml:space="preserve">Timmer, M. P., Dietzenbacher, E., Los, B., Stehrer, R., &amp; De Vries, G. J. (2015). </w:t>
      </w:r>
      <w:r w:rsidRPr="00721031">
        <w:rPr>
          <w:shd w:val="clear" w:color="auto" w:fill="FFFFFF"/>
          <w:lang w:val="en-US"/>
        </w:rPr>
        <w:t>An illustrated user guide to the world input–output database: the case of global automotive production. </w:t>
      </w:r>
      <w:r w:rsidRPr="008220A7">
        <w:rPr>
          <w:i/>
          <w:iCs/>
          <w:shd w:val="clear" w:color="auto" w:fill="FFFFFF"/>
          <w:lang w:val="en-US"/>
        </w:rPr>
        <w:t>Review of International Economics</w:t>
      </w:r>
      <w:r w:rsidRPr="008220A7">
        <w:rPr>
          <w:shd w:val="clear" w:color="auto" w:fill="FFFFFF"/>
          <w:lang w:val="en-US"/>
        </w:rPr>
        <w:t>, </w:t>
      </w:r>
      <w:r w:rsidRPr="008220A7">
        <w:rPr>
          <w:i/>
          <w:iCs/>
          <w:shd w:val="clear" w:color="auto" w:fill="FFFFFF"/>
          <w:lang w:val="en-US"/>
        </w:rPr>
        <w:t>23</w:t>
      </w:r>
      <w:r w:rsidRPr="008220A7">
        <w:rPr>
          <w:shd w:val="clear" w:color="auto" w:fill="FFFFFF"/>
          <w:lang w:val="en-US"/>
        </w:rPr>
        <w:t>(3), 57</w:t>
      </w:r>
      <w:bookmarkStart w:id="0" w:name="_GoBack"/>
      <w:bookmarkEnd w:id="0"/>
      <w:r w:rsidRPr="008220A7">
        <w:rPr>
          <w:shd w:val="clear" w:color="auto" w:fill="FFFFFF"/>
          <w:lang w:val="en-US"/>
        </w:rPr>
        <w:t>5-605.</w:t>
      </w:r>
    </w:p>
    <w:p w14:paraId="13BAA42E" w14:textId="77777777" w:rsidR="00721031" w:rsidRPr="00721031" w:rsidRDefault="00721031" w:rsidP="00093269">
      <w:pPr>
        <w:rPr>
          <w:lang w:val="en-US"/>
        </w:rPr>
      </w:pPr>
      <w:r w:rsidRPr="00721031">
        <w:rPr>
          <w:lang w:val="en-US"/>
        </w:rPr>
        <w:lastRenderedPageBreak/>
        <w:t>Weber, C.L. (2008) Uncertainties in Constructing Environmental Multiregional Input–Output Models. International Input–Output Meeting on Managing the Environment, 9–11 July 2008. Seville, Spain. http:// www.upo.es/econ/IIOMME08/index.php</w:t>
      </w:r>
    </w:p>
    <w:p w14:paraId="7A392FA1" w14:textId="77777777" w:rsidR="00721031" w:rsidRPr="00721031" w:rsidRDefault="00721031" w:rsidP="00093269">
      <w:pPr>
        <w:rPr>
          <w:lang w:val="en-US"/>
        </w:rPr>
      </w:pPr>
      <w:r w:rsidRPr="00721031">
        <w:rPr>
          <w:shd w:val="clear" w:color="auto" w:fill="FFFFFF"/>
          <w:lang w:val="en-US"/>
        </w:rPr>
        <w:t>Weber, C. L., &amp; Matthews, H. S. (2007). Embodied environmental emissions in US international trade, 1997-2004. </w:t>
      </w:r>
      <w:r w:rsidRPr="00721031">
        <w:rPr>
          <w:i/>
          <w:iCs/>
          <w:shd w:val="clear" w:color="auto" w:fill="FFFFFF"/>
          <w:lang w:val="en-US"/>
        </w:rPr>
        <w:t>Environmental science &amp; technology</w:t>
      </w:r>
      <w:r w:rsidRPr="00721031">
        <w:rPr>
          <w:shd w:val="clear" w:color="auto" w:fill="FFFFFF"/>
          <w:lang w:val="en-US"/>
        </w:rPr>
        <w:t>, </w:t>
      </w:r>
      <w:r w:rsidRPr="00721031">
        <w:rPr>
          <w:i/>
          <w:iCs/>
          <w:shd w:val="clear" w:color="auto" w:fill="FFFFFF"/>
          <w:lang w:val="en-US"/>
        </w:rPr>
        <w:t>41</w:t>
      </w:r>
      <w:r w:rsidRPr="00721031">
        <w:rPr>
          <w:shd w:val="clear" w:color="auto" w:fill="FFFFFF"/>
          <w:lang w:val="en-US"/>
        </w:rPr>
        <w:t>(14), 4875.</w:t>
      </w:r>
    </w:p>
    <w:p w14:paraId="7F551CBF" w14:textId="77777777" w:rsidR="00721031" w:rsidRPr="002F113E" w:rsidRDefault="00721031" w:rsidP="00721031">
      <w:pPr>
        <w:pStyle w:val="ListParagraph"/>
        <w:spacing w:before="240" w:after="0" w:line="360" w:lineRule="auto"/>
        <w:rPr>
          <w:rFonts w:eastAsia="Times New Roman"/>
          <w:lang w:val="en-US" w:eastAsia="de-DE"/>
        </w:rPr>
      </w:pPr>
    </w:p>
    <w:sectPr w:rsidR="00721031" w:rsidRPr="002F113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CC38E" w14:textId="77777777" w:rsidR="00712C2E" w:rsidRDefault="00712C2E" w:rsidP="00FA1346">
      <w:pPr>
        <w:spacing w:after="0" w:line="240" w:lineRule="auto"/>
      </w:pPr>
      <w:r>
        <w:separator/>
      </w:r>
    </w:p>
  </w:endnote>
  <w:endnote w:type="continuationSeparator" w:id="0">
    <w:p w14:paraId="419DB986" w14:textId="77777777" w:rsidR="00712C2E" w:rsidRDefault="00712C2E" w:rsidP="00FA1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4F8B11" w14:textId="77777777" w:rsidR="00712C2E" w:rsidRDefault="00712C2E" w:rsidP="00FA1346">
      <w:pPr>
        <w:spacing w:after="0" w:line="240" w:lineRule="auto"/>
      </w:pPr>
      <w:r>
        <w:separator/>
      </w:r>
    </w:p>
  </w:footnote>
  <w:footnote w:type="continuationSeparator" w:id="0">
    <w:p w14:paraId="157BBA13" w14:textId="77777777" w:rsidR="00712C2E" w:rsidRDefault="00712C2E" w:rsidP="00FA13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D43CB"/>
    <w:multiLevelType w:val="hybridMultilevel"/>
    <w:tmpl w:val="22D0EAB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D810E3D"/>
    <w:multiLevelType w:val="hybridMultilevel"/>
    <w:tmpl w:val="CBC4D1B8"/>
    <w:lvl w:ilvl="0" w:tplc="A40868AA">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21AE39B9"/>
    <w:multiLevelType w:val="hybridMultilevel"/>
    <w:tmpl w:val="2A2E82E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2C230740"/>
    <w:multiLevelType w:val="hybridMultilevel"/>
    <w:tmpl w:val="95D80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D60654"/>
    <w:multiLevelType w:val="hybridMultilevel"/>
    <w:tmpl w:val="F38E225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4AF84A1C"/>
    <w:multiLevelType w:val="hybridMultilevel"/>
    <w:tmpl w:val="5D82DB7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6BA72C77"/>
    <w:multiLevelType w:val="hybridMultilevel"/>
    <w:tmpl w:val="05F4B7FE"/>
    <w:lvl w:ilvl="0" w:tplc="6FAE0402">
      <w:start w:val="1"/>
      <w:numFmt w:val="decimal"/>
      <w:lvlText w:val="(%1)"/>
      <w:lvlJc w:val="left"/>
      <w:pPr>
        <w:ind w:left="1300" w:hanging="1300"/>
      </w:pPr>
      <w:rPr>
        <w:rFonts w:eastAsiaTheme="minorHAnsi"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7770613D"/>
    <w:multiLevelType w:val="hybridMultilevel"/>
    <w:tmpl w:val="A388304E"/>
    <w:lvl w:ilvl="0" w:tplc="6FAE0402">
      <w:start w:val="1"/>
      <w:numFmt w:val="decimal"/>
      <w:lvlText w:val="(%1)"/>
      <w:lvlJc w:val="left"/>
      <w:pPr>
        <w:ind w:left="1300" w:hanging="1300"/>
      </w:pPr>
      <w:rPr>
        <w:rFonts w:eastAsiaTheme="minorHAnsi"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num w:numId="1">
    <w:abstractNumId w:val="5"/>
  </w:num>
  <w:num w:numId="2">
    <w:abstractNumId w:val="4"/>
  </w:num>
  <w:num w:numId="3">
    <w:abstractNumId w:val="7"/>
  </w:num>
  <w:num w:numId="4">
    <w:abstractNumId w:val="6"/>
  </w:num>
  <w:num w:numId="5">
    <w:abstractNumId w:val="0"/>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02F"/>
    <w:rsid w:val="00023ADE"/>
    <w:rsid w:val="0003146F"/>
    <w:rsid w:val="00034CDB"/>
    <w:rsid w:val="000844A4"/>
    <w:rsid w:val="00085F31"/>
    <w:rsid w:val="0009165E"/>
    <w:rsid w:val="00093269"/>
    <w:rsid w:val="000B6507"/>
    <w:rsid w:val="000C5308"/>
    <w:rsid w:val="000D3F2F"/>
    <w:rsid w:val="00110D83"/>
    <w:rsid w:val="00111881"/>
    <w:rsid w:val="00126173"/>
    <w:rsid w:val="00131295"/>
    <w:rsid w:val="00136E37"/>
    <w:rsid w:val="0014532B"/>
    <w:rsid w:val="00146302"/>
    <w:rsid w:val="00155572"/>
    <w:rsid w:val="00160D5E"/>
    <w:rsid w:val="001628F1"/>
    <w:rsid w:val="00163533"/>
    <w:rsid w:val="0019733B"/>
    <w:rsid w:val="001C2344"/>
    <w:rsid w:val="001C5A89"/>
    <w:rsid w:val="001E1033"/>
    <w:rsid w:val="001F11B5"/>
    <w:rsid w:val="001F7147"/>
    <w:rsid w:val="00222131"/>
    <w:rsid w:val="002515B4"/>
    <w:rsid w:val="0027000D"/>
    <w:rsid w:val="00283171"/>
    <w:rsid w:val="002966E7"/>
    <w:rsid w:val="002A20C1"/>
    <w:rsid w:val="002B5157"/>
    <w:rsid w:val="002C3CDF"/>
    <w:rsid w:val="002C7F75"/>
    <w:rsid w:val="002D42E8"/>
    <w:rsid w:val="002D742C"/>
    <w:rsid w:val="002F113E"/>
    <w:rsid w:val="002F3D0D"/>
    <w:rsid w:val="00300F97"/>
    <w:rsid w:val="00307A6E"/>
    <w:rsid w:val="003354F3"/>
    <w:rsid w:val="00342595"/>
    <w:rsid w:val="003465FC"/>
    <w:rsid w:val="0035079E"/>
    <w:rsid w:val="00352B1C"/>
    <w:rsid w:val="00357FDF"/>
    <w:rsid w:val="003734F8"/>
    <w:rsid w:val="00383CFB"/>
    <w:rsid w:val="00386B4E"/>
    <w:rsid w:val="00397A0F"/>
    <w:rsid w:val="003A02B9"/>
    <w:rsid w:val="003A0872"/>
    <w:rsid w:val="003A16BC"/>
    <w:rsid w:val="003C225B"/>
    <w:rsid w:val="003D3EDB"/>
    <w:rsid w:val="003F7D80"/>
    <w:rsid w:val="00400B41"/>
    <w:rsid w:val="0041616E"/>
    <w:rsid w:val="0042101D"/>
    <w:rsid w:val="004228E5"/>
    <w:rsid w:val="004268F0"/>
    <w:rsid w:val="00432EE0"/>
    <w:rsid w:val="00441A83"/>
    <w:rsid w:val="004442C3"/>
    <w:rsid w:val="004615E8"/>
    <w:rsid w:val="00475AA4"/>
    <w:rsid w:val="00477733"/>
    <w:rsid w:val="004B1FBF"/>
    <w:rsid w:val="004D7B0A"/>
    <w:rsid w:val="00503A65"/>
    <w:rsid w:val="0050492C"/>
    <w:rsid w:val="0050552F"/>
    <w:rsid w:val="0051116A"/>
    <w:rsid w:val="00533E28"/>
    <w:rsid w:val="00541EF5"/>
    <w:rsid w:val="005553E8"/>
    <w:rsid w:val="005B4068"/>
    <w:rsid w:val="005B6768"/>
    <w:rsid w:val="005C4D28"/>
    <w:rsid w:val="005F4854"/>
    <w:rsid w:val="00615959"/>
    <w:rsid w:val="00621C16"/>
    <w:rsid w:val="006264C6"/>
    <w:rsid w:val="00637547"/>
    <w:rsid w:val="00647531"/>
    <w:rsid w:val="006A06C4"/>
    <w:rsid w:val="006A7B21"/>
    <w:rsid w:val="006B1D3C"/>
    <w:rsid w:val="006C30B6"/>
    <w:rsid w:val="006C5743"/>
    <w:rsid w:val="006D14DF"/>
    <w:rsid w:val="006D150A"/>
    <w:rsid w:val="006D18AC"/>
    <w:rsid w:val="006D1B88"/>
    <w:rsid w:val="006D73A9"/>
    <w:rsid w:val="006F17D3"/>
    <w:rsid w:val="00712C2E"/>
    <w:rsid w:val="00713CBA"/>
    <w:rsid w:val="00721031"/>
    <w:rsid w:val="00743899"/>
    <w:rsid w:val="007500D6"/>
    <w:rsid w:val="00755315"/>
    <w:rsid w:val="00770319"/>
    <w:rsid w:val="0077189E"/>
    <w:rsid w:val="007871FA"/>
    <w:rsid w:val="0079184F"/>
    <w:rsid w:val="00796858"/>
    <w:rsid w:val="007A0B5B"/>
    <w:rsid w:val="007A0D9C"/>
    <w:rsid w:val="007B663B"/>
    <w:rsid w:val="007C056C"/>
    <w:rsid w:val="007D6E4A"/>
    <w:rsid w:val="007F7878"/>
    <w:rsid w:val="008215AF"/>
    <w:rsid w:val="008220A7"/>
    <w:rsid w:val="00822B38"/>
    <w:rsid w:val="0084624B"/>
    <w:rsid w:val="00854D32"/>
    <w:rsid w:val="008772D4"/>
    <w:rsid w:val="00877C7D"/>
    <w:rsid w:val="008A1373"/>
    <w:rsid w:val="008A6955"/>
    <w:rsid w:val="008B221C"/>
    <w:rsid w:val="008B49E1"/>
    <w:rsid w:val="008C1E34"/>
    <w:rsid w:val="008D0911"/>
    <w:rsid w:val="008D21C4"/>
    <w:rsid w:val="008F472E"/>
    <w:rsid w:val="008F4E07"/>
    <w:rsid w:val="00922B69"/>
    <w:rsid w:val="0093078D"/>
    <w:rsid w:val="009307FA"/>
    <w:rsid w:val="00934D25"/>
    <w:rsid w:val="00940D70"/>
    <w:rsid w:val="0095776A"/>
    <w:rsid w:val="009579E4"/>
    <w:rsid w:val="00961217"/>
    <w:rsid w:val="009619DD"/>
    <w:rsid w:val="00966569"/>
    <w:rsid w:val="009932DB"/>
    <w:rsid w:val="009A015B"/>
    <w:rsid w:val="009A3679"/>
    <w:rsid w:val="009A7272"/>
    <w:rsid w:val="009B2887"/>
    <w:rsid w:val="009B354C"/>
    <w:rsid w:val="009B70AC"/>
    <w:rsid w:val="009C669D"/>
    <w:rsid w:val="009F0A06"/>
    <w:rsid w:val="00A03010"/>
    <w:rsid w:val="00A52EA1"/>
    <w:rsid w:val="00A61FA0"/>
    <w:rsid w:val="00A62D22"/>
    <w:rsid w:val="00A8158C"/>
    <w:rsid w:val="00A95D9B"/>
    <w:rsid w:val="00AA17F8"/>
    <w:rsid w:val="00AB4329"/>
    <w:rsid w:val="00AC0AD8"/>
    <w:rsid w:val="00AD184D"/>
    <w:rsid w:val="00AE19EA"/>
    <w:rsid w:val="00AF7A78"/>
    <w:rsid w:val="00B10A21"/>
    <w:rsid w:val="00B121A1"/>
    <w:rsid w:val="00B50572"/>
    <w:rsid w:val="00B7149E"/>
    <w:rsid w:val="00B774C9"/>
    <w:rsid w:val="00B77852"/>
    <w:rsid w:val="00B9453C"/>
    <w:rsid w:val="00BB2BAC"/>
    <w:rsid w:val="00BC0812"/>
    <w:rsid w:val="00BC4ACD"/>
    <w:rsid w:val="00BD1A74"/>
    <w:rsid w:val="00BF3967"/>
    <w:rsid w:val="00BF42CE"/>
    <w:rsid w:val="00C0155D"/>
    <w:rsid w:val="00C033AC"/>
    <w:rsid w:val="00C139A2"/>
    <w:rsid w:val="00C25824"/>
    <w:rsid w:val="00C26176"/>
    <w:rsid w:val="00C445C0"/>
    <w:rsid w:val="00C538F3"/>
    <w:rsid w:val="00C6390C"/>
    <w:rsid w:val="00C63C3E"/>
    <w:rsid w:val="00C65E40"/>
    <w:rsid w:val="00C66752"/>
    <w:rsid w:val="00CB2544"/>
    <w:rsid w:val="00CB7183"/>
    <w:rsid w:val="00CB7FAF"/>
    <w:rsid w:val="00CD065B"/>
    <w:rsid w:val="00CD0C75"/>
    <w:rsid w:val="00CD12D9"/>
    <w:rsid w:val="00CE54D4"/>
    <w:rsid w:val="00D0236E"/>
    <w:rsid w:val="00D109AC"/>
    <w:rsid w:val="00D1342A"/>
    <w:rsid w:val="00D3043A"/>
    <w:rsid w:val="00D326D5"/>
    <w:rsid w:val="00D43759"/>
    <w:rsid w:val="00D51CE1"/>
    <w:rsid w:val="00D5502F"/>
    <w:rsid w:val="00D62A60"/>
    <w:rsid w:val="00D9090A"/>
    <w:rsid w:val="00D93F6E"/>
    <w:rsid w:val="00DB2BA7"/>
    <w:rsid w:val="00DB77A8"/>
    <w:rsid w:val="00DC07B6"/>
    <w:rsid w:val="00DC6B92"/>
    <w:rsid w:val="00DD2A7E"/>
    <w:rsid w:val="00DF7185"/>
    <w:rsid w:val="00E36561"/>
    <w:rsid w:val="00E423A0"/>
    <w:rsid w:val="00E4319B"/>
    <w:rsid w:val="00E66643"/>
    <w:rsid w:val="00EB7052"/>
    <w:rsid w:val="00ED19D6"/>
    <w:rsid w:val="00ED3186"/>
    <w:rsid w:val="00EF295E"/>
    <w:rsid w:val="00F00DCD"/>
    <w:rsid w:val="00F03430"/>
    <w:rsid w:val="00F14642"/>
    <w:rsid w:val="00F31EA0"/>
    <w:rsid w:val="00F34046"/>
    <w:rsid w:val="00F44C4A"/>
    <w:rsid w:val="00F46BE1"/>
    <w:rsid w:val="00F56E65"/>
    <w:rsid w:val="00F71236"/>
    <w:rsid w:val="00F74CF4"/>
    <w:rsid w:val="00F921DE"/>
    <w:rsid w:val="00F93CC5"/>
    <w:rsid w:val="00FA1346"/>
    <w:rsid w:val="00FB7796"/>
    <w:rsid w:val="00FD68DF"/>
    <w:rsid w:val="00FE1599"/>
    <w:rsid w:val="00FF7E33"/>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324D8"/>
  <w15:docId w15:val="{02331954-F211-45D5-8D14-CBD5A59EC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6752"/>
    <w:pPr>
      <w:jc w:val="both"/>
    </w:pPr>
    <w:rPr>
      <w:rFonts w:asciiTheme="majorHAnsi" w:hAnsiTheme="majorHAnsi"/>
    </w:rPr>
  </w:style>
  <w:style w:type="paragraph" w:styleId="Heading1">
    <w:name w:val="heading 1"/>
    <w:basedOn w:val="Normal"/>
    <w:next w:val="Normal"/>
    <w:link w:val="Heading1Char"/>
    <w:uiPriority w:val="9"/>
    <w:qFormat/>
    <w:rsid w:val="00721031"/>
    <w:pPr>
      <w:keepNext/>
      <w:keepLines/>
      <w:spacing w:before="480" w:after="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FA1346"/>
    <w:pPr>
      <w:keepNext/>
      <w:keepLines/>
      <w:spacing w:before="200" w:after="120" w:line="240" w:lineRule="auto"/>
      <w:outlineLvl w:val="1"/>
    </w:pPr>
    <w:rPr>
      <w:rFonts w:ascii="Times New Roman" w:eastAsiaTheme="majorEastAsia" w:hAnsi="Times New Roman" w:cstheme="majorBidi"/>
      <w:b/>
      <w:bCs/>
      <w:sz w:val="24"/>
      <w:szCs w:val="26"/>
      <w:lang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15AF"/>
    <w:rPr>
      <w:color w:val="808080"/>
    </w:rPr>
  </w:style>
  <w:style w:type="paragraph" w:styleId="BalloonText">
    <w:name w:val="Balloon Text"/>
    <w:basedOn w:val="Normal"/>
    <w:link w:val="BalloonTextChar"/>
    <w:uiPriority w:val="99"/>
    <w:semiHidden/>
    <w:unhideWhenUsed/>
    <w:rsid w:val="008215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15AF"/>
    <w:rPr>
      <w:rFonts w:ascii="Tahoma" w:hAnsi="Tahoma" w:cs="Tahoma"/>
      <w:sz w:val="16"/>
      <w:szCs w:val="16"/>
    </w:rPr>
  </w:style>
  <w:style w:type="character" w:styleId="CommentReference">
    <w:name w:val="annotation reference"/>
    <w:basedOn w:val="DefaultParagraphFont"/>
    <w:uiPriority w:val="99"/>
    <w:semiHidden/>
    <w:unhideWhenUsed/>
    <w:rsid w:val="004228E5"/>
    <w:rPr>
      <w:sz w:val="16"/>
      <w:szCs w:val="16"/>
    </w:rPr>
  </w:style>
  <w:style w:type="paragraph" w:styleId="CommentText">
    <w:name w:val="annotation text"/>
    <w:basedOn w:val="Normal"/>
    <w:link w:val="CommentTextChar"/>
    <w:uiPriority w:val="99"/>
    <w:semiHidden/>
    <w:unhideWhenUsed/>
    <w:rsid w:val="004228E5"/>
    <w:pPr>
      <w:spacing w:line="240" w:lineRule="auto"/>
    </w:pPr>
    <w:rPr>
      <w:sz w:val="20"/>
      <w:szCs w:val="20"/>
    </w:rPr>
  </w:style>
  <w:style w:type="character" w:customStyle="1" w:styleId="CommentTextChar">
    <w:name w:val="Comment Text Char"/>
    <w:basedOn w:val="DefaultParagraphFont"/>
    <w:link w:val="CommentText"/>
    <w:uiPriority w:val="99"/>
    <w:semiHidden/>
    <w:rsid w:val="004228E5"/>
    <w:rPr>
      <w:sz w:val="20"/>
      <w:szCs w:val="20"/>
    </w:rPr>
  </w:style>
  <w:style w:type="paragraph" w:styleId="CommentSubject">
    <w:name w:val="annotation subject"/>
    <w:basedOn w:val="CommentText"/>
    <w:next w:val="CommentText"/>
    <w:link w:val="CommentSubjectChar"/>
    <w:uiPriority w:val="99"/>
    <w:semiHidden/>
    <w:unhideWhenUsed/>
    <w:rsid w:val="004228E5"/>
    <w:rPr>
      <w:b/>
      <w:bCs/>
    </w:rPr>
  </w:style>
  <w:style w:type="character" w:customStyle="1" w:styleId="CommentSubjectChar">
    <w:name w:val="Comment Subject Char"/>
    <w:basedOn w:val="CommentTextChar"/>
    <w:link w:val="CommentSubject"/>
    <w:uiPriority w:val="99"/>
    <w:semiHidden/>
    <w:rsid w:val="004228E5"/>
    <w:rPr>
      <w:b/>
      <w:bCs/>
      <w:sz w:val="20"/>
      <w:szCs w:val="20"/>
    </w:rPr>
  </w:style>
  <w:style w:type="character" w:customStyle="1" w:styleId="Heading2Char">
    <w:name w:val="Heading 2 Char"/>
    <w:basedOn w:val="DefaultParagraphFont"/>
    <w:link w:val="Heading2"/>
    <w:uiPriority w:val="9"/>
    <w:rsid w:val="00FA1346"/>
    <w:rPr>
      <w:rFonts w:ascii="Times New Roman" w:eastAsiaTheme="majorEastAsia" w:hAnsi="Times New Roman" w:cstheme="majorBidi"/>
      <w:b/>
      <w:bCs/>
      <w:sz w:val="24"/>
      <w:szCs w:val="26"/>
      <w:lang w:eastAsia="sv-SE"/>
    </w:rPr>
  </w:style>
  <w:style w:type="paragraph" w:styleId="FootnoteText">
    <w:name w:val="footnote text"/>
    <w:basedOn w:val="Normal"/>
    <w:link w:val="FootnoteTextChar"/>
    <w:uiPriority w:val="99"/>
    <w:unhideWhenUsed/>
    <w:rsid w:val="00FA1346"/>
    <w:pPr>
      <w:spacing w:before="120" w:after="120" w:line="240" w:lineRule="auto"/>
    </w:pPr>
    <w:rPr>
      <w:rFonts w:ascii="Times New Roman" w:eastAsiaTheme="minorEastAsia" w:hAnsi="Times New Roman"/>
      <w:sz w:val="24"/>
      <w:szCs w:val="24"/>
      <w:lang w:eastAsia="sv-SE"/>
    </w:rPr>
  </w:style>
  <w:style w:type="character" w:customStyle="1" w:styleId="FootnoteTextChar">
    <w:name w:val="Footnote Text Char"/>
    <w:basedOn w:val="DefaultParagraphFont"/>
    <w:link w:val="FootnoteText"/>
    <w:uiPriority w:val="99"/>
    <w:rsid w:val="00FA1346"/>
    <w:rPr>
      <w:rFonts w:ascii="Times New Roman" w:eastAsiaTheme="minorEastAsia" w:hAnsi="Times New Roman"/>
      <w:sz w:val="24"/>
      <w:szCs w:val="24"/>
      <w:lang w:eastAsia="sv-SE"/>
    </w:rPr>
  </w:style>
  <w:style w:type="character" w:styleId="FootnoteReference">
    <w:name w:val="footnote reference"/>
    <w:basedOn w:val="DefaultParagraphFont"/>
    <w:uiPriority w:val="99"/>
    <w:unhideWhenUsed/>
    <w:rsid w:val="00FA1346"/>
    <w:rPr>
      <w:vertAlign w:val="superscript"/>
    </w:rPr>
  </w:style>
  <w:style w:type="paragraph" w:styleId="ListParagraph">
    <w:name w:val="List Paragraph"/>
    <w:basedOn w:val="Normal"/>
    <w:uiPriority w:val="34"/>
    <w:qFormat/>
    <w:rsid w:val="00FA1346"/>
    <w:pPr>
      <w:ind w:left="720"/>
      <w:contextualSpacing/>
    </w:pPr>
  </w:style>
  <w:style w:type="character" w:customStyle="1" w:styleId="Heading1Char">
    <w:name w:val="Heading 1 Char"/>
    <w:basedOn w:val="DefaultParagraphFont"/>
    <w:link w:val="Heading1"/>
    <w:uiPriority w:val="9"/>
    <w:rsid w:val="00721031"/>
    <w:rPr>
      <w:rFonts w:asciiTheme="majorHAnsi" w:eastAsiaTheme="majorEastAsia" w:hAnsiTheme="majorHAnsi" w:cstheme="majorBidi"/>
      <w:b/>
      <w:bCs/>
      <w:color w:val="000000" w:themeColor="text1"/>
      <w:sz w:val="28"/>
      <w:szCs w:val="28"/>
    </w:rPr>
  </w:style>
  <w:style w:type="paragraph" w:styleId="Title">
    <w:name w:val="Title"/>
    <w:basedOn w:val="Normal"/>
    <w:next w:val="Normal"/>
    <w:link w:val="TitleChar"/>
    <w:uiPriority w:val="10"/>
    <w:qFormat/>
    <w:rsid w:val="009A015B"/>
    <w:pPr>
      <w:pBdr>
        <w:bottom w:val="single" w:sz="8" w:space="4" w:color="4F81BD" w:themeColor="accent1"/>
      </w:pBdr>
      <w:spacing w:before="120" w:after="300" w:line="240" w:lineRule="auto"/>
      <w:contextualSpacing/>
    </w:pPr>
    <w:rPr>
      <w:rFonts w:eastAsiaTheme="majorEastAsia" w:cstheme="majorBidi"/>
      <w:color w:val="17365D" w:themeColor="text2" w:themeShade="BF"/>
      <w:spacing w:val="5"/>
      <w:kern w:val="28"/>
      <w:sz w:val="52"/>
      <w:szCs w:val="52"/>
      <w:lang w:eastAsia="sv-SE"/>
    </w:rPr>
  </w:style>
  <w:style w:type="character" w:customStyle="1" w:styleId="TitleChar">
    <w:name w:val="Title Char"/>
    <w:basedOn w:val="DefaultParagraphFont"/>
    <w:link w:val="Title"/>
    <w:uiPriority w:val="10"/>
    <w:rsid w:val="009A015B"/>
    <w:rPr>
      <w:rFonts w:asciiTheme="majorHAnsi" w:eastAsiaTheme="majorEastAsia" w:hAnsiTheme="majorHAnsi" w:cstheme="majorBidi"/>
      <w:color w:val="17365D" w:themeColor="text2" w:themeShade="BF"/>
      <w:spacing w:val="5"/>
      <w:kern w:val="28"/>
      <w:sz w:val="52"/>
      <w:szCs w:val="52"/>
      <w:lang w:eastAsia="sv-SE"/>
    </w:rPr>
  </w:style>
  <w:style w:type="character" w:customStyle="1" w:styleId="highlight">
    <w:name w:val="highlight"/>
    <w:basedOn w:val="DefaultParagraphFont"/>
    <w:rsid w:val="00146302"/>
  </w:style>
  <w:style w:type="paragraph" w:styleId="NormalWeb">
    <w:name w:val="Normal (Web)"/>
    <w:basedOn w:val="Normal"/>
    <w:uiPriority w:val="99"/>
    <w:unhideWhenUsed/>
    <w:rsid w:val="00E66643"/>
    <w:pPr>
      <w:spacing w:before="100" w:beforeAutospacing="1" w:after="100" w:afterAutospacing="1" w:line="240" w:lineRule="auto"/>
    </w:pPr>
    <w:rPr>
      <w:rFonts w:ascii="Garamond" w:eastAsia="Times New Roman" w:hAnsi="Garamond" w:cs="Times New Roman"/>
      <w:sz w:val="24"/>
      <w:szCs w:val="24"/>
    </w:rPr>
  </w:style>
  <w:style w:type="paragraph" w:styleId="Caption">
    <w:name w:val="caption"/>
    <w:basedOn w:val="Normal"/>
    <w:next w:val="Normal"/>
    <w:uiPriority w:val="35"/>
    <w:semiHidden/>
    <w:unhideWhenUsed/>
    <w:qFormat/>
    <w:rsid w:val="00CD065B"/>
    <w:pPr>
      <w:spacing w:line="240" w:lineRule="auto"/>
    </w:pPr>
    <w:rPr>
      <w:i/>
      <w:iCs/>
      <w:color w:val="1F497D" w:themeColor="text2"/>
      <w:sz w:val="18"/>
      <w:szCs w:val="18"/>
    </w:rPr>
  </w:style>
  <w:style w:type="character" w:styleId="Hyperlink">
    <w:name w:val="Hyperlink"/>
    <w:basedOn w:val="DefaultParagraphFont"/>
    <w:uiPriority w:val="99"/>
    <w:unhideWhenUsed/>
    <w:rsid w:val="007A0D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788283">
      <w:bodyDiv w:val="1"/>
      <w:marLeft w:val="0"/>
      <w:marRight w:val="0"/>
      <w:marTop w:val="0"/>
      <w:marBottom w:val="0"/>
      <w:divBdr>
        <w:top w:val="none" w:sz="0" w:space="0" w:color="auto"/>
        <w:left w:val="none" w:sz="0" w:space="0" w:color="auto"/>
        <w:bottom w:val="none" w:sz="0" w:space="0" w:color="auto"/>
        <w:right w:val="none" w:sz="0" w:space="0" w:color="auto"/>
      </w:divBdr>
    </w:div>
    <w:div w:id="1832523494">
      <w:bodyDiv w:val="1"/>
      <w:marLeft w:val="0"/>
      <w:marRight w:val="0"/>
      <w:marTop w:val="0"/>
      <w:marBottom w:val="0"/>
      <w:divBdr>
        <w:top w:val="none" w:sz="0" w:space="0" w:color="auto"/>
        <w:left w:val="none" w:sz="0" w:space="0" w:color="auto"/>
        <w:bottom w:val="none" w:sz="0" w:space="0" w:color="auto"/>
        <w:right w:val="none" w:sz="0" w:space="0" w:color="auto"/>
      </w:divBdr>
    </w:div>
    <w:div w:id="2121028058">
      <w:bodyDiv w:val="1"/>
      <w:marLeft w:val="0"/>
      <w:marRight w:val="0"/>
      <w:marTop w:val="0"/>
      <w:marBottom w:val="0"/>
      <w:divBdr>
        <w:top w:val="none" w:sz="0" w:space="0" w:color="auto"/>
        <w:left w:val="none" w:sz="0" w:space="0" w:color="auto"/>
        <w:bottom w:val="none" w:sz="0" w:space="0" w:color="auto"/>
        <w:right w:val="none" w:sz="0" w:space="0" w:color="auto"/>
      </w:divBdr>
    </w:div>
    <w:div w:id="213948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9F170-D754-42D2-8655-8AF57754E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1384</Words>
  <Characters>7337</Characters>
  <Application>Microsoft Office Word</Application>
  <DocSecurity>0</DocSecurity>
  <Lines>61</Lines>
  <Paragraphs>17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LU</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 Nielsen</dc:creator>
  <cp:keywords/>
  <dc:description/>
  <cp:lastModifiedBy>Nicolai Baumert</cp:lastModifiedBy>
  <cp:revision>6</cp:revision>
  <dcterms:created xsi:type="dcterms:W3CDTF">2020-04-25T14:40:00Z</dcterms:created>
  <dcterms:modified xsi:type="dcterms:W3CDTF">2020-06-06T17:42:00Z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2e56502e-015c-300d-abcf-f3b9d1a26b7c</vt:lpwstr>
  </property>
  <property fmtid="{D5CDD505-2E9C-101B-9397-08002B2CF9AE}" pid="4" name="Mendeley Citation Style_1">
    <vt:lpwstr>http://www.zotero.org/styles/journal-of-industrial-ecology</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http://www.zotero.org/styles/explorations-in-economic-history</vt:lpwstr>
  </property>
  <property fmtid="{D5CDD505-2E9C-101B-9397-08002B2CF9AE}" pid="14" name="Mendeley Recent Style Name 4_1">
    <vt:lpwstr>Explorations in Economic History</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http://www.zotero.org/styles/journal-of-industrial-ecology</vt:lpwstr>
  </property>
  <property fmtid="{D5CDD505-2E9C-101B-9397-08002B2CF9AE}" pid="18" name="Mendeley Recent Style Name 6_1">
    <vt:lpwstr>Journal of Industrial Ecology</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