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88D" w:rsidRDefault="002C43D8">
      <w:pPr>
        <w:rPr>
          <w:lang w:val="en-US"/>
        </w:rPr>
      </w:pPr>
      <w:r>
        <w:rPr>
          <w:lang w:val="en-US"/>
        </w:rPr>
        <w:t>Annex A</w:t>
      </w:r>
    </w:p>
    <w:p w:rsidR="002C43D8" w:rsidRPr="002C43D8" w:rsidRDefault="002C43D8">
      <w:pPr>
        <w:rPr>
          <w:i/>
          <w:lang w:val="en-US"/>
        </w:rPr>
      </w:pPr>
      <w:r w:rsidRPr="002C43D8">
        <w:rPr>
          <w:i/>
          <w:lang w:val="en-US"/>
        </w:rPr>
        <w:t>Robustness tests</w:t>
      </w:r>
    </w:p>
    <w:p w:rsidR="002C43D8" w:rsidRDefault="002C43D8" w:rsidP="002C43D8">
      <w:pPr>
        <w:jc w:val="both"/>
        <w:rPr>
          <w:lang w:val="en-US"/>
        </w:rPr>
      </w:pPr>
      <w:r>
        <w:rPr>
          <w:lang w:val="en-US"/>
        </w:rPr>
        <w:t xml:space="preserve">We run a set of 10 robustness tests for the sufficiency analysis of strong regime policy, as suggested by QCA scholars (Schneider and </w:t>
      </w:r>
      <w:proofErr w:type="spellStart"/>
      <w:r>
        <w:rPr>
          <w:lang w:val="en-US"/>
        </w:rPr>
        <w:t>Wagemann</w:t>
      </w:r>
      <w:proofErr w:type="spellEnd"/>
      <w:r>
        <w:rPr>
          <w:lang w:val="en-US"/>
        </w:rPr>
        <w:t xml:space="preserve"> 2012, Mello 2021, Wiederkehr et al. 2022). Two types of tests </w:t>
      </w:r>
      <w:proofErr w:type="gramStart"/>
      <w:r>
        <w:rPr>
          <w:lang w:val="en-US"/>
        </w:rPr>
        <w:t>were performed</w:t>
      </w:r>
      <w:proofErr w:type="gramEnd"/>
      <w:r>
        <w:rPr>
          <w:lang w:val="en-US"/>
        </w:rPr>
        <w:t xml:space="preserve">: using alternative consistency thresholds (rows 2 and 3) and using alternative sets of cases by excluding each case one at a time (rows 4-11). The robustness tests results </w:t>
      </w:r>
      <w:proofErr w:type="gramStart"/>
      <w:r>
        <w:rPr>
          <w:lang w:val="en-US"/>
        </w:rPr>
        <w:t>are displayed</w:t>
      </w:r>
      <w:proofErr w:type="gramEnd"/>
      <w:r>
        <w:rPr>
          <w:lang w:val="en-US"/>
        </w:rPr>
        <w:t xml:space="preserve"> in the table below. All of the alternative solutions are equal or sub-sets of the main solution formula found in the study, and hence the main solution formula </w:t>
      </w:r>
      <w:proofErr w:type="gramStart"/>
      <w:r>
        <w:rPr>
          <w:lang w:val="en-US"/>
        </w:rPr>
        <w:t>is confirmed</w:t>
      </w:r>
      <w:proofErr w:type="gramEnd"/>
      <w:r>
        <w:rPr>
          <w:lang w:val="en-US"/>
        </w:rPr>
        <w:t xml:space="preserve">. </w:t>
      </w:r>
      <w:r w:rsidR="00230265">
        <w:rPr>
          <w:lang w:val="en-US"/>
        </w:rPr>
        <w:t xml:space="preserve">All alternative solutions have a </w:t>
      </w:r>
      <w:proofErr w:type="gramStart"/>
      <w:r w:rsidR="00230265">
        <w:rPr>
          <w:lang w:val="en-US"/>
        </w:rPr>
        <w:t>consistency which</w:t>
      </w:r>
      <w:proofErr w:type="gramEnd"/>
      <w:r w:rsidR="00230265">
        <w:rPr>
          <w:lang w:val="en-US"/>
        </w:rPr>
        <w:t xml:space="preserve"> ranges from 0.83 and 1.0 and cover between 50 and 77% of the cases.</w:t>
      </w:r>
      <w:bookmarkStart w:id="0" w:name="_GoBack"/>
      <w:bookmarkEnd w:id="0"/>
    </w:p>
    <w:tbl>
      <w:tblPr>
        <w:tblStyle w:val="EinfacheTabelle2"/>
        <w:tblpPr w:leftFromText="141" w:rightFromText="141" w:vertAnchor="text" w:horzAnchor="margin" w:tblpY="30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2C43D8" w:rsidRPr="002C43D8" w:rsidTr="002C4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2C43D8" w:rsidRPr="002C43D8" w:rsidRDefault="002C43D8" w:rsidP="002C43D8">
            <w:pPr>
              <w:rPr>
                <w:lang w:val="en-US"/>
              </w:rPr>
            </w:pPr>
            <w:r w:rsidRPr="002C43D8">
              <w:rPr>
                <w:lang w:val="en-US"/>
              </w:rPr>
              <w:t>#</w:t>
            </w:r>
          </w:p>
        </w:tc>
        <w:tc>
          <w:tcPr>
            <w:tcW w:w="1812" w:type="dxa"/>
          </w:tcPr>
          <w:p w:rsidR="002C43D8" w:rsidRPr="002C43D8" w:rsidRDefault="002C43D8" w:rsidP="002C43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3D8">
              <w:rPr>
                <w:lang w:val="en-US"/>
              </w:rPr>
              <w:t>Test</w:t>
            </w:r>
          </w:p>
        </w:tc>
        <w:tc>
          <w:tcPr>
            <w:tcW w:w="1812" w:type="dxa"/>
          </w:tcPr>
          <w:p w:rsidR="002C43D8" w:rsidRPr="002C43D8" w:rsidRDefault="002C43D8" w:rsidP="002C43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3D8">
              <w:rPr>
                <w:lang w:val="en-US"/>
              </w:rPr>
              <w:t>Solution formula</w:t>
            </w:r>
          </w:p>
        </w:tc>
        <w:tc>
          <w:tcPr>
            <w:tcW w:w="1813" w:type="dxa"/>
          </w:tcPr>
          <w:p w:rsidR="002C43D8" w:rsidRPr="002C43D8" w:rsidRDefault="002C43D8" w:rsidP="002C43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3D8">
              <w:rPr>
                <w:lang w:val="en-US"/>
              </w:rPr>
              <w:t>Consistency</w:t>
            </w:r>
          </w:p>
        </w:tc>
        <w:tc>
          <w:tcPr>
            <w:tcW w:w="1813" w:type="dxa"/>
          </w:tcPr>
          <w:p w:rsidR="002C43D8" w:rsidRPr="002C43D8" w:rsidRDefault="002C43D8" w:rsidP="002C43D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C43D8">
              <w:rPr>
                <w:lang w:val="en-US"/>
              </w:rPr>
              <w:t>Coverage</w:t>
            </w:r>
          </w:p>
        </w:tc>
      </w:tr>
      <w:tr w:rsidR="002C43D8" w:rsidRPr="002C43D8" w:rsidTr="002C4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2C43D8" w:rsidRPr="002C43D8" w:rsidRDefault="002C43D8" w:rsidP="002C43D8">
            <w:pPr>
              <w:rPr>
                <w:lang w:val="en-US"/>
              </w:rPr>
            </w:pPr>
            <w:r w:rsidRPr="002C43D8">
              <w:rPr>
                <w:lang w:val="en-US"/>
              </w:rPr>
              <w:t>1</w:t>
            </w:r>
          </w:p>
        </w:tc>
        <w:tc>
          <w:tcPr>
            <w:tcW w:w="1812" w:type="dxa"/>
          </w:tcPr>
          <w:p w:rsidR="002C43D8" w:rsidRPr="002C43D8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C43D8">
              <w:rPr>
                <w:lang w:val="en-US"/>
              </w:rPr>
              <w:t>Main analysis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B20619">
              <w:rPr>
                <w:lang w:val="en-US"/>
              </w:rPr>
              <w:t>for+iss+heg</w:t>
            </w:r>
            <w:proofErr w:type="spellEnd"/>
            <w:r w:rsidRPr="00B20619">
              <w:rPr>
                <w:lang w:val="en-US"/>
              </w:rPr>
              <w:t xml:space="preserve"> </w:t>
            </w:r>
            <w:r>
              <w:sym w:font="Wingdings" w:char="F0E0"/>
            </w:r>
            <w:r w:rsidRPr="00B20619">
              <w:rPr>
                <w:lang w:val="en-US"/>
              </w:rPr>
              <w:t xml:space="preserve"> strong policy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0.86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0.75</w:t>
            </w:r>
          </w:p>
        </w:tc>
      </w:tr>
      <w:tr w:rsidR="002C43D8" w:rsidRPr="00B20619" w:rsidTr="002C4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2C43D8" w:rsidRPr="00B20619" w:rsidRDefault="002C43D8" w:rsidP="002C43D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Consistency threshold 0.8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for+heg</w:t>
            </w:r>
            <w:proofErr w:type="spellEnd"/>
            <w:r>
              <w:rPr>
                <w:lang w:val="en-US"/>
              </w:rPr>
              <w:t xml:space="preserve"> </w:t>
            </w:r>
            <w:r w:rsidRPr="00B20619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strong policy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0.56</w:t>
            </w:r>
          </w:p>
        </w:tc>
      </w:tr>
      <w:tr w:rsidR="002C43D8" w:rsidRPr="00B20619" w:rsidTr="002C4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2C43D8" w:rsidRPr="00B20619" w:rsidRDefault="002C43D8" w:rsidP="002C43D8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Consistency threshold 0.9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for+heg</w:t>
            </w:r>
            <w:proofErr w:type="spellEnd"/>
            <w:r>
              <w:rPr>
                <w:lang w:val="en-US"/>
              </w:rPr>
              <w:t xml:space="preserve"> </w:t>
            </w:r>
            <w:r w:rsidRPr="00B20619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strong policy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0.56</w:t>
            </w:r>
          </w:p>
        </w:tc>
      </w:tr>
      <w:tr w:rsidR="002C43D8" w:rsidRPr="00B20619" w:rsidTr="002C4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2C43D8" w:rsidRPr="00B20619" w:rsidRDefault="002C43D8" w:rsidP="002C43D8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Without ACTO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for+heg</w:t>
            </w:r>
            <w:proofErr w:type="spellEnd"/>
            <w:r>
              <w:rPr>
                <w:lang w:val="en-US"/>
              </w:rPr>
              <w:t xml:space="preserve"> </w:t>
            </w:r>
            <w:r w:rsidRPr="00B20619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strong policy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</w:t>
            </w:r>
          </w:p>
        </w:tc>
      </w:tr>
      <w:tr w:rsidR="002C43D8" w:rsidRPr="00B20619" w:rsidTr="002C4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2C43D8" w:rsidRPr="00B20619" w:rsidRDefault="002C43D8" w:rsidP="002C43D8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Without ASEAN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for+heg</w:t>
            </w:r>
            <w:proofErr w:type="spellEnd"/>
            <w:r>
              <w:rPr>
                <w:lang w:val="en-US"/>
              </w:rPr>
              <w:t xml:space="preserve"> </w:t>
            </w:r>
            <w:r w:rsidRPr="00B20619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strong policy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0.54</w:t>
            </w:r>
          </w:p>
        </w:tc>
      </w:tr>
      <w:tr w:rsidR="002C43D8" w:rsidRPr="00B20619" w:rsidTr="002C4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2C43D8" w:rsidRPr="00B20619" w:rsidRDefault="002C43D8" w:rsidP="002C43D8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Without COMIFAC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for+heg</w:t>
            </w:r>
            <w:proofErr w:type="spellEnd"/>
            <w:r>
              <w:rPr>
                <w:lang w:val="en-US"/>
              </w:rPr>
              <w:t xml:space="preserve"> </w:t>
            </w:r>
            <w:r w:rsidRPr="00B20619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strong policy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0.54</w:t>
            </w:r>
          </w:p>
        </w:tc>
      </w:tr>
      <w:tr w:rsidR="002C43D8" w:rsidRPr="00B20619" w:rsidTr="002C4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2C43D8" w:rsidRPr="00B20619" w:rsidRDefault="002C43D8" w:rsidP="002C43D8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Without the EU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for+heg</w:t>
            </w:r>
            <w:proofErr w:type="spellEnd"/>
            <w:r>
              <w:rPr>
                <w:lang w:val="en-US"/>
              </w:rPr>
              <w:t xml:space="preserve"> </w:t>
            </w:r>
            <w:r w:rsidRPr="00B20619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strong policy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</w:t>
            </w:r>
          </w:p>
        </w:tc>
      </w:tr>
      <w:tr w:rsidR="002C43D8" w:rsidRPr="00B20619" w:rsidTr="002C4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2C43D8" w:rsidRPr="00B20619" w:rsidRDefault="002C43D8" w:rsidP="002C43D8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Without FE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for+iss+heg</w:t>
            </w:r>
            <w:proofErr w:type="spellEnd"/>
            <w:r>
              <w:rPr>
                <w:lang w:val="en-US"/>
              </w:rPr>
              <w:t xml:space="preserve"> </w:t>
            </w:r>
            <w:r w:rsidRPr="00B20619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strong policy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0.83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0.77</w:t>
            </w:r>
          </w:p>
        </w:tc>
      </w:tr>
      <w:tr w:rsidR="002C43D8" w:rsidRPr="00B20619" w:rsidTr="002C4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2C43D8" w:rsidRPr="00B20619" w:rsidRDefault="002C43D8" w:rsidP="002C43D8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Without Mercosur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for+heg</w:t>
            </w:r>
            <w:proofErr w:type="spellEnd"/>
            <w:r>
              <w:rPr>
                <w:lang w:val="en-US"/>
              </w:rPr>
              <w:t xml:space="preserve"> </w:t>
            </w:r>
            <w:r w:rsidRPr="00B20619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strong policy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</w:t>
            </w:r>
          </w:p>
        </w:tc>
      </w:tr>
      <w:tr w:rsidR="002C43D8" w:rsidRPr="00B20619" w:rsidTr="002C43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2C43D8" w:rsidRPr="00B20619" w:rsidRDefault="002C43D8" w:rsidP="002C43D8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Without MP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iss+heg</w:t>
            </w:r>
            <w:proofErr w:type="spellEnd"/>
            <w:r>
              <w:rPr>
                <w:lang w:val="en-US"/>
              </w:rPr>
              <w:t xml:space="preserve"> </w:t>
            </w:r>
            <w:r w:rsidRPr="00B20619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strong policy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0.83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0.77</w:t>
            </w:r>
          </w:p>
        </w:tc>
      </w:tr>
      <w:tr w:rsidR="002C43D8" w:rsidRPr="00B20619" w:rsidTr="002C4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2" w:type="dxa"/>
          </w:tcPr>
          <w:p w:rsidR="002C43D8" w:rsidRPr="00B20619" w:rsidRDefault="002C43D8" w:rsidP="002C43D8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Without SAARC/SACEP</w:t>
            </w:r>
          </w:p>
        </w:tc>
        <w:tc>
          <w:tcPr>
            <w:tcW w:w="1812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for+iss+heg</w:t>
            </w:r>
            <w:proofErr w:type="spellEnd"/>
            <w:r>
              <w:rPr>
                <w:lang w:val="en-US"/>
              </w:rPr>
              <w:t xml:space="preserve"> </w:t>
            </w:r>
            <w:r w:rsidRPr="00B20619">
              <w:rPr>
                <w:lang w:val="en-US"/>
              </w:rPr>
              <w:sym w:font="Wingdings" w:char="F0E0"/>
            </w:r>
            <w:r>
              <w:rPr>
                <w:lang w:val="en-US"/>
              </w:rPr>
              <w:t xml:space="preserve"> strong policy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0.92</w:t>
            </w:r>
          </w:p>
        </w:tc>
        <w:tc>
          <w:tcPr>
            <w:tcW w:w="1813" w:type="dxa"/>
          </w:tcPr>
          <w:p w:rsidR="002C43D8" w:rsidRPr="00B20619" w:rsidRDefault="002C43D8" w:rsidP="002C43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0.75</w:t>
            </w:r>
          </w:p>
        </w:tc>
      </w:tr>
    </w:tbl>
    <w:p w:rsidR="002C43D8" w:rsidRDefault="002C43D8">
      <w:pPr>
        <w:rPr>
          <w:lang w:val="en-US"/>
        </w:rPr>
      </w:pPr>
    </w:p>
    <w:p w:rsidR="002C43D8" w:rsidRPr="00B20619" w:rsidRDefault="002C43D8">
      <w:pPr>
        <w:rPr>
          <w:lang w:val="en-US"/>
        </w:rPr>
      </w:pPr>
    </w:p>
    <w:sectPr w:rsidR="002C43D8" w:rsidRPr="00B206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619"/>
    <w:rsid w:val="00230265"/>
    <w:rsid w:val="002C43D8"/>
    <w:rsid w:val="00657F40"/>
    <w:rsid w:val="006A032A"/>
    <w:rsid w:val="00B20619"/>
    <w:rsid w:val="00B31F87"/>
    <w:rsid w:val="00B86217"/>
    <w:rsid w:val="00D0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B859"/>
  <w15:chartTrackingRefBased/>
  <w15:docId w15:val="{CEFE7AC4-4B8A-4B58-9052-47C45B840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206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B31F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Burns</dc:creator>
  <cp:keywords/>
  <dc:description/>
  <cp:lastModifiedBy>Sarah Burns</cp:lastModifiedBy>
  <cp:revision>2</cp:revision>
  <dcterms:created xsi:type="dcterms:W3CDTF">2023-05-09T13:22:00Z</dcterms:created>
  <dcterms:modified xsi:type="dcterms:W3CDTF">2023-05-11T07:59:00Z</dcterms:modified>
</cp:coreProperties>
</file>