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AAF" w:rsidRPr="00076A94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sz w:val="24"/>
          <w:szCs w:val="24"/>
          <w:lang w:val="en-GB" w:bidi="ar-EG"/>
        </w:rPr>
      </w:pP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 xml:space="preserve">Supplementary Fig. 1 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The zeta potential of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 xml:space="preserve"> (</w:t>
      </w:r>
      <w:r w:rsidRPr="00076A94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 w:bidi="ar-EG"/>
        </w:rPr>
        <w:t>A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 xml:space="preserve">) the non-loaded </w:t>
      </w:r>
      <w:proofErr w:type="spellStart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>AuNPs</w:t>
      </w:r>
      <w:proofErr w:type="spellEnd"/>
      <w:r w:rsidRPr="00076A94" w:rsidDel="009C2A6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 xml:space="preserve"> 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>and (</w:t>
      </w:r>
      <w:r w:rsidRPr="00076A94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 w:bidi="ar-EG"/>
        </w:rPr>
        <w:t>B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 xml:space="preserve">) the </w:t>
      </w:r>
      <w:proofErr w:type="spellStart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>AuNPs</w:t>
      </w:r>
      <w:proofErr w:type="spellEnd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 xml:space="preserve"> conjugated with MTX.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 w:bidi="ar-EG"/>
        </w:rPr>
        <w:t xml:space="preserve">Zeta potential measurements showed a negatively charged surface potential of the non-loaded </w:t>
      </w:r>
      <w:proofErr w:type="spellStart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 w:bidi="ar-EG"/>
        </w:rPr>
        <w:t>AuNPs</w:t>
      </w:r>
      <w:proofErr w:type="spellEnd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 w:bidi="ar-EG"/>
        </w:rPr>
        <w:t xml:space="preserve"> with approximately -34.0 mV that decreased to -25 mV after conjugation with MTX.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MTX: methotrexate, </w:t>
      </w:r>
      <w:proofErr w:type="spellStart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AuNPs</w:t>
      </w:r>
      <w:proofErr w:type="spellEnd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: gold nanoparticles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 w:bidi="ar-EG"/>
        </w:rPr>
        <w:t xml:space="preserve"> </w:t>
      </w:r>
    </w:p>
    <w:p w:rsidR="000D2AAF" w:rsidRPr="00076A94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sz w:val="24"/>
          <w:szCs w:val="24"/>
          <w:lang w:val="en-GB" w:bidi="ar-EG"/>
        </w:rPr>
      </w:pP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>Supplementary Fig. 2 Representative photograph showing clinical signs of inflammation in rats' joints at the onset of arthritis (about 14 days post CFA injection).</w:t>
      </w:r>
    </w:p>
    <w:p w:rsidR="000D2AAF" w:rsidRPr="00076A94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>Supplementary Fig. 3 S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erum total cholesterol level in ng/ml in 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 xml:space="preserve">rat’s 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adjuvant-induced arthritis.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TC: total cholesterol;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MTX: methotrexate, MTX/</w:t>
      </w:r>
      <w:proofErr w:type="spellStart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AuNPs</w:t>
      </w:r>
      <w:proofErr w:type="spellEnd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: MTX conjugated to gold nanoparticles. Number of rats/group =10. *: Significant difference versus normal control, #: Significant difference versus adjuvant-induced arthritis group, $: Significant difference versus methotrexate-treated rats </w:t>
      </w:r>
    </w:p>
    <w:p w:rsidR="000D2AAF" w:rsidRPr="00076A94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</w:pP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>Supplementary Fig. 4 V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ascular reactivity in terms of contraction responses to cumulative doses of Norepinephrine 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>(10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  <w:lang w:val="en-GB" w:bidi="ar-EG"/>
        </w:rPr>
        <w:t>-7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 xml:space="preserve"> to 10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  <w:lang w:val="en-GB" w:bidi="ar-EG"/>
        </w:rPr>
        <w:t>-4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 xml:space="preserve"> </w:t>
      </w:r>
      <w:proofErr w:type="spellStart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>mol</w:t>
      </w:r>
      <w:proofErr w:type="spellEnd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 xml:space="preserve">/L) of endothelium-intact 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aortic rings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 w:bidi="ar-EG"/>
        </w:rPr>
        <w:t>showing a significant difference in contraction response between non-treated AIA aortic rings and normal control and also decreased contraction responses of MTX/</w:t>
      </w:r>
      <w:proofErr w:type="spellStart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 w:bidi="ar-EG"/>
        </w:rPr>
        <w:t>AuNPs</w:t>
      </w:r>
      <w:proofErr w:type="spellEnd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 w:bidi="ar-EG"/>
        </w:rPr>
        <w:t>-treated rings at higher concentration.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 xml:space="preserve">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*: Significant difference versus normal control, #: Significant difference versus adjuvant-induced arthritis group. Data are expressed as M</w:t>
      </w:r>
      <w:r w:rsidRPr="00076A94">
        <w:rPr>
          <w:rFonts w:asciiTheme="majorBidi" w:hAnsiTheme="majorBidi" w:cstheme="majorBidi"/>
          <w:sz w:val="24"/>
          <w:szCs w:val="24"/>
          <w:lang w:val="en-GB"/>
        </w:rPr>
        <w:t xml:space="preserve">ean ± S.E.M. (n = 6 aortic rings/group). </w:t>
      </w:r>
      <w:r w:rsidRPr="00076A94">
        <w:rPr>
          <w:rFonts w:asciiTheme="majorBidi" w:hAnsiTheme="majorBidi" w:cstheme="majorBidi"/>
          <w:i/>
          <w:iCs/>
          <w:sz w:val="24"/>
          <w:szCs w:val="24"/>
          <w:lang w:val="en-GB"/>
        </w:rPr>
        <w:t>P</w:t>
      </w:r>
      <w:r w:rsidRPr="00076A94">
        <w:rPr>
          <w:rFonts w:asciiTheme="majorBidi" w:hAnsiTheme="majorBidi" w:cstheme="majorBidi"/>
          <w:sz w:val="24"/>
          <w:szCs w:val="24"/>
          <w:lang w:val="en-GB"/>
        </w:rPr>
        <w:t xml:space="preserve">&lt;0.05, by two-way ANOVA for repeated measures.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 w:bidi="ar-EG"/>
        </w:rPr>
        <w:t xml:space="preserve">NE: norepinephrine; M: Mole;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MTX: methotrexate; MTX/</w:t>
      </w:r>
      <w:proofErr w:type="spellStart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AuNPs</w:t>
      </w:r>
      <w:proofErr w:type="spellEnd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: MTX conjugated to gold nanoparticles.</w:t>
      </w:r>
    </w:p>
    <w:p w:rsidR="000D2AAF" w:rsidRPr="00076A94" w:rsidRDefault="000D2AAF" w:rsidP="000D2AAF">
      <w:pPr>
        <w:spacing w:after="0" w:line="480" w:lineRule="auto"/>
        <w:contextualSpacing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</w:pP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>Supplementary Fig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. 5 Representative photomicrographs of H&amp;E-stained sections of rats’ ankle joint. 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>In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>(</w:t>
      </w:r>
      <w:r w:rsidRPr="00076A94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  <w:lang w:val="en-GB"/>
        </w:rPr>
        <w:t>A&amp;B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 xml:space="preserve">) normal control showing thin synovial membrane of the joint capsule 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>(arrow)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 xml:space="preserve">, the joint space 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>(S)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 xml:space="preserve"> appears of normal width with preserved smooth hyaline articular surfaces. In (</w:t>
      </w:r>
      <w:r w:rsidRPr="00076A94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  <w:lang w:val="en-GB"/>
        </w:rPr>
        <w:t>C&amp;D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 xml:space="preserve">) Non-treated AIA showing thickening of the synovial membrane 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>(double arrows)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 xml:space="preserve"> with congested blood vessels (BV) and </w:t>
      </w:r>
      <w:proofErr w:type="spellStart"/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>edema</w:t>
      </w:r>
      <w:proofErr w:type="spellEnd"/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 xml:space="preserve">. The joint space is narrow 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lastRenderedPageBreak/>
        <w:t xml:space="preserve">with irregular surfaces of the articular hyaline cartilage 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>(arrowhead)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 xml:space="preserve"> and areas of bone erosion 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>(</w:t>
      </w:r>
      <w:r w:rsidRPr="00076A94">
        <w:rPr>
          <w:rFonts w:ascii="Cambria Math" w:eastAsia="Times New Roman" w:hAnsi="Cambria Math" w:cs="Cambria Math"/>
          <w:b/>
          <w:bCs/>
          <w:color w:val="000000" w:themeColor="text1"/>
          <w:sz w:val="24"/>
          <w:szCs w:val="24"/>
          <w:lang w:val="en-GB"/>
        </w:rPr>
        <w:t>⋆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) </w:t>
      </w:r>
    </w:p>
    <w:p w:rsidR="000D2AAF" w:rsidRPr="00076A94" w:rsidRDefault="000D2AAF" w:rsidP="000D2AAF">
      <w:pPr>
        <w:autoSpaceDE w:val="0"/>
        <w:autoSpaceDN w:val="0"/>
        <w:adjustRightInd w:val="0"/>
        <w:spacing w:after="0" w:line="480" w:lineRule="auto"/>
        <w:contextualSpacing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>Supplementary Fig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. 6 Representative photomicrographs of 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rats' femoral tissue sections showing in (</w:t>
      </w:r>
      <w:r w:rsidRPr="00076A94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/>
        </w:rPr>
        <w:t>A-E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). H&amp;E stain and in (</w:t>
      </w:r>
      <w:r w:rsidRPr="00076A94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/>
        </w:rPr>
        <w:t>F-K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) </w:t>
      </w:r>
      <w:proofErr w:type="spellStart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Orcein</w:t>
      </w:r>
      <w:proofErr w:type="spellEnd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 stain of normal control, non-treated AIA, </w:t>
      </w:r>
      <w:proofErr w:type="spellStart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AuNPs</w:t>
      </w:r>
      <w:proofErr w:type="spellEnd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-, MTX-, and MTX/</w:t>
      </w:r>
      <w:proofErr w:type="spellStart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AuNPs</w:t>
      </w:r>
      <w:proofErr w:type="spellEnd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-treated rats, respectively.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E: endothelial cells, m: tunica media, Ad: adventitia, 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>IEL: internal elastic lamella, EEL: external elastic lamella, L: lumen, ACT: adipose connective tissue, V: femoral vein. Note,</w:t>
      </w:r>
      <w:r w:rsidRPr="00076A94">
        <w:rPr>
          <w:rFonts w:ascii="Times New Roman" w:eastAsia="Calibri" w:hAnsi="Times New Roman" w:cs="Times New Roman"/>
          <w:b/>
          <w:bCs/>
          <w:color w:val="000000" w:themeColor="text1"/>
          <w:lang w:val="en-GB"/>
        </w:rPr>
        <w:t xml:space="preserve"> </w:t>
      </w:r>
      <w:r w:rsidRPr="00076A9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prominent vasa </w:t>
      </w:r>
      <w:proofErr w:type="spellStart"/>
      <w:r w:rsidRPr="00076A9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vasorum</w:t>
      </w:r>
      <w:proofErr w:type="spellEnd"/>
      <w:r w:rsidRPr="00076A9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076A9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(arrow), </w:t>
      </w:r>
      <w:r w:rsidRPr="00076A9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thin stretched internal and external elastic laminae, which appeared interrupted in many parts </w:t>
      </w:r>
      <w:r w:rsidRPr="00076A9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en-GB"/>
        </w:rPr>
        <w:t>(arrowhead)</w:t>
      </w:r>
      <w:r w:rsidRPr="00076A9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076A94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smooth muscle </w:t>
      </w:r>
      <w:proofErr w:type="spellStart"/>
      <w:r w:rsidRPr="00076A94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GB"/>
        </w:rPr>
        <w:t>fibers</w:t>
      </w:r>
      <w:proofErr w:type="spellEnd"/>
      <w:r w:rsidRPr="00076A94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showed patchy areas of pale eosinophilic cytoplasm </w:t>
      </w:r>
      <w:r w:rsidRPr="00076A94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>(circle)</w:t>
      </w:r>
      <w:r w:rsidRPr="00076A94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. </w:t>
      </w:r>
    </w:p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 w:bidi="ar-EG"/>
        </w:rPr>
        <w:t>Supplementary Fig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. 7 Representative photomicrographs of </w:t>
      </w:r>
      <w:r w:rsidRPr="00076A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immunohistochemically stained 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rats' femoral tissue sections with </w:t>
      </w:r>
      <w:r w:rsidRPr="00076A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alpha-smooth muscle actin antibody (HRP/DAB)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 of normal control, non-treated AIA, </w:t>
      </w:r>
      <w:proofErr w:type="spellStart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AuNPs</w:t>
      </w:r>
      <w:proofErr w:type="spellEnd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-, MTX-, and MTX/</w:t>
      </w:r>
      <w:proofErr w:type="spellStart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AuNPs</w:t>
      </w:r>
      <w:proofErr w:type="spellEnd"/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-treated rats, respectively in (</w:t>
      </w:r>
      <w:r w:rsidRPr="00076A94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/>
        </w:rPr>
        <w:t>A-F)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,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where, E: endothelial cells, Ad: adventitia. Note, </w:t>
      </w:r>
      <w:r w:rsidRPr="00076A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areas of weak immune-reactivity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 xml:space="preserve"> 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>(circle)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>,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Pr="00076A9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areas of evident immune-reactivity </w:t>
      </w:r>
      <w:r w:rsidRPr="00076A9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en-GB"/>
        </w:rPr>
        <w:t>(yellow circle)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>,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Pr="00076A9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smaller vessels surrounding femoral artery with disorganized irregular lumens</w:t>
      </w:r>
      <w:r w:rsidRPr="00076A94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 (arrowhead)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 xml:space="preserve">, </w:t>
      </w:r>
      <w:r w:rsidRPr="00076A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smaller vessels with disorganized irregular lumens </w:t>
      </w:r>
      <w:r w:rsidRPr="00076A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(arrow)</w:t>
      </w:r>
      <w:r w:rsidRPr="00076A9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GB"/>
        </w:rPr>
        <w:t xml:space="preserve">. 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While </w:t>
      </w:r>
      <w:r w:rsidRPr="00076A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bidi="ar-EG"/>
        </w:rPr>
        <w:t>(</w:t>
      </w:r>
      <w:r w:rsidRPr="00076A9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 w:bidi="ar-EG"/>
        </w:rPr>
        <w:t>F</w:t>
      </w:r>
      <w:r w:rsidRPr="00076A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bidi="ar-EG"/>
        </w:rPr>
        <w:t xml:space="preserve">) showed </w:t>
      </w:r>
      <w:r w:rsidRPr="00076A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percentage of femoral </w:t>
      </w:r>
      <w:r w:rsidRPr="00076A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bidi="ar-EG"/>
        </w:rPr>
        <w:t xml:space="preserve">α-SMA </w:t>
      </w:r>
      <w:proofErr w:type="spellStart"/>
      <w:r w:rsidRPr="00076A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bidi="ar-EG"/>
        </w:rPr>
        <w:t>immunohistochemical</w:t>
      </w:r>
      <w:proofErr w:type="spellEnd"/>
      <w:r w:rsidRPr="00076A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bidi="ar-EG"/>
        </w:rPr>
        <w:t xml:space="preserve"> area.</w:t>
      </w:r>
      <w:r w:rsidRPr="00076A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bidi="ar-EG"/>
        </w:rPr>
        <w:t xml:space="preserve">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MTX: methotrexate, MTX/</w:t>
      </w:r>
      <w:proofErr w:type="spellStart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AuPs</w:t>
      </w:r>
      <w:proofErr w:type="spellEnd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: methotrexate conjugated to </w:t>
      </w:r>
      <w:proofErr w:type="spellStart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AuNPs</w:t>
      </w:r>
      <w:proofErr w:type="spellEnd"/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. </w:t>
      </w:r>
      <w:r w:rsidRPr="00076A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bidi="ar-EG"/>
        </w:rPr>
        <w:t xml:space="preserve">Number of rats/group =10.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 w:bidi="ar-EG"/>
        </w:rPr>
        <w:t xml:space="preserve">Data are expressed as means ± SEM. </w:t>
      </w:r>
      <w:r w:rsidRPr="00076A94">
        <w:rPr>
          <w:rFonts w:asciiTheme="majorBidi" w:hAnsiTheme="majorBidi" w:cstheme="majorBidi"/>
          <w:i/>
          <w:iCs/>
          <w:lang w:val="en-GB"/>
        </w:rPr>
        <w:t>p</w:t>
      </w:r>
      <w:r w:rsidRPr="00076A94">
        <w:rPr>
          <w:rFonts w:asciiTheme="majorBidi" w:eastAsiaTheme="minorEastAsia" w:hAnsiTheme="majorBidi" w:cstheme="majorBidi"/>
          <w:lang w:val="en-GB"/>
        </w:rPr>
        <w:t xml:space="preserve">&lt; 0.05 </w:t>
      </w:r>
      <w:r w:rsidRPr="00076A9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*: Significant difference versus normal control, #: Significant difference versus adjuvant-induced arthritis group.</w:t>
      </w:r>
    </w:p>
    <w:p w:rsidR="00974631" w:rsidRDefault="00974631"/>
    <w:p w:rsidR="000D2AAF" w:rsidRDefault="000D2AAF"/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</w:p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  <w:r w:rsidRPr="002F73D0">
        <w:rPr>
          <w:rFonts w:asciiTheme="majorBidi" w:hAnsiTheme="majorBidi" w:cstheme="majorBidi"/>
          <w:noProof/>
          <w:color w:val="000000" w:themeColor="text1"/>
          <w:lang w:eastAsia="en-IN"/>
        </w:rPr>
        <w:lastRenderedPageBreak/>
        <w:drawing>
          <wp:inline distT="0" distB="0" distL="0" distR="0" wp14:anchorId="318879FE" wp14:editId="5BBCCA0E">
            <wp:extent cx="6159500" cy="50184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501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</w:p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  <w:r w:rsidRPr="002F73D0">
        <w:rPr>
          <w:rFonts w:asciiTheme="majorBidi" w:hAnsiTheme="majorBidi" w:cstheme="majorBidi"/>
          <w:noProof/>
          <w:color w:val="000000" w:themeColor="text1"/>
          <w:lang w:eastAsia="en-IN"/>
        </w:rPr>
        <w:drawing>
          <wp:inline distT="0" distB="0" distL="0" distR="0" wp14:anchorId="74A0718B" wp14:editId="4A30E85E">
            <wp:extent cx="4001770" cy="14487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011" cy="144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</w:p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  <w:r w:rsidRPr="002F73D0">
        <w:rPr>
          <w:rFonts w:asciiTheme="majorBidi" w:hAnsiTheme="majorBidi" w:cstheme="majorBidi"/>
          <w:noProof/>
          <w:color w:val="000000" w:themeColor="text1"/>
          <w:lang w:eastAsia="en-IN"/>
        </w:rPr>
        <w:lastRenderedPageBreak/>
        <w:drawing>
          <wp:inline distT="0" distB="0" distL="0" distR="0" wp14:anchorId="514F3630" wp14:editId="66DEB9AF">
            <wp:extent cx="6965315" cy="5215890"/>
            <wp:effectExtent l="0" t="0" r="698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521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</w:p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  <w:r w:rsidRPr="002F73D0">
        <w:rPr>
          <w:rFonts w:asciiTheme="majorBidi" w:hAnsiTheme="majorBidi" w:cstheme="majorBidi"/>
          <w:noProof/>
          <w:color w:val="000000" w:themeColor="text1"/>
          <w:lang w:eastAsia="en-IN"/>
        </w:rPr>
        <w:lastRenderedPageBreak/>
        <w:drawing>
          <wp:inline distT="0" distB="0" distL="0" distR="0" wp14:anchorId="09865E25" wp14:editId="02D676AE">
            <wp:extent cx="6655435" cy="51047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510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</w:p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  <w:r w:rsidRPr="002F73D0">
        <w:rPr>
          <w:rFonts w:asciiTheme="majorBidi" w:hAnsiTheme="majorBidi" w:cstheme="majorBidi"/>
          <w:noProof/>
          <w:color w:val="000000" w:themeColor="text1"/>
          <w:lang w:eastAsia="en-IN"/>
        </w:rPr>
        <w:lastRenderedPageBreak/>
        <w:drawing>
          <wp:inline distT="0" distB="0" distL="0" distR="0" wp14:anchorId="78939E64" wp14:editId="52305079">
            <wp:extent cx="6623685" cy="5359400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53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AAF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  <w:r w:rsidRPr="002F73D0">
        <w:rPr>
          <w:rFonts w:asciiTheme="majorBidi" w:hAnsiTheme="majorBidi" w:cstheme="majorBidi"/>
          <w:noProof/>
          <w:color w:val="000000" w:themeColor="text1"/>
          <w:lang w:eastAsia="en-IN"/>
        </w:rPr>
        <w:lastRenderedPageBreak/>
        <w:drawing>
          <wp:inline distT="0" distB="0" distL="0" distR="0" wp14:anchorId="228C2353" wp14:editId="7533FA2C">
            <wp:extent cx="4253865" cy="69176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691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AAF" w:rsidRPr="00076A94" w:rsidRDefault="000D2AAF" w:rsidP="000D2AAF">
      <w:pPr>
        <w:spacing w:after="0" w:line="480" w:lineRule="auto"/>
        <w:contextualSpacing/>
        <w:rPr>
          <w:rFonts w:asciiTheme="majorBidi" w:hAnsiTheme="majorBidi" w:cstheme="majorBidi"/>
          <w:color w:val="000000" w:themeColor="text1"/>
          <w:lang w:val="en-GB" w:bidi="ar-EG"/>
        </w:rPr>
      </w:pPr>
      <w:r w:rsidRPr="002F73D0">
        <w:rPr>
          <w:rFonts w:asciiTheme="majorBidi" w:hAnsiTheme="majorBidi" w:cstheme="majorBidi"/>
          <w:noProof/>
          <w:color w:val="000000" w:themeColor="text1"/>
          <w:lang w:eastAsia="en-IN"/>
        </w:rPr>
        <w:lastRenderedPageBreak/>
        <w:drawing>
          <wp:inline distT="0" distB="0" distL="0" distR="0" wp14:anchorId="66114DB6" wp14:editId="40DF3654">
            <wp:extent cx="5327650" cy="6655435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2AAF" w:rsidRDefault="000D2AAF"/>
    <w:sectPr w:rsidR="000D2AAF" w:rsidSect="000D2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AF"/>
    <w:rsid w:val="000D2AAF"/>
    <w:rsid w:val="002B1DDE"/>
    <w:rsid w:val="00577F26"/>
    <w:rsid w:val="00974631"/>
    <w:rsid w:val="009E7426"/>
    <w:rsid w:val="00A4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D993C2-0187-4AA2-97AE-61FB3571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Ganesan</dc:creator>
  <cp:keywords/>
  <dc:description/>
  <cp:lastModifiedBy>Lavanya Ganesan</cp:lastModifiedBy>
  <cp:revision>1</cp:revision>
  <dcterms:created xsi:type="dcterms:W3CDTF">2022-11-19T06:16:00Z</dcterms:created>
  <dcterms:modified xsi:type="dcterms:W3CDTF">2022-11-19T06:18:00Z</dcterms:modified>
</cp:coreProperties>
</file>