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E7F3" w14:textId="017E1F79" w:rsidR="008422FB" w:rsidRDefault="008422FB" w:rsidP="008422FB">
      <w:pPr>
        <w:spacing w:line="480" w:lineRule="auto"/>
        <w:jc w:val="both"/>
        <w:rPr>
          <w:rFonts w:ascii="Arial" w:hAnsi="Arial" w:cs="Arial"/>
          <w:u w:val="single"/>
          <w:lang w:val="en-AU"/>
        </w:rPr>
      </w:pPr>
      <w:r w:rsidRPr="008422FB">
        <w:rPr>
          <w:rFonts w:ascii="Arial" w:hAnsi="Arial" w:cs="Arial"/>
          <w:u w:val="single"/>
          <w:lang w:val="en-AU"/>
        </w:rPr>
        <w:t>Supplementary Methods</w:t>
      </w:r>
    </w:p>
    <w:p w14:paraId="79C84108" w14:textId="6BE183AF" w:rsidR="006363FE" w:rsidRPr="006363FE" w:rsidRDefault="006363FE" w:rsidP="008422FB">
      <w:pPr>
        <w:spacing w:line="480" w:lineRule="auto"/>
        <w:jc w:val="both"/>
        <w:rPr>
          <w:rFonts w:ascii="Arial" w:hAnsi="Arial" w:cs="Arial"/>
          <w:b/>
          <w:bCs/>
          <w:lang w:val="en-AU"/>
        </w:rPr>
      </w:pPr>
      <w:r w:rsidRPr="006363FE">
        <w:rPr>
          <w:rFonts w:ascii="Arial" w:hAnsi="Arial" w:cs="Arial"/>
          <w:b/>
          <w:bCs/>
          <w:lang w:val="en-AU"/>
        </w:rPr>
        <w:t>Single-cell RNA seq workflow</w:t>
      </w:r>
    </w:p>
    <w:p w14:paraId="19624FD3" w14:textId="3B5C9C2B" w:rsidR="008422FB" w:rsidRPr="007470BF" w:rsidRDefault="008422FB" w:rsidP="008422FB">
      <w:pPr>
        <w:spacing w:line="480" w:lineRule="auto"/>
        <w:jc w:val="both"/>
        <w:rPr>
          <w:rFonts w:ascii="Arial" w:hAnsi="Arial" w:cs="Arial"/>
          <w:lang w:val="en-AU"/>
        </w:rPr>
      </w:pPr>
      <w:proofErr w:type="spellStart"/>
      <w:r w:rsidRPr="007470BF">
        <w:rPr>
          <w:rFonts w:ascii="Arial" w:hAnsi="Arial" w:cs="Arial"/>
          <w:lang w:val="en-AU"/>
        </w:rPr>
        <w:t>HIVEs</w:t>
      </w:r>
      <w:r w:rsidRPr="007470BF">
        <w:rPr>
          <w:rFonts w:ascii="Arial" w:hAnsi="Arial" w:cs="Arial"/>
          <w:vertAlign w:val="superscript"/>
          <w:lang w:val="en-AU"/>
        </w:rPr>
        <w:t>TM</w:t>
      </w:r>
      <w:proofErr w:type="spellEnd"/>
      <w:r w:rsidRPr="007470BF">
        <w:rPr>
          <w:rFonts w:ascii="Arial" w:hAnsi="Arial" w:cs="Arial"/>
          <w:lang w:val="en-AU"/>
        </w:rPr>
        <w:t xml:space="preserve"> were then placed onto a spin plate and spun at 30 x </w:t>
      </w:r>
      <w:r w:rsidRPr="007470BF">
        <w:rPr>
          <w:rFonts w:ascii="Arial" w:hAnsi="Arial" w:cs="Arial"/>
          <w:i/>
          <w:iCs/>
          <w:lang w:val="en-AU"/>
        </w:rPr>
        <w:t>g</w:t>
      </w:r>
      <w:r w:rsidRPr="007470BF">
        <w:rPr>
          <w:rFonts w:ascii="Arial" w:hAnsi="Arial" w:cs="Arial"/>
          <w:lang w:val="en-AU"/>
        </w:rPr>
        <w:t xml:space="preserve"> for 3 minutes to allow the single-cells to settle into </w:t>
      </w:r>
      <w:proofErr w:type="spellStart"/>
      <w:r w:rsidRPr="007470BF">
        <w:rPr>
          <w:rFonts w:ascii="Arial" w:hAnsi="Arial" w:cs="Arial"/>
          <w:lang w:val="en-AU"/>
        </w:rPr>
        <w:t>picowells</w:t>
      </w:r>
      <w:proofErr w:type="spellEnd"/>
      <w:r w:rsidRPr="007470BF">
        <w:rPr>
          <w:rFonts w:ascii="Arial" w:hAnsi="Arial" w:cs="Arial"/>
          <w:lang w:val="en-AU"/>
        </w:rPr>
        <w:t xml:space="preserve"> containing 3’ transcript-capture beads. The solution was removed from the HIVE</w:t>
      </w:r>
      <w:r w:rsidRPr="007470BF">
        <w:rPr>
          <w:rFonts w:ascii="Arial" w:hAnsi="Arial" w:cs="Arial"/>
          <w:vertAlign w:val="superscript"/>
          <w:lang w:val="en-AU"/>
        </w:rPr>
        <w:t xml:space="preserve">TM </w:t>
      </w:r>
      <w:r w:rsidRPr="007470BF">
        <w:rPr>
          <w:rFonts w:ascii="Arial" w:hAnsi="Arial" w:cs="Arial"/>
          <w:lang w:val="en-AU"/>
        </w:rPr>
        <w:t>devices, and 2 mL sample wash solution (provided in kit) was added to each. The sample wash solution was removed, and the cell-loaded HIVEs™ were frozen at -80 °C after the addition of 2 mL cell preservation solution (provided in kit), before being transferred to Australian Genome Research Facility (AGRF Ltd, Westmead) and processed through to single-cell NGS libraries.</w:t>
      </w:r>
    </w:p>
    <w:p w14:paraId="6B9D1AA1" w14:textId="77777777" w:rsidR="008422FB" w:rsidRPr="007470BF" w:rsidRDefault="008422FB" w:rsidP="008422FB">
      <w:pPr>
        <w:spacing w:line="480" w:lineRule="auto"/>
        <w:jc w:val="both"/>
        <w:rPr>
          <w:rFonts w:ascii="Arial" w:hAnsi="Arial" w:cs="Arial"/>
          <w:lang w:val="en-AU"/>
        </w:rPr>
      </w:pPr>
    </w:p>
    <w:p w14:paraId="05138F8C" w14:textId="40720153" w:rsidR="008422FB" w:rsidRDefault="008422FB" w:rsidP="008422FB">
      <w:pPr>
        <w:spacing w:line="480" w:lineRule="auto"/>
        <w:jc w:val="both"/>
        <w:rPr>
          <w:rFonts w:ascii="Arial" w:hAnsi="Arial" w:cs="Arial"/>
          <w:lang w:val="en-AU"/>
        </w:rPr>
      </w:pPr>
      <w:r w:rsidRPr="007470BF">
        <w:rPr>
          <w:rFonts w:ascii="Arial" w:hAnsi="Arial" w:cs="Arial"/>
          <w:lang w:val="en-AU"/>
        </w:rPr>
        <w:t>Following standard protocol, cell-loaded HIVE</w:t>
      </w:r>
      <w:r w:rsidRPr="007470BF">
        <w:rPr>
          <w:rFonts w:ascii="Arial" w:hAnsi="Arial" w:cs="Arial"/>
          <w:vertAlign w:val="superscript"/>
          <w:lang w:val="en-AU"/>
        </w:rPr>
        <w:t>TM</w:t>
      </w:r>
      <w:r w:rsidRPr="007470BF">
        <w:rPr>
          <w:rFonts w:ascii="Arial" w:hAnsi="Arial" w:cs="Arial"/>
          <w:lang w:val="en-AU"/>
        </w:rPr>
        <w:t xml:space="preserve"> devices were sealed with a semi- permeable membrane, allowing for the use of the strong lysis solution followed by the addition of hybridization solution. After collection, beads with captured transcripts were extracted from the HIVE</w:t>
      </w:r>
      <w:r w:rsidRPr="007470BF">
        <w:rPr>
          <w:rFonts w:ascii="Arial" w:hAnsi="Arial" w:cs="Arial"/>
          <w:vertAlign w:val="superscript"/>
          <w:lang w:val="en-AU"/>
        </w:rPr>
        <w:t>TM</w:t>
      </w:r>
      <w:r w:rsidRPr="007470BF">
        <w:rPr>
          <w:rFonts w:ascii="Arial" w:hAnsi="Arial" w:cs="Arial"/>
          <w:lang w:val="en-AU"/>
        </w:rPr>
        <w:t xml:space="preserve"> device by centrifugation. The remaining HIVE</w:t>
      </w:r>
      <w:r w:rsidRPr="007470BF">
        <w:rPr>
          <w:rFonts w:ascii="Arial" w:hAnsi="Arial" w:cs="Arial"/>
          <w:vertAlign w:val="superscript"/>
          <w:lang w:val="en-AU"/>
        </w:rPr>
        <w:t>TM</w:t>
      </w:r>
      <w:r w:rsidRPr="007470BF">
        <w:rPr>
          <w:rFonts w:ascii="Arial" w:hAnsi="Arial" w:cs="Arial"/>
          <w:lang w:val="en-AU"/>
        </w:rPr>
        <w:t xml:space="preserve"> library preparation steps were conducted in a 96-well plate format. The size distribution and quality of the final libraries were determined on a </w:t>
      </w:r>
      <w:proofErr w:type="spellStart"/>
      <w:r w:rsidRPr="007470BF">
        <w:rPr>
          <w:rFonts w:ascii="Arial" w:hAnsi="Arial" w:cs="Arial"/>
          <w:lang w:val="en-AU"/>
        </w:rPr>
        <w:t>TapeStation</w:t>
      </w:r>
      <w:proofErr w:type="spellEnd"/>
      <w:r w:rsidRPr="007470BF">
        <w:rPr>
          <w:rFonts w:ascii="Arial" w:hAnsi="Arial" w:cs="Arial"/>
          <w:lang w:val="en-AU"/>
        </w:rPr>
        <w:t xml:space="preserve"> </w:t>
      </w:r>
      <w:r w:rsidR="00705F0F">
        <w:rPr>
          <w:rFonts w:ascii="Arial" w:hAnsi="Arial" w:cs="Arial"/>
          <w:lang w:val="en-AU"/>
        </w:rPr>
        <w:t>42</w:t>
      </w:r>
      <w:r w:rsidRPr="007470BF">
        <w:rPr>
          <w:rFonts w:ascii="Arial" w:hAnsi="Arial" w:cs="Arial"/>
          <w:lang w:val="en-AU"/>
        </w:rPr>
        <w:t xml:space="preserve">00 platform with HD5000 </w:t>
      </w:r>
      <w:proofErr w:type="spellStart"/>
      <w:r w:rsidRPr="007470BF">
        <w:rPr>
          <w:rFonts w:ascii="Arial" w:hAnsi="Arial" w:cs="Arial"/>
          <w:lang w:val="en-AU"/>
        </w:rPr>
        <w:t>ScreenTape</w:t>
      </w:r>
      <w:proofErr w:type="spellEnd"/>
      <w:r w:rsidRPr="007470BF">
        <w:rPr>
          <w:rFonts w:ascii="Arial" w:hAnsi="Arial" w:cs="Arial"/>
          <w:lang w:val="en-AU"/>
        </w:rPr>
        <w:t xml:space="preserve"> System (Agilent Technologies, Santa Clara, CA, USA). The concentration of final pooled libraries was determined by qPCR. HIVE</w:t>
      </w:r>
      <w:r w:rsidRPr="007470BF">
        <w:rPr>
          <w:rFonts w:ascii="Arial" w:hAnsi="Arial" w:cs="Arial"/>
          <w:vertAlign w:val="superscript"/>
          <w:lang w:val="en-AU"/>
        </w:rPr>
        <w:t>TM</w:t>
      </w:r>
      <w:r w:rsidRPr="007470BF">
        <w:rPr>
          <w:rFonts w:ascii="Arial" w:hAnsi="Arial" w:cs="Arial"/>
          <w:lang w:val="en-AU"/>
        </w:rPr>
        <w:t xml:space="preserve"> scRNAseq libraries were sequenced using specific primers contained in the kit on an Illumina® </w:t>
      </w:r>
      <w:proofErr w:type="spellStart"/>
      <w:r w:rsidRPr="007470BF">
        <w:rPr>
          <w:rFonts w:ascii="Arial" w:hAnsi="Arial" w:cs="Arial"/>
          <w:lang w:val="en-AU"/>
        </w:rPr>
        <w:t>NovaSeq</w:t>
      </w:r>
      <w:proofErr w:type="spellEnd"/>
      <w:r w:rsidRPr="007470BF">
        <w:rPr>
          <w:rFonts w:ascii="Arial" w:hAnsi="Arial" w:cs="Arial"/>
          <w:lang w:val="en-AU"/>
        </w:rPr>
        <w:t>® X platform (AGRF Ltd, Melbourne).</w:t>
      </w:r>
    </w:p>
    <w:p w14:paraId="0EC5B0FC" w14:textId="77777777" w:rsidR="006363FE" w:rsidRDefault="006363FE" w:rsidP="008422FB">
      <w:pPr>
        <w:spacing w:line="480" w:lineRule="auto"/>
        <w:jc w:val="both"/>
        <w:rPr>
          <w:rFonts w:ascii="Arial" w:hAnsi="Arial" w:cs="Arial"/>
          <w:b/>
          <w:bCs/>
          <w:lang w:val="en-AU"/>
        </w:rPr>
      </w:pPr>
    </w:p>
    <w:p w14:paraId="0DA9A4CB" w14:textId="77777777" w:rsidR="009C5031" w:rsidRDefault="009C5031" w:rsidP="008422FB">
      <w:pPr>
        <w:spacing w:line="480" w:lineRule="auto"/>
        <w:jc w:val="both"/>
        <w:rPr>
          <w:rFonts w:ascii="Arial" w:hAnsi="Arial" w:cs="Arial"/>
          <w:b/>
          <w:bCs/>
          <w:lang w:val="en-AU"/>
        </w:rPr>
      </w:pPr>
    </w:p>
    <w:p w14:paraId="35D8B549" w14:textId="77777777" w:rsidR="009C5031" w:rsidRPr="006363FE" w:rsidRDefault="009C5031" w:rsidP="008422FB">
      <w:pPr>
        <w:spacing w:line="480" w:lineRule="auto"/>
        <w:jc w:val="both"/>
        <w:rPr>
          <w:rFonts w:ascii="Arial" w:hAnsi="Arial" w:cs="Arial"/>
          <w:b/>
          <w:bCs/>
          <w:lang w:val="en-AU"/>
        </w:rPr>
      </w:pPr>
    </w:p>
    <w:p w14:paraId="0D4FE54B" w14:textId="4CE1E697" w:rsidR="006363FE" w:rsidRPr="006363FE" w:rsidRDefault="006363FE" w:rsidP="008422FB">
      <w:pPr>
        <w:spacing w:line="480" w:lineRule="auto"/>
        <w:jc w:val="both"/>
        <w:rPr>
          <w:rFonts w:ascii="Arial" w:hAnsi="Arial" w:cs="Arial"/>
          <w:b/>
          <w:bCs/>
          <w:lang w:val="en-AU"/>
        </w:rPr>
      </w:pPr>
      <w:r w:rsidRPr="006363FE">
        <w:rPr>
          <w:rFonts w:ascii="Arial" w:hAnsi="Arial" w:cs="Arial"/>
          <w:b/>
          <w:bCs/>
          <w:lang w:val="en-AU"/>
        </w:rPr>
        <w:lastRenderedPageBreak/>
        <w:t xml:space="preserve">Bioinformatic analysis </w:t>
      </w:r>
    </w:p>
    <w:p w14:paraId="3E787AA7" w14:textId="2F0637AE" w:rsidR="006363FE" w:rsidRPr="007470BF" w:rsidRDefault="006363FE" w:rsidP="008422FB">
      <w:pPr>
        <w:spacing w:line="480" w:lineRule="auto"/>
        <w:jc w:val="both"/>
        <w:rPr>
          <w:rFonts w:ascii="Arial" w:hAnsi="Arial" w:cs="Arial"/>
          <w:lang w:val="en-AU"/>
        </w:rPr>
      </w:pPr>
      <w:r w:rsidRPr="007470BF">
        <w:rPr>
          <w:rFonts w:ascii="Arial" w:hAnsi="Arial" w:cs="Arial"/>
          <w:lang w:val="en-AU"/>
        </w:rPr>
        <w:t xml:space="preserve">Normalisation was performed using </w:t>
      </w:r>
      <w:proofErr w:type="spellStart"/>
      <w:r w:rsidRPr="007470BF">
        <w:rPr>
          <w:rFonts w:ascii="Arial" w:hAnsi="Arial" w:cs="Arial"/>
          <w:i/>
          <w:iCs/>
          <w:lang w:val="en-AU"/>
        </w:rPr>
        <w:t>SCTransform</w:t>
      </w:r>
      <w:proofErr w:type="spellEnd"/>
      <w:r w:rsidRPr="007470BF">
        <w:rPr>
          <w:rFonts w:ascii="Arial" w:hAnsi="Arial" w:cs="Arial"/>
          <w:lang w:val="en-AU"/>
        </w:rPr>
        <w:t xml:space="preserve"> and immune cell types were assigned with </w:t>
      </w:r>
      <w:proofErr w:type="spellStart"/>
      <w:r w:rsidRPr="007470BF">
        <w:rPr>
          <w:rFonts w:ascii="Arial" w:hAnsi="Arial" w:cs="Arial"/>
          <w:i/>
          <w:iCs/>
          <w:lang w:val="en-AU"/>
        </w:rPr>
        <w:t>scType</w:t>
      </w:r>
      <w:proofErr w:type="spellEnd"/>
      <w:r w:rsidRPr="007470BF">
        <w:rPr>
          <w:rFonts w:ascii="Arial" w:hAnsi="Arial" w:cs="Arial"/>
          <w:lang w:val="en-AU"/>
        </w:rPr>
        <w:t xml:space="preserve"> and </w:t>
      </w:r>
      <w:proofErr w:type="spellStart"/>
      <w:r w:rsidRPr="007470BF">
        <w:rPr>
          <w:rFonts w:ascii="Arial" w:hAnsi="Arial" w:cs="Arial"/>
          <w:i/>
          <w:iCs/>
          <w:lang w:val="en-AU"/>
        </w:rPr>
        <w:t>scPred</w:t>
      </w:r>
      <w:proofErr w:type="spellEnd"/>
      <w:r w:rsidRPr="007470BF">
        <w:rPr>
          <w:rFonts w:ascii="Arial" w:hAnsi="Arial" w:cs="Arial"/>
          <w:lang w:val="en-AU"/>
        </w:rPr>
        <w:t>. Merged data were then split by cell type and normalised, scaled, and integrated between patients using harmony, then UMAP (uniform manifold approximation and projection) projections were made using the first 30 dimensions. Differentially expressed genes were identified using </w:t>
      </w:r>
      <w:proofErr w:type="spellStart"/>
      <w:r w:rsidRPr="007470BF">
        <w:rPr>
          <w:rFonts w:ascii="Arial" w:hAnsi="Arial" w:cs="Arial"/>
          <w:i/>
          <w:iCs/>
          <w:lang w:val="en-AU"/>
        </w:rPr>
        <w:t>FindMarkers</w:t>
      </w:r>
      <w:proofErr w:type="spellEnd"/>
      <w:r w:rsidRPr="007470BF">
        <w:rPr>
          <w:rFonts w:ascii="Arial" w:hAnsi="Arial" w:cs="Arial"/>
          <w:i/>
          <w:iCs/>
          <w:lang w:val="en-AU"/>
        </w:rPr>
        <w:t>.</w:t>
      </w:r>
    </w:p>
    <w:p w14:paraId="4388A533" w14:textId="77777777" w:rsidR="009E4F4E" w:rsidRDefault="009E4F4E"/>
    <w:sectPr w:rsidR="009E4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FB"/>
    <w:rsid w:val="00052201"/>
    <w:rsid w:val="002A10F5"/>
    <w:rsid w:val="006363FE"/>
    <w:rsid w:val="00705F0F"/>
    <w:rsid w:val="0082582A"/>
    <w:rsid w:val="008422FB"/>
    <w:rsid w:val="00871D39"/>
    <w:rsid w:val="0090703E"/>
    <w:rsid w:val="0094008A"/>
    <w:rsid w:val="009915B0"/>
    <w:rsid w:val="009C5031"/>
    <w:rsid w:val="009E4F4E"/>
    <w:rsid w:val="00B05FF9"/>
    <w:rsid w:val="00CE6AEA"/>
    <w:rsid w:val="00D81986"/>
    <w:rsid w:val="00E244A8"/>
    <w:rsid w:val="00ED3896"/>
    <w:rsid w:val="00F3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359588"/>
  <w15:chartTrackingRefBased/>
  <w15:docId w15:val="{0E7052D0-760A-9148-8358-29936668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2FB"/>
    <w:pPr>
      <w:spacing w:after="0" w:line="240" w:lineRule="auto"/>
    </w:pPr>
    <w:rPr>
      <w:lang w:val="en-SG"/>
    </w:rPr>
  </w:style>
  <w:style w:type="paragraph" w:styleId="Heading1">
    <w:name w:val="heading 1"/>
    <w:basedOn w:val="Normal"/>
    <w:next w:val="Normal"/>
    <w:link w:val="Heading1Char"/>
    <w:uiPriority w:val="9"/>
    <w:qFormat/>
    <w:rsid w:val="008422F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8422F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8422FB"/>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8422FB"/>
    <w:pPr>
      <w:keepNext/>
      <w:keepLines/>
      <w:spacing w:before="80" w:after="40" w:line="278" w:lineRule="auto"/>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8422FB"/>
    <w:pPr>
      <w:keepNext/>
      <w:keepLines/>
      <w:spacing w:before="80" w:after="40" w:line="278" w:lineRule="auto"/>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8422FB"/>
    <w:pPr>
      <w:keepNext/>
      <w:keepLines/>
      <w:spacing w:before="40" w:line="278" w:lineRule="auto"/>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8422FB"/>
    <w:pPr>
      <w:keepNext/>
      <w:keepLines/>
      <w:spacing w:before="40" w:line="278" w:lineRule="auto"/>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8422FB"/>
    <w:pPr>
      <w:keepNext/>
      <w:keepLines/>
      <w:spacing w:line="278" w:lineRule="auto"/>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8422FB"/>
    <w:pPr>
      <w:keepNext/>
      <w:keepLines/>
      <w:spacing w:line="278" w:lineRule="auto"/>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2FB"/>
    <w:rPr>
      <w:rFonts w:eastAsiaTheme="majorEastAsia" w:cstheme="majorBidi"/>
      <w:color w:val="272727" w:themeColor="text1" w:themeTint="D8"/>
    </w:rPr>
  </w:style>
  <w:style w:type="paragraph" w:styleId="Title">
    <w:name w:val="Title"/>
    <w:basedOn w:val="Normal"/>
    <w:next w:val="Normal"/>
    <w:link w:val="TitleChar"/>
    <w:uiPriority w:val="10"/>
    <w:qFormat/>
    <w:rsid w:val="008422FB"/>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842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2FB"/>
    <w:pPr>
      <w:numPr>
        <w:ilvl w:val="1"/>
      </w:numPr>
      <w:spacing w:after="160"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842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2FB"/>
    <w:pPr>
      <w:spacing w:before="160" w:after="160" w:line="278" w:lineRule="auto"/>
      <w:jc w:val="center"/>
    </w:pPr>
    <w:rPr>
      <w:i/>
      <w:iCs/>
      <w:color w:val="404040" w:themeColor="text1" w:themeTint="BF"/>
      <w:lang w:val="en-US"/>
    </w:rPr>
  </w:style>
  <w:style w:type="character" w:customStyle="1" w:styleId="QuoteChar">
    <w:name w:val="Quote Char"/>
    <w:basedOn w:val="DefaultParagraphFont"/>
    <w:link w:val="Quote"/>
    <w:uiPriority w:val="29"/>
    <w:rsid w:val="008422FB"/>
    <w:rPr>
      <w:i/>
      <w:iCs/>
      <w:color w:val="404040" w:themeColor="text1" w:themeTint="BF"/>
    </w:rPr>
  </w:style>
  <w:style w:type="paragraph" w:styleId="ListParagraph">
    <w:name w:val="List Paragraph"/>
    <w:basedOn w:val="Normal"/>
    <w:uiPriority w:val="34"/>
    <w:qFormat/>
    <w:rsid w:val="008422FB"/>
    <w:pPr>
      <w:spacing w:after="160" w:line="278" w:lineRule="auto"/>
      <w:ind w:left="720"/>
      <w:contextualSpacing/>
    </w:pPr>
    <w:rPr>
      <w:lang w:val="en-US"/>
    </w:rPr>
  </w:style>
  <w:style w:type="character" w:styleId="IntenseEmphasis">
    <w:name w:val="Intense Emphasis"/>
    <w:basedOn w:val="DefaultParagraphFont"/>
    <w:uiPriority w:val="21"/>
    <w:qFormat/>
    <w:rsid w:val="008422FB"/>
    <w:rPr>
      <w:i/>
      <w:iCs/>
      <w:color w:val="0F4761" w:themeColor="accent1" w:themeShade="BF"/>
    </w:rPr>
  </w:style>
  <w:style w:type="paragraph" w:styleId="IntenseQuote">
    <w:name w:val="Intense Quote"/>
    <w:basedOn w:val="Normal"/>
    <w:next w:val="Normal"/>
    <w:link w:val="IntenseQuoteChar"/>
    <w:uiPriority w:val="30"/>
    <w:qFormat/>
    <w:rsid w:val="008422F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8422FB"/>
    <w:rPr>
      <w:i/>
      <w:iCs/>
      <w:color w:val="0F4761" w:themeColor="accent1" w:themeShade="BF"/>
    </w:rPr>
  </w:style>
  <w:style w:type="character" w:styleId="IntenseReference">
    <w:name w:val="Intense Reference"/>
    <w:basedOn w:val="DefaultParagraphFont"/>
    <w:uiPriority w:val="32"/>
    <w:qFormat/>
    <w:rsid w:val="008422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1574</Characters>
  <Application>Microsoft Office Word</Application>
  <DocSecurity>0</DocSecurity>
  <Lines>27</Lines>
  <Paragraphs>6</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Xinying Velda</dc:creator>
  <cp:keywords/>
  <dc:description/>
  <cp:lastModifiedBy>Han Xinying Velda</cp:lastModifiedBy>
  <cp:revision>4</cp:revision>
  <dcterms:created xsi:type="dcterms:W3CDTF">2026-01-14T23:31:00Z</dcterms:created>
  <dcterms:modified xsi:type="dcterms:W3CDTF">2026-01-27T14:04:00Z</dcterms:modified>
</cp:coreProperties>
</file>