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C9D" w:rsidRPr="00204310" w:rsidRDefault="00025C9D" w:rsidP="00025C9D">
      <w:pPr>
        <w:spacing w:after="0" w:line="36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204310">
        <w:rPr>
          <w:rFonts w:ascii="Times New Roman" w:hAnsi="Times New Roman"/>
          <w:b/>
          <w:sz w:val="20"/>
          <w:szCs w:val="20"/>
        </w:rPr>
        <w:t xml:space="preserve">Title: </w:t>
      </w:r>
      <w:r w:rsidRPr="00204310">
        <w:rPr>
          <w:rFonts w:ascii="Times New Roman" w:hAnsi="Times New Roman"/>
          <w:sz w:val="20"/>
          <w:szCs w:val="20"/>
        </w:rPr>
        <w:t>Role of microperimetry in evaluating disease progression in age-related macular degeneration: a scoping review</w:t>
      </w:r>
    </w:p>
    <w:p w:rsidR="00025C9D" w:rsidRPr="00204310" w:rsidRDefault="00025C9D" w:rsidP="00025C9D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204310">
        <w:rPr>
          <w:rFonts w:ascii="Times New Roman" w:hAnsi="Times New Roman"/>
          <w:b/>
          <w:sz w:val="20"/>
          <w:szCs w:val="20"/>
        </w:rPr>
        <w:t>Authors:</w:t>
      </w:r>
      <w:r w:rsidRPr="00204310">
        <w:rPr>
          <w:rFonts w:ascii="Times New Roman" w:hAnsi="Times New Roman"/>
          <w:sz w:val="20"/>
          <w:szCs w:val="20"/>
        </w:rPr>
        <w:t xml:space="preserve"> Gopinath Madheswaran</w:t>
      </w:r>
      <w:r w:rsidRPr="00204310"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, </w:t>
      </w:r>
      <w:r w:rsidRPr="00204310">
        <w:rPr>
          <w:rFonts w:ascii="Times New Roman" w:hAnsi="Times New Roman"/>
          <w:sz w:val="20"/>
          <w:szCs w:val="20"/>
        </w:rPr>
        <w:t>Pinaz Nasim</w:t>
      </w:r>
      <w:r w:rsidRPr="00204310"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, </w:t>
      </w:r>
      <w:r w:rsidRPr="00204310">
        <w:rPr>
          <w:rFonts w:ascii="Times New Roman" w:hAnsi="Times New Roman"/>
          <w:sz w:val="20"/>
          <w:szCs w:val="20"/>
        </w:rPr>
        <w:t>Shonraj Ballae Ganeshrao</w:t>
      </w:r>
      <w:r w:rsidRPr="00204310"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  <w:vertAlign w:val="superscript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204310">
        <w:rPr>
          <w:rFonts w:ascii="Times New Roman" w:hAnsi="Times New Roman"/>
          <w:sz w:val="20"/>
          <w:szCs w:val="20"/>
        </w:rPr>
        <w:t>Rajiv Raman</w:t>
      </w:r>
      <w:r w:rsidRPr="00204310">
        <w:rPr>
          <w:rFonts w:ascii="Times New Roman" w:hAnsi="Times New Roman"/>
          <w:sz w:val="20"/>
          <w:szCs w:val="20"/>
          <w:vertAlign w:val="superscript"/>
        </w:rPr>
        <w:t>2,</w:t>
      </w:r>
      <w:r>
        <w:rPr>
          <w:rFonts w:ascii="Times New Roman" w:hAnsi="Times New Roman"/>
          <w:sz w:val="20"/>
          <w:szCs w:val="20"/>
        </w:rPr>
        <w:t xml:space="preserve"> </w:t>
      </w:r>
      <w:r w:rsidRPr="00204310">
        <w:rPr>
          <w:rFonts w:ascii="Times New Roman" w:hAnsi="Times New Roman"/>
          <w:sz w:val="20"/>
          <w:szCs w:val="20"/>
        </w:rPr>
        <w:t>Ramesh SVe</w:t>
      </w:r>
      <w:r w:rsidRPr="00204310">
        <w:rPr>
          <w:rFonts w:ascii="Times New Roman" w:hAnsi="Times New Roman"/>
          <w:sz w:val="20"/>
          <w:szCs w:val="20"/>
          <w:vertAlign w:val="superscript"/>
        </w:rPr>
        <w:t>1</w:t>
      </w:r>
      <w:r w:rsidRPr="00204310">
        <w:rPr>
          <w:rFonts w:ascii="Times New Roman" w:hAnsi="Times New Roman"/>
          <w:sz w:val="20"/>
          <w:szCs w:val="20"/>
        </w:rPr>
        <w:t xml:space="preserve">* </w:t>
      </w:r>
    </w:p>
    <w:p w:rsidR="00025C9D" w:rsidRPr="00204310" w:rsidRDefault="00025C9D" w:rsidP="00025C9D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204310">
        <w:rPr>
          <w:rFonts w:ascii="Times New Roman" w:hAnsi="Times New Roman"/>
          <w:b/>
          <w:sz w:val="20"/>
          <w:szCs w:val="20"/>
        </w:rPr>
        <w:t>Affiliations:</w:t>
      </w:r>
    </w:p>
    <w:p w:rsidR="00025C9D" w:rsidRPr="00204310" w:rsidRDefault="00025C9D" w:rsidP="00025C9D">
      <w:pPr>
        <w:spacing w:after="0" w:line="360" w:lineRule="auto"/>
        <w:rPr>
          <w:rFonts w:ascii="Times New Roman" w:hAnsi="Times New Roman"/>
          <w:i/>
          <w:sz w:val="20"/>
          <w:szCs w:val="20"/>
        </w:rPr>
      </w:pPr>
      <w:r w:rsidRPr="00204310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204310">
        <w:rPr>
          <w:rFonts w:ascii="Times New Roman" w:hAnsi="Times New Roman"/>
          <w:i/>
          <w:sz w:val="20"/>
          <w:szCs w:val="20"/>
        </w:rPr>
        <w:t>Department of Optometry, Manipal College of Health Professions, Manipal Academy of Higher Education, Manipal, Karnataka, India.</w:t>
      </w:r>
    </w:p>
    <w:p w:rsidR="00025C9D" w:rsidRPr="00204310" w:rsidRDefault="00025C9D" w:rsidP="00025C9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i/>
          <w:sz w:val="20"/>
          <w:szCs w:val="20"/>
        </w:rPr>
      </w:pPr>
      <w:r w:rsidRPr="00204310">
        <w:rPr>
          <w:i/>
          <w:sz w:val="20"/>
          <w:szCs w:val="20"/>
          <w:vertAlign w:val="superscript"/>
        </w:rPr>
        <w:t>2</w:t>
      </w:r>
      <w:r w:rsidRPr="00204310">
        <w:rPr>
          <w:rFonts w:eastAsia="Calibri"/>
          <w:i/>
          <w:sz w:val="20"/>
          <w:szCs w:val="20"/>
        </w:rPr>
        <w:t>Shri Bhagwan Mahavir Vitreoretinal Services, Sankara Nethralaya, Chennai, Tamilnadu, India.</w:t>
      </w:r>
      <w:r w:rsidRPr="00204310">
        <w:rPr>
          <w:rStyle w:val="normaltextrun"/>
          <w:i/>
          <w:sz w:val="20"/>
          <w:szCs w:val="20"/>
        </w:rPr>
        <w:t xml:space="preserve"> </w:t>
      </w:r>
    </w:p>
    <w:p w:rsidR="00025C9D" w:rsidRDefault="00025C9D" w:rsidP="00025C9D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204310">
        <w:rPr>
          <w:rFonts w:ascii="Times New Roman" w:hAnsi="Times New Roman"/>
          <w:b/>
          <w:sz w:val="20"/>
          <w:szCs w:val="20"/>
        </w:rPr>
        <w:t xml:space="preserve">*Corresponding author: </w:t>
      </w:r>
    </w:p>
    <w:p w:rsidR="00025C9D" w:rsidRDefault="00025C9D" w:rsidP="00025C9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Dr Ramesh SVe, </w:t>
      </w:r>
      <w:r w:rsidRPr="00204310">
        <w:rPr>
          <w:rFonts w:ascii="Times New Roman" w:hAnsi="Times New Roman"/>
          <w:sz w:val="20"/>
          <w:szCs w:val="20"/>
        </w:rPr>
        <w:t xml:space="preserve">Email: </w:t>
      </w:r>
      <w:hyperlink r:id="rId4" w:history="1">
        <w:r w:rsidRPr="00204310">
          <w:rPr>
            <w:rStyle w:val="Hyperlink"/>
            <w:rFonts w:ascii="Times New Roman" w:hAnsi="Times New Roman"/>
            <w:sz w:val="20"/>
            <w:szCs w:val="20"/>
          </w:rPr>
          <w:t>ramesh.sve@manipal.edu</w:t>
        </w:r>
      </w:hyperlink>
      <w:r w:rsidRPr="00204310">
        <w:rPr>
          <w:rFonts w:ascii="Times New Roman" w:hAnsi="Times New Roman"/>
          <w:sz w:val="20"/>
          <w:szCs w:val="20"/>
        </w:rPr>
        <w:t xml:space="preserve"> </w:t>
      </w:r>
    </w:p>
    <w:p w:rsidR="00E50CDB" w:rsidRDefault="00025C9D">
      <w:pPr>
        <w:rPr>
          <w:rFonts w:ascii="Times New Roman" w:hAnsi="Times New Roman"/>
          <w:b/>
          <w:sz w:val="20"/>
          <w:szCs w:val="24"/>
          <w:u w:val="single"/>
        </w:rPr>
      </w:pPr>
      <w:r w:rsidRPr="00FB5F01">
        <w:rPr>
          <w:rFonts w:ascii="Times New Roman" w:hAnsi="Times New Roman"/>
          <w:b/>
          <w:sz w:val="20"/>
          <w:szCs w:val="24"/>
          <w:u w:val="single"/>
        </w:rPr>
        <w:t>Online Resource</w:t>
      </w:r>
      <w:r>
        <w:rPr>
          <w:rFonts w:ascii="Times New Roman" w:hAnsi="Times New Roman"/>
          <w:b/>
          <w:sz w:val="20"/>
          <w:szCs w:val="24"/>
          <w:u w:val="single"/>
        </w:rPr>
        <w:t xml:space="preserve"> 2</w:t>
      </w:r>
    </w:p>
    <w:tbl>
      <w:tblPr>
        <w:tblW w:w="111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488"/>
        <w:gridCol w:w="4347"/>
      </w:tblGrid>
      <w:tr w:rsidR="00FB3847" w:rsidRPr="00D65A8A" w:rsidTr="00D65A8A">
        <w:trPr>
          <w:trHeight w:val="132"/>
        </w:trPr>
        <w:tc>
          <w:tcPr>
            <w:tcW w:w="2269" w:type="dxa"/>
            <w:vMerge w:val="restart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5A8A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  <w:p w:rsidR="00FB3847" w:rsidRPr="00D65A8A" w:rsidRDefault="00FB3847" w:rsidP="00D65A8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5A8A">
              <w:rPr>
                <w:rFonts w:ascii="Times New Roman" w:hAnsi="Times New Roman"/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8835" w:type="dxa"/>
            <w:gridSpan w:val="2"/>
            <w:shd w:val="clear" w:color="auto" w:fill="auto"/>
            <w:hideMark/>
          </w:tcPr>
          <w:p w:rsidR="00FB3847" w:rsidRPr="00D65A8A" w:rsidRDefault="00FB3847" w:rsidP="00D65A8A">
            <w:pPr>
              <w:tabs>
                <w:tab w:val="center" w:pos="3952"/>
                <w:tab w:val="left" w:pos="6925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5A8A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Reasons for exclusion</w:t>
            </w:r>
            <w:r w:rsidRPr="00D65A8A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</w:tr>
      <w:tr w:rsidR="00FB3847" w:rsidRPr="00D65A8A" w:rsidTr="00D65A8A">
        <w:trPr>
          <w:trHeight w:val="250"/>
        </w:trPr>
        <w:tc>
          <w:tcPr>
            <w:tcW w:w="2269" w:type="dxa"/>
            <w:vMerge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5A8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Microperimetry procedural differences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5A8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Methodological differences </w:t>
            </w:r>
          </w:p>
        </w:tc>
      </w:tr>
      <w:tr w:rsidR="00FB3847" w:rsidRPr="00D65A8A" w:rsidTr="00D65A8A">
        <w:trPr>
          <w:trHeight w:val="371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Haimovici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R et al., 2002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Dark-adapted perimetry using modified Humphrey visual field </w:t>
            </w:r>
          </w:p>
        </w:tc>
      </w:tr>
      <w:tr w:rsidR="00FB3847" w:rsidRPr="00D65A8A" w:rsidTr="00D65A8A">
        <w:trPr>
          <w:trHeight w:val="51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Roman A J et al., 2005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229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Kiser AK et al., 2006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Dark </w:t>
            </w: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adaptometry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and dark-adapted Humphrey macular perimetry</w:t>
            </w:r>
          </w:p>
        </w:tc>
      </w:tr>
      <w:tr w:rsidR="00FB3847" w:rsidRPr="00D65A8A" w:rsidTr="00D65A8A">
        <w:trPr>
          <w:trHeight w:val="51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Midena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E et al., 2007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3847" w:rsidRPr="00D65A8A" w:rsidTr="00D65A8A">
        <w:trPr>
          <w:trHeight w:val="229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Meleth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AD et al., 2011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137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Tepelus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>, T.C. et al., 2011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Measured only mesopic microperimetry sensitivity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169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Crossland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MD et al., 2011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Measured only scotopic microperimetry sensitivity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7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Querques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G et al., 2014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129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Wu Z et al., 2015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B3847" w:rsidRPr="00D65A8A" w:rsidTr="00D65A8A">
        <w:trPr>
          <w:trHeight w:val="79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Wu Z et al., 2015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7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Liu H et al., 2015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7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Wu Z et al., 2015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B3847" w:rsidRPr="00D65A8A" w:rsidTr="00D65A8A">
        <w:trPr>
          <w:trHeight w:val="86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Loughman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J et al., 2015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FB3847" w:rsidRPr="00D65A8A" w:rsidTr="00D65A8A">
        <w:trPr>
          <w:trHeight w:val="7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Fraser RG et al., 2016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7" w:type="dxa"/>
            <w:shd w:val="clear" w:color="auto" w:fill="auto"/>
            <w:noWrap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Medmont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Dark-Adapted Chromatic Perimeter</w:t>
            </w:r>
          </w:p>
        </w:tc>
      </w:tr>
      <w:tr w:rsidR="00FB3847" w:rsidRPr="00D65A8A" w:rsidTr="00D65A8A">
        <w:trPr>
          <w:trHeight w:val="237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lastRenderedPageBreak/>
              <w:t>Wu Z et al., 2016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7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Takahashi A et al., 2016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136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Chandramohan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A et al., 2016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243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Neely D et al., 2017</w:t>
            </w:r>
          </w:p>
        </w:tc>
        <w:tc>
          <w:tcPr>
            <w:tcW w:w="4488" w:type="dxa"/>
            <w:shd w:val="clear" w:color="auto" w:fill="auto"/>
            <w:noWrap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Measuring rod mediated dark adaptation measurement using </w:t>
            </w: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AdaptDx</w:t>
            </w:r>
            <w:proofErr w:type="spellEnd"/>
          </w:p>
        </w:tc>
      </w:tr>
      <w:tr w:rsidR="00FB3847" w:rsidRPr="00D65A8A" w:rsidTr="00D65A8A">
        <w:trPr>
          <w:trHeight w:val="335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Pfau M et al., 2017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Measured only scotopic microperimetry sensitivity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B3847" w:rsidRPr="00D65A8A" w:rsidTr="00D65A8A">
        <w:trPr>
          <w:trHeight w:val="127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Steinberg JS et al., 2017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Not measuring scotopic and mesopic microperimetry sensitivities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FB3847" w:rsidRPr="00D65A8A" w:rsidTr="00D65A8A">
        <w:trPr>
          <w:trHeight w:val="91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Vujosevic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S et al., 2017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Measured only mesopic microperimetry sensitivity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99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Nguyen CT et al., 2018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Medmont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Dark-Adapted Chromatic Perimeter</w:t>
            </w:r>
          </w:p>
        </w:tc>
      </w:tr>
      <w:tr w:rsidR="00FB3847" w:rsidRPr="00D65A8A" w:rsidTr="00D65A8A">
        <w:trPr>
          <w:trHeight w:val="7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Tan RS et al., 2018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Medmont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Dark-Adapted Chromatic Perimeter</w:t>
            </w:r>
          </w:p>
        </w:tc>
      </w:tr>
      <w:tr w:rsidR="00FB3847" w:rsidRPr="00D65A8A" w:rsidTr="00D65A8A">
        <w:trPr>
          <w:trHeight w:val="30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Cocce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KJ et al., 2018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Dark </w:t>
            </w: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adaptometry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AdaptDx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FB3847" w:rsidRPr="00D65A8A" w:rsidTr="00D65A8A">
        <w:trPr>
          <w:trHeight w:val="243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McGuinness MB et al., 2020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Medmont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Dark-Adapted Chromatic Perimeter</w:t>
            </w:r>
          </w:p>
        </w:tc>
      </w:tr>
      <w:tr w:rsidR="00FB3847" w:rsidRPr="00D65A8A" w:rsidTr="00D65A8A">
        <w:trPr>
          <w:trHeight w:val="510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Wu Z et al., 2021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Not measuring scotopic and mesopic microperimetry sensitivities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FB3847" w:rsidRPr="00D65A8A" w:rsidTr="00D65A8A">
        <w:trPr>
          <w:trHeight w:val="274"/>
        </w:trPr>
        <w:tc>
          <w:tcPr>
            <w:tcW w:w="2269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5A8A">
              <w:rPr>
                <w:rFonts w:ascii="Times New Roman" w:hAnsi="Times New Roman"/>
                <w:sz w:val="20"/>
                <w:szCs w:val="20"/>
              </w:rPr>
              <w:t>Nassisi</w:t>
            </w:r>
            <w:proofErr w:type="spellEnd"/>
            <w:r w:rsidRPr="00D65A8A">
              <w:rPr>
                <w:rFonts w:ascii="Times New Roman" w:hAnsi="Times New Roman"/>
                <w:sz w:val="20"/>
                <w:szCs w:val="20"/>
              </w:rPr>
              <w:t xml:space="preserve"> M et al., 2021</w:t>
            </w:r>
          </w:p>
        </w:tc>
        <w:tc>
          <w:tcPr>
            <w:tcW w:w="4488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  <w:r w:rsidRPr="00D65A8A">
              <w:rPr>
                <w:rFonts w:ascii="Times New Roman" w:hAnsi="Times New Roman"/>
                <w:sz w:val="20"/>
                <w:szCs w:val="20"/>
              </w:rPr>
              <w:t xml:space="preserve">Measured only scotopic microperimetry sensitivity </w:t>
            </w:r>
          </w:p>
        </w:tc>
        <w:tc>
          <w:tcPr>
            <w:tcW w:w="4347" w:type="dxa"/>
            <w:shd w:val="clear" w:color="auto" w:fill="auto"/>
            <w:hideMark/>
          </w:tcPr>
          <w:p w:rsidR="00FB3847" w:rsidRPr="00D65A8A" w:rsidRDefault="00FB3847" w:rsidP="00D65A8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75F85" w:rsidRDefault="00775F85" w:rsidP="00C60DCC"/>
    <w:sectPr w:rsidR="00775F85" w:rsidSect="00C60DCC">
      <w:pgSz w:w="12240" w:h="15840"/>
      <w:pgMar w:top="1134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ewMDIAYjMLczMjSyUdpeDU4uLM/DyQAvNaAPfbjiIsAAAA"/>
  </w:docVars>
  <w:rsids>
    <w:rsidRoot w:val="00025C9D"/>
    <w:rsid w:val="00025C9D"/>
    <w:rsid w:val="00083427"/>
    <w:rsid w:val="000D13F7"/>
    <w:rsid w:val="00130488"/>
    <w:rsid w:val="00202C90"/>
    <w:rsid w:val="00243FDE"/>
    <w:rsid w:val="0036317D"/>
    <w:rsid w:val="00390096"/>
    <w:rsid w:val="003C4769"/>
    <w:rsid w:val="003F1847"/>
    <w:rsid w:val="00416ED3"/>
    <w:rsid w:val="004422F0"/>
    <w:rsid w:val="006675D5"/>
    <w:rsid w:val="006A59D6"/>
    <w:rsid w:val="00711898"/>
    <w:rsid w:val="00756EC2"/>
    <w:rsid w:val="00772057"/>
    <w:rsid w:val="00775F85"/>
    <w:rsid w:val="007A0693"/>
    <w:rsid w:val="00900EC0"/>
    <w:rsid w:val="00902FAF"/>
    <w:rsid w:val="009104FC"/>
    <w:rsid w:val="009A0BD6"/>
    <w:rsid w:val="00A0214B"/>
    <w:rsid w:val="00A24214"/>
    <w:rsid w:val="00C60DCC"/>
    <w:rsid w:val="00CA6FA5"/>
    <w:rsid w:val="00D27639"/>
    <w:rsid w:val="00D65A8A"/>
    <w:rsid w:val="00D71C5B"/>
    <w:rsid w:val="00E50CDB"/>
    <w:rsid w:val="00E95204"/>
    <w:rsid w:val="00EE7300"/>
    <w:rsid w:val="00F14740"/>
    <w:rsid w:val="00FB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45EC8E-3CCB-4968-BB4F-9CA69FA7F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25C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rsid w:val="00025C9D"/>
  </w:style>
  <w:style w:type="character" w:styleId="Hyperlink">
    <w:name w:val="Hyperlink"/>
    <w:uiPriority w:val="99"/>
    <w:unhideWhenUsed/>
    <w:rsid w:val="00025C9D"/>
    <w:rPr>
      <w:color w:val="0563C1"/>
      <w:u w:val="single"/>
    </w:rPr>
  </w:style>
  <w:style w:type="table" w:styleId="TableGrid">
    <w:name w:val="Table Grid"/>
    <w:basedOn w:val="TableNormal"/>
    <w:uiPriority w:val="39"/>
    <w:rsid w:val="00775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mesh.sve@manipa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Links>
    <vt:vector size="6" baseType="variant">
      <vt:variant>
        <vt:i4>3473482</vt:i4>
      </vt:variant>
      <vt:variant>
        <vt:i4>0</vt:i4>
      </vt:variant>
      <vt:variant>
        <vt:i4>0</vt:i4>
      </vt:variant>
      <vt:variant>
        <vt:i4>5</vt:i4>
      </vt:variant>
      <vt:variant>
        <vt:lpwstr>mailto:ramesh.sve@manipal.edu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GOPINATH M-181100105</dc:creator>
  <cp:keywords/>
  <dc:description/>
  <cp:lastModifiedBy>Anitha M.</cp:lastModifiedBy>
  <cp:revision>2</cp:revision>
  <dcterms:created xsi:type="dcterms:W3CDTF">2021-12-23T13:12:00Z</dcterms:created>
  <dcterms:modified xsi:type="dcterms:W3CDTF">2021-12-23T13:12:00Z</dcterms:modified>
</cp:coreProperties>
</file>