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8F83A" w14:textId="23573460" w:rsidR="00B841A0" w:rsidRPr="00D10BDA" w:rsidRDefault="00C52B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0BDA">
        <w:rPr>
          <w:rFonts w:ascii="Times New Roman" w:hAnsi="Times New Roman" w:cs="Times New Roman"/>
          <w:b/>
          <w:bCs/>
          <w:sz w:val="24"/>
          <w:szCs w:val="24"/>
        </w:rPr>
        <w:t>Supplementary Information File</w:t>
      </w:r>
    </w:p>
    <w:p w14:paraId="265E967A" w14:textId="1DA979CD" w:rsidR="00B841A0" w:rsidRPr="00D10BDA" w:rsidRDefault="007C4E91">
      <w:pPr>
        <w:rPr>
          <w:rFonts w:ascii="Times New Roman" w:hAnsi="Times New Roman" w:cs="Times New Roman"/>
          <w:sz w:val="24"/>
          <w:szCs w:val="24"/>
        </w:rPr>
      </w:pPr>
      <w:r w:rsidRPr="00D10BDA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DE6BDF" w:rsidRPr="00D10BDA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E6BDF" w:rsidRPr="00D10BDA">
        <w:rPr>
          <w:rFonts w:ascii="Times New Roman" w:hAnsi="Times New Roman" w:cs="Times New Roman"/>
          <w:sz w:val="24"/>
          <w:szCs w:val="24"/>
        </w:rPr>
        <w:t xml:space="preserve"> Data extraction of the included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"/>
        <w:gridCol w:w="995"/>
        <w:gridCol w:w="1141"/>
        <w:gridCol w:w="879"/>
        <w:gridCol w:w="1074"/>
        <w:gridCol w:w="698"/>
        <w:gridCol w:w="857"/>
        <w:gridCol w:w="901"/>
        <w:gridCol w:w="1059"/>
        <w:gridCol w:w="946"/>
        <w:gridCol w:w="924"/>
        <w:gridCol w:w="961"/>
        <w:gridCol w:w="1074"/>
        <w:gridCol w:w="1052"/>
        <w:gridCol w:w="1059"/>
      </w:tblGrid>
      <w:tr w:rsidR="00641856" w:rsidRPr="00D10BDA" w14:paraId="24809987" w14:textId="77777777" w:rsidTr="00B45B07">
        <w:trPr>
          <w:trHeight w:val="900"/>
        </w:trPr>
        <w:tc>
          <w:tcPr>
            <w:tcW w:w="185" w:type="pct"/>
            <w:shd w:val="clear" w:color="auto" w:fill="auto"/>
            <w:vAlign w:val="center"/>
            <w:hideMark/>
          </w:tcPr>
          <w:p w14:paraId="366A3EF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Study No.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24FDB8E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Article type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4AA9051" w14:textId="1D70C2C3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Authors</w:t>
            </w:r>
            <w:r w:rsidR="00C66B71"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B841A0"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reference</w:t>
            </w:r>
            <w:r w:rsidR="00C66B71"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s, </w:t>
            </w:r>
            <w:r w:rsidR="00C66B71" w:rsidRPr="00D10BDA">
              <w:rPr>
                <w:rFonts w:ascii="Times New Roman" w:hAnsi="Times New Roman" w:cs="Times New Roman"/>
                <w:b/>
                <w:bCs/>
              </w:rPr>
              <w:t>&amp; PubMed IDs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0E6F419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Publication year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D338F8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Study Objective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1E16E45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Number of patients /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6F41FE4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Age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51C581A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Gender distribution (M:F)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210BA7A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Myopia characteristics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572A9BA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Type of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18A289E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Imaging assessment tool used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E9003E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Primary outcomes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5F3AC1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Secondary outcomes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501D8DA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Complications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18D0FCD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Limitations</w:t>
            </w:r>
          </w:p>
        </w:tc>
      </w:tr>
      <w:tr w:rsidR="00641856" w:rsidRPr="00D10BDA" w14:paraId="516571C0" w14:textId="77777777" w:rsidTr="00B45B07">
        <w:trPr>
          <w:trHeight w:val="1550"/>
        </w:trPr>
        <w:tc>
          <w:tcPr>
            <w:tcW w:w="185" w:type="pct"/>
            <w:shd w:val="clear" w:color="auto" w:fill="auto"/>
            <w:vAlign w:val="center"/>
            <w:hideMark/>
          </w:tcPr>
          <w:p w14:paraId="748E863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1ABFD25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Retrospective monocentric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FD5C85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Ehongo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(2)</w:t>
            </w:r>
          </w:p>
          <w:p w14:paraId="4BF4E583" w14:textId="0D44B983" w:rsidR="00C66B71" w:rsidRPr="00D10BDA" w:rsidRDefault="00C66B71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hAnsi="Times New Roman" w:cs="Times New Roman"/>
              </w:rPr>
              <w:t>(PMID:</w:t>
            </w:r>
            <w:r w:rsidR="000E542C" w:rsidRPr="00D10BDA">
              <w:rPr>
                <w:rFonts w:ascii="Times New Roman" w:hAnsi="Times New Roman" w:cs="Times New Roman"/>
              </w:rPr>
              <w:t>37933329</w:t>
            </w:r>
            <w:r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0D15BC3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5E34E59" w14:textId="06A9D05D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Predicting the visual field defects and factors discriminating myopic eyes combining gamma peripapillary atrophy</w:t>
            </w:r>
            <w:r w:rsidR="00C52B5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(PPA)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peripapillary staphylo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4C416C2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70 / 93 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04DFA48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57±19 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2B7D95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23:47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321A841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Gamma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peripapillary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atrophy (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γPPA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) and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peripapillary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staphyloma (PPS) combined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E4A9F9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4FD8CB3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OCT, Visual field (VF) testing, Non-mydriatic fundus cameras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AF86CF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Proportion of VFDs was statistically significantly higher in the PICC-group than in the combination-group, and the same trend is noted for the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proportion of abnormal clusters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7785EB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OI index values not provided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1FD5CA4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7BCCF3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Nature of the study; no follow-up</w:t>
            </w:r>
          </w:p>
        </w:tc>
      </w:tr>
      <w:tr w:rsidR="00641856" w:rsidRPr="00D10BDA" w14:paraId="543FF94C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3BC9C29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463C088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Prospective case–control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81F264B" w14:textId="1684EBEC" w:rsidR="00641856" w:rsidRPr="00D10BDA" w:rsidRDefault="00663525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Chang YF</w:t>
            </w:r>
            <w:r w:rsidR="00641856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(5)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(PMID:3</w:t>
            </w:r>
            <w:r w:rsidR="0068074E" w:rsidRPr="00D10BDA">
              <w:rPr>
                <w:rFonts w:ascii="Times New Roman" w:hAnsi="Times New Roman" w:cs="Times New Roman"/>
              </w:rPr>
              <w:t>1904660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2E0CAE2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7824D76" w14:textId="1DEB8B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compare the diagnostic performance of RS-3000 and Cirrus </w:t>
            </w:r>
            <w:r w:rsidR="005137C6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high-definition optical coherence tomography (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HD-OCT</w:t>
            </w:r>
            <w:r w:rsidR="005137C6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assessing glaucoma in highly myopic eyes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1CE2774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81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707406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 to 59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2C3E863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5AE9FF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 myopia (axial length ≥ 26 mm).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473B162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Primary open-angle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40CEA19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RS-3000; Cirrus HD-OCT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2196D7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best parameters for diagnosing glaucoma in highly myopic eyes were the average RNFL for RS-3000 and RNFL at clock-hour 7 for Cirrus HD-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OCT,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488C7F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RS-3000 demonstrated lower false-positive rates compared to Cirrus HD-OCT in assessing glaucoma.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E6B495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4EA1BF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small sample size, potential selection bias, and the requirement of a glaucomatous visual field defect for diagnosis</w:t>
            </w:r>
          </w:p>
        </w:tc>
      </w:tr>
      <w:tr w:rsidR="00641856" w:rsidRPr="00D10BDA" w14:paraId="1396552B" w14:textId="77777777" w:rsidTr="00B45B07">
        <w:trPr>
          <w:trHeight w:val="2170"/>
        </w:trPr>
        <w:tc>
          <w:tcPr>
            <w:tcW w:w="185" w:type="pct"/>
            <w:shd w:val="clear" w:color="auto" w:fill="auto"/>
            <w:vAlign w:val="center"/>
            <w:hideMark/>
          </w:tcPr>
          <w:p w14:paraId="354BAA5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32D3456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Retrospective, cross-sectional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E1AE3F9" w14:textId="32DD1704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Miki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(20)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68074E" w:rsidRPr="00D10BDA">
              <w:rPr>
                <w:rFonts w:ascii="Times New Roman" w:hAnsi="Times New Roman" w:cs="Times New Roman"/>
              </w:rPr>
              <w:t>32672559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18A8B9F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BF267BC" w14:textId="58FF681C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investigate factors associated with</w:t>
            </w:r>
            <w:r w:rsidR="005137C6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OCT-defined PPA zones in highly myopic eyes.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3D82639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 / 77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4E32D4C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51.8±12.0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0F1A5A2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19:36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101149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Highly myopic eyes (spherical equivalent refractive error ≤ -8 diopters or axial length ≥26.5 mm)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17F7B7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Open-angle glaucoma in 49 eyes (MG group), not specified in 28 eyes (M group).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32B1185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Swept-source OCT 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EFFB43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beta zone positively correlated with axial length and glaucoma, and the gamma zone correlated with axial length and age but not with glaucoma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2B13B5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diagnostic capability of the beta and gamma zone areas for detecting glaucoma was limited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243E784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B994FC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OCT-based classification had poor diagnostic performance for glaucoma, and relationships between PPA areas and baseline clinical factors may be different between high myopia and non-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high myopia</w:t>
            </w:r>
          </w:p>
        </w:tc>
      </w:tr>
      <w:tr w:rsidR="00641856" w:rsidRPr="00D10BDA" w14:paraId="52B93484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094E1E3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14EA551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Prospective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7CCFFC4B" w14:textId="41F3F12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Fan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(13)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68074E" w:rsidRPr="00D10BDA">
              <w:rPr>
                <w:rFonts w:ascii="Times New Roman" w:hAnsi="Times New Roman" w:cs="Times New Roman"/>
              </w:rPr>
              <w:t>35372433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520EC36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B6A3D14" w14:textId="1A82B549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evaluate peripapillary vascular reactivity in primary open-angle glaucoma</w:t>
            </w:r>
            <w:r w:rsidR="002722F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(POAG)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with and without high myopia using </w:t>
            </w:r>
            <w:r w:rsidR="002722F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angiography.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55B5DDC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D09763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32.9 ± 7.0; 43.9 ± 12.7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2F08861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 M:21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50D6BC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Differentiating between primary open-angle glaucoma eyes with and without high myopia.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EECDDC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Primary open-angle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0004FA8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Optical coherence tomography angiography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A0BE1B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 primary open-angle glaucoma (POAG), retinal vascular reactivity in peripapillary capillaries is significantly impaired in eyes with high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myopia.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4DEE6B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Mentioned impairment is associated with worse spherical equivalent and elongated axial length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464531B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791781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</w:tr>
      <w:tr w:rsidR="00641856" w:rsidRPr="00D10BDA" w14:paraId="1DB27C89" w14:textId="77777777" w:rsidTr="00B45B07">
        <w:trPr>
          <w:trHeight w:val="1550"/>
        </w:trPr>
        <w:tc>
          <w:tcPr>
            <w:tcW w:w="185" w:type="pct"/>
            <w:shd w:val="clear" w:color="auto" w:fill="auto"/>
            <w:vAlign w:val="center"/>
            <w:hideMark/>
          </w:tcPr>
          <w:p w14:paraId="2620993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4BA20CE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Observational comparative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6FCB5BE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Chang et al.</w:t>
            </w:r>
          </w:p>
          <w:p w14:paraId="22D699F2" w14:textId="591DD04F" w:rsidR="00B841A0" w:rsidRPr="00D10BDA" w:rsidRDefault="00B841A0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(4)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68074E" w:rsidRPr="00D10BDA">
              <w:rPr>
                <w:rFonts w:ascii="Times New Roman" w:hAnsi="Times New Roman" w:cs="Times New Roman"/>
              </w:rPr>
              <w:t>35087847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1DDC951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2501B00" w14:textId="179035D9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assess the diagnostic abilities of perfusion density and structural thickness parameters in the peripapillary and macular regions using OCT</w:t>
            </w:r>
            <w:r w:rsidR="002722F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angiography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and OCT for the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detection of early glaucoma and to compare these abilities between highly myopic and non-highly myopic patients.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462896B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75 patients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1E2A711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42.63 ± 10.72; 54.94 ± 8.65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5D40BF2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 M: 23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17F1AEB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Highly myopic (HM) and non-highly myopic (NHM) patients were compared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DC90FE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1574E8B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Optical coherence tomography angiography and optical coherence tomography 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10F8FD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Macular perfusion density and macular ganglion cell-inner plexiform layer thickness had similar diagnostic abilities in both groups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D0EE8A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Peripapillary perfusion density and pRNFL thickness showed significantly lower diagnostic abilities in the highly myopic group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1000209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FEE229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Nature of the study; BP not studied; OCT and OCTA measurements were not redefined.</w:t>
            </w:r>
          </w:p>
        </w:tc>
      </w:tr>
      <w:tr w:rsidR="00641856" w:rsidRPr="00D10BDA" w14:paraId="18FDFD9E" w14:textId="77777777" w:rsidTr="00B45B07">
        <w:trPr>
          <w:trHeight w:val="2790"/>
        </w:trPr>
        <w:tc>
          <w:tcPr>
            <w:tcW w:w="185" w:type="pct"/>
            <w:shd w:val="clear" w:color="auto" w:fill="auto"/>
            <w:vAlign w:val="center"/>
            <w:hideMark/>
          </w:tcPr>
          <w:p w14:paraId="636060B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036B619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Cross-sectional case-control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498BA32A" w14:textId="6D1B6A8A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Mohammad </w:t>
            </w:r>
            <w:r w:rsidR="0068074E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Noureldine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(16)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(PMID:3</w:t>
            </w:r>
            <w:r w:rsidR="0068074E" w:rsidRPr="00D10BDA">
              <w:rPr>
                <w:rFonts w:ascii="Times New Roman" w:hAnsi="Times New Roman" w:cs="Times New Roman"/>
              </w:rPr>
              <w:t>0979559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0CFF5CC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B96DB9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detect accurate parameters for glaucoma diagnosis in high myopia and discriminate between retinal thinning due to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glaucoma and myopia.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25730A8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62 / 62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496761E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48.22 ± 6.77; 52.00 ± 10.33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E24206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 M: 36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AFCEE4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Myopia &gt; -6.0 Diopters or Axial length (AXL) &gt; 26.5 mm.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044F181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Primary open-angle glaucoma, including both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perimetric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preperimetric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695B86E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77539C1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ONH parameter, cup area, and the GCC parameter, GLV, are key parameters in supporting the diagnosis of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glaucoma in myopic patients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D9728F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inferior RNFL thickness, FLV, and C/D ratio may also be used in the diagnosis of myopia.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0B0A8DA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2EE8186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Nature of the study; potential lack of accuracy and reproducibility of OCT in cases of very high myopia due to the presence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of posterior staphyloma and long axial length, which led to the exclusion of complicated higher degrees of myopia </w:t>
            </w:r>
          </w:p>
        </w:tc>
      </w:tr>
      <w:tr w:rsidR="00641856" w:rsidRPr="00D10BDA" w14:paraId="7140BF71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62F75F1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4707637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Retrospective diagnostic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17EFCD0" w14:textId="145F723E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Zemborain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(24)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(PMID:3</w:t>
            </w:r>
            <w:r w:rsidR="00C27120" w:rsidRPr="00D10BDA">
              <w:rPr>
                <w:rFonts w:ascii="Times New Roman" w:hAnsi="Times New Roman" w:cs="Times New Roman"/>
              </w:rPr>
              <w:t>3006872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7FB5565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ABED3F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assess whether glaucomatous damage can be accurately diagnosed in high myopes through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OCT scans.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35D7DB7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60 / 100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50A56E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55.5 ± 14.6 (25 to 89)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68B5392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39 M: 21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B5F825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High myopes with corrected spherical refractive errors worse than -6D and/or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axial lengths ≥ 26.5mm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6A17006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No specific type mentioned. 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0F77DC0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Spectralis HRA+OCT with the Glaucoma Module Premium protoc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ol.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  <w:hideMark/>
          </w:tcPr>
          <w:p w14:paraId="04415D4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OCT scans were effective in diagnosing glaucomatous optic neuropathy (GON) in high myopes, with 97% accuracy, and identified co-existing ophthalmic pathologies in 81% of cases,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often requiring additional OCT information for accurate assessment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5AA51B8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B1CF71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study did not exclude any eyes based on criteria like poor scan quality or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comorbidity, which may affect the generalizability of the results.</w:t>
            </w:r>
          </w:p>
        </w:tc>
      </w:tr>
      <w:tr w:rsidR="00641856" w:rsidRPr="00D10BDA" w14:paraId="1C506490" w14:textId="77777777" w:rsidTr="00B45B07">
        <w:trPr>
          <w:trHeight w:val="1860"/>
        </w:trPr>
        <w:tc>
          <w:tcPr>
            <w:tcW w:w="185" w:type="pct"/>
            <w:shd w:val="clear" w:color="auto" w:fill="auto"/>
            <w:vAlign w:val="center"/>
            <w:hideMark/>
          </w:tcPr>
          <w:p w14:paraId="5BFD3CD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1D133E5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Cross-sectional observational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064BB20E" w14:textId="562322BD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Lee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(8)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(PMID:3</w:t>
            </w:r>
            <w:r w:rsidR="00C27120" w:rsidRPr="00D10BDA">
              <w:rPr>
                <w:rFonts w:ascii="Times New Roman" w:hAnsi="Times New Roman" w:cs="Times New Roman"/>
              </w:rPr>
              <w:t>1511225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20FA6EC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2019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278516F" w14:textId="1A471E4F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assess the usefulness of peripapillary retinal vessel density (VD) measured using OCT angiography in evaluating glaucomatous visual field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damage in highly myopic eyes with</w:t>
            </w:r>
            <w:r w:rsidR="002722F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POAG.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1CD8EF4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124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4961775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45.5±12.6; 44.2±11.0; 48.2±15.3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3B2B8BE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78 M: 46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10A24A0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Highly myopic eyes with spherical refraction ≤6.0 diopters or an axial length &gt;26.0 mm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3CFF8C3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Primary open-angle glaucoma 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32B4173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OCTA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1EB7A0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A significant topographical correlation between peripapillary retinal vessel density and visual field sensitivity loss in highly myopic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primary open-angle glaucoma  eyes was found.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1B4A78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 correlation between circumpapillary retinal nerve fiber layer thickness and visual field sensitivity loss in certain sectors, with both measure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ments providing valuable insights into glaucomatous visual field damage in highly myopic eyes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0A8C734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492E9D2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Nature of the study; no evaluation on systemic medication or BP</w:t>
            </w:r>
          </w:p>
        </w:tc>
      </w:tr>
      <w:tr w:rsidR="00641856" w:rsidRPr="00D10BDA" w14:paraId="32DDD3F6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532EACB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40A508D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Cross-sectional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6507BC5" w14:textId="6970E35E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Rezapour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(26)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C27120" w:rsidRPr="00D10BDA">
              <w:rPr>
                <w:rFonts w:ascii="Times New Roman" w:hAnsi="Times New Roman" w:cs="Times New Roman"/>
              </w:rPr>
              <w:t>34902327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28A8E45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724DE60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determine the predictors of Bruch's membrane opening (BMO) location accuracy and the visibility of BMO location in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glaucoma and healthy individuals with and without axial high myopia.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317D97D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344 / 551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A3801E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66.6 (64.9, 68.2)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11ACF39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166 M: 178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330A0CC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Axial high myopia (AL ≥ 26mm) and those without (AL &lt; 26mm)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398D9C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specific type mentioned. 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39E6821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ONH-OCT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B18FF3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BMO location accuracy was significantly lower in highly myopic eyes, with 9.1% of healthy highly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myopic eyes and 15.0% of glaucoma eyes having indiscernible BMOs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90506C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Having axial high myopia, larger AL, larger BMO tilt angle, lower BMO ovality index, and glaucoma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diagnosis were significant predictors of BMO location inaccuracy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00E0DF0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4DD9AD6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</w:tr>
      <w:tr w:rsidR="00641856" w:rsidRPr="00D10BDA" w14:paraId="134AB331" w14:textId="77777777" w:rsidTr="00B45B07">
        <w:trPr>
          <w:trHeight w:val="1860"/>
        </w:trPr>
        <w:tc>
          <w:tcPr>
            <w:tcW w:w="185" w:type="pct"/>
            <w:shd w:val="clear" w:color="auto" w:fill="auto"/>
            <w:vAlign w:val="center"/>
            <w:hideMark/>
          </w:tcPr>
          <w:p w14:paraId="0319424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7B0FB92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Observational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53F5C46" w14:textId="5F5D6FBB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Lim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(14)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470FA7" w:rsidRPr="00D10BDA">
              <w:rPr>
                <w:rFonts w:ascii="Times New Roman" w:hAnsi="Times New Roman" w:cs="Times New Roman"/>
              </w:rPr>
              <w:t>36434508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0AC3B61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12D168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provide a decision support system for the automatic detection of glaucoma using fundus images, especially in areas with a high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incidence of myopia.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09C5024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667 / 1155 images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65F5D04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45.3 ± 14.2; 45.7 ± 12.7; 51.8 ± 13.6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22436C1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576 M: 578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F96685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High myopia, with axial length ≥ 26 mm 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82E0EC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Pre-perimetric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39FA9A9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Color fundus images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E09CE6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Xception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model achieved a 93.9% AUROC for glaucoma detection with 93.51% sensitivity for normal cases and 86.13%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sensitivity for glaucoma cases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94011B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The multimodal model with N + PPG and G groups showed high AUROCs and the test set demonstrated 3%–5% lower AUROCs compare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 to the validation results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69F3B00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44B5F37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relatively small database, potential confounders, and variations in data distribution across age and axial length groups</w:t>
            </w:r>
          </w:p>
        </w:tc>
      </w:tr>
      <w:tr w:rsidR="00641856" w:rsidRPr="00D10BDA" w14:paraId="660D1979" w14:textId="77777777" w:rsidTr="00B45B07">
        <w:trPr>
          <w:trHeight w:val="1500"/>
        </w:trPr>
        <w:tc>
          <w:tcPr>
            <w:tcW w:w="185" w:type="pct"/>
            <w:shd w:val="clear" w:color="auto" w:fill="auto"/>
            <w:vAlign w:val="center"/>
            <w:hideMark/>
          </w:tcPr>
          <w:p w14:paraId="33C91BC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453C0F0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Retrospective, comparative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2C19D9BC" w14:textId="7B8F69F5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Nakano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(22)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365274" w:rsidRPr="00D10BDA">
              <w:rPr>
                <w:rFonts w:ascii="Times New Roman" w:hAnsi="Times New Roman" w:cs="Times New Roman"/>
              </w:rPr>
              <w:t>23777978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76C2D8B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2013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C01A387" w14:textId="061D2B34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To compare evaluations of macular structures on spectral-domain </w:t>
            </w:r>
            <w:r w:rsidR="002722FB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OCT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with optic disc and circumpapillary retinal nerve fiber layer (RNFL) assessments in discriminating between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highly myopic eyes with and without glaucoma.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55EB360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181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B83948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56.0 ± 10.2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41E6333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 M: 49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3748CBC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Highly myopic eyes (&lt;L6 diopters) and non–highly myopic eyes (1.0 to L5.5 diopters)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EBF887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specific type mentioned. 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14E2DC8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Spectralis macular scans (Heidelberg Engineering) and optic disc photographs; RTVue-100 (Optovue) 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5E33E45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 high myopes, observers’ assessments of the spectral-domain optical coherence tomography macular scans may agree better and be more accurate than 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observers’ optic disc assessments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7CCA72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Glaucoma diagnostic performance of the macular ganglion cell complex may be less affected by axial length compared with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that of circumpapillary RNFL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5134E45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529F79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</w:tr>
      <w:tr w:rsidR="00641856" w:rsidRPr="00D10BDA" w14:paraId="6D9352D1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1F97364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0709731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Retrospective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0922A61" w14:textId="47E0C6ED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Hung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(7)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365274" w:rsidRPr="00D10BDA">
              <w:rPr>
                <w:rFonts w:ascii="Times New Roman" w:hAnsi="Times New Roman" w:cs="Times New Roman"/>
              </w:rPr>
              <w:t>25349103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527094F8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440FBDB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assess macular parameters of glaucoma in highly myopic subjects.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2AEEFF1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 eyes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2DBCB96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35.0 ± 9.3; 37.1 ± 6.3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3C213FB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51 M: 21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29547A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Highly myopic eyes (spherical equivalent up to -6.00 D)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3EA05F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Early to moderate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13F4A99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Stratus optical coherence tomography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2C1A777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Measuring the macular volume in the outer inferior region is a key indicator for diagnosing glaucoma in highly myopic individuals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0E66153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Macular outer inferior average thickness and volume parameters has strong discriminatory ability for early to moderate glaucoma in highly myopic eyes.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D493BB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7D84E00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 evaluation of axial length values; use of D-OCT device</w:t>
            </w:r>
          </w:p>
        </w:tc>
      </w:tr>
      <w:tr w:rsidR="00641856" w:rsidRPr="00D10BDA" w14:paraId="70F099E2" w14:textId="77777777" w:rsidTr="00B45B07">
        <w:trPr>
          <w:trHeight w:val="4340"/>
        </w:trPr>
        <w:tc>
          <w:tcPr>
            <w:tcW w:w="185" w:type="pct"/>
            <w:shd w:val="clear" w:color="auto" w:fill="auto"/>
            <w:vAlign w:val="center"/>
            <w:hideMark/>
          </w:tcPr>
          <w:p w14:paraId="47DD19E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0836B39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Cross-sectional analysis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359576F0" w14:textId="153C53BB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Park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(23)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365274" w:rsidRPr="00D10BDA">
              <w:rPr>
                <w:rFonts w:ascii="Times New Roman" w:hAnsi="Times New Roman" w:cs="Times New Roman"/>
              </w:rPr>
              <w:t>21978593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4200940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2012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2B3C9FC6" w14:textId="141F031A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assess the deep optic nerve complex (ONC) structures in glaucoma using enhanced depth imaging</w:t>
            </w:r>
            <w:r w:rsidR="005137C6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(EDI) OCT</w:t>
            </w: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4FCA3BB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73 / 139; 49 eyes in final analysis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1C6255B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61 ± 16 (18-84)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0380279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45 M: 28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67B0C2A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 myopia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198E985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Primary open-angle glaucoma, exfoliative glaucoma, pigmentary glaucoma, chronic angle-closure glaucoma, uveitic glaucoma, and traumatic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0E7685A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Enhanced depth imaging (EDI) optical coherence tomography (OCT) </w:t>
            </w:r>
          </w:p>
        </w:tc>
        <w:tc>
          <w:tcPr>
            <w:tcW w:w="741" w:type="pct"/>
            <w:gridSpan w:val="2"/>
            <w:shd w:val="clear" w:color="auto" w:fill="auto"/>
            <w:vAlign w:val="center"/>
            <w:hideMark/>
          </w:tcPr>
          <w:p w14:paraId="73F2989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lamina cribrosa, short posterior ciliary artery, central retinal artery and vein, and other associated structures were visualized.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3CD567F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62018FA5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Need for patient cooperation during image acquisition, time-consuming procedures.</w:t>
            </w:r>
          </w:p>
        </w:tc>
      </w:tr>
      <w:tr w:rsidR="00641856" w:rsidRPr="00D10BDA" w14:paraId="11A1EB60" w14:textId="77777777" w:rsidTr="00B45B07">
        <w:trPr>
          <w:trHeight w:val="3410"/>
        </w:trPr>
        <w:tc>
          <w:tcPr>
            <w:tcW w:w="185" w:type="pct"/>
            <w:shd w:val="clear" w:color="auto" w:fill="auto"/>
            <w:vAlign w:val="center"/>
            <w:hideMark/>
          </w:tcPr>
          <w:p w14:paraId="594C775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658B821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Retrospective cohort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53925CC7" w14:textId="77777777" w:rsidR="00C66B71" w:rsidRPr="00D10BDA" w:rsidRDefault="00641856" w:rsidP="006418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Yamada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(10)</w:t>
            </w:r>
            <w:r w:rsidR="00C66B71" w:rsidRPr="00D10BDA">
              <w:rPr>
                <w:rFonts w:ascii="Times New Roman" w:hAnsi="Times New Roman" w:cs="Times New Roman"/>
              </w:rPr>
              <w:t xml:space="preserve"> </w:t>
            </w:r>
          </w:p>
          <w:p w14:paraId="340AE115" w14:textId="4664FA69" w:rsidR="00641856" w:rsidRPr="00D10BDA" w:rsidRDefault="00C66B71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hAnsi="Times New Roman" w:cs="Times New Roman"/>
              </w:rPr>
              <w:t>(PMID:26692299)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2069C0F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2016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141C9182" w14:textId="2B7E6D1F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investigate the relationship between the microstructure of b-zone peripapillary atrophy (PPA) and visual field (VF) progression in eyes with POAG, including highly myopic eyes.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2706F08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129 patients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5046761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64.4± 12.2 (35-84); 60.0± 12.1 (32-87); 53.3± 9.8 (30-65)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3A2DEEC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67 M: 62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F2F3E7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High myopia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227CF93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Primary open-angle glaucoma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2F7232A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Spectral-domain (SD) optical coherence tomography (OCT)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4B0D67C3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VF progression was faster in eyes with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PPAþBM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(group A) compared to eyes with PPA-BM (group C).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5C5287CB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Larger </w:t>
            </w: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PPAþBM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width was associated with a faster mean deviation slope in all eyes, while larger PPA-BM was correlated with a slower slope in all eyes but not in highly myopic eyes.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65305C6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0B5687BC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</w:tr>
      <w:tr w:rsidR="00641856" w:rsidRPr="00D10BDA" w14:paraId="0D50D2D2" w14:textId="77777777" w:rsidTr="00B45B07">
        <w:trPr>
          <w:trHeight w:val="1240"/>
        </w:trPr>
        <w:tc>
          <w:tcPr>
            <w:tcW w:w="185" w:type="pct"/>
            <w:shd w:val="clear" w:color="auto" w:fill="auto"/>
            <w:vAlign w:val="center"/>
            <w:hideMark/>
          </w:tcPr>
          <w:p w14:paraId="0BCF7E9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14:paraId="32375F76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Prospective observational study</w:t>
            </w:r>
          </w:p>
        </w:tc>
        <w:tc>
          <w:tcPr>
            <w:tcW w:w="312" w:type="pct"/>
            <w:shd w:val="clear" w:color="auto" w:fill="auto"/>
            <w:vAlign w:val="center"/>
            <w:hideMark/>
          </w:tcPr>
          <w:p w14:paraId="11560318" w14:textId="2AE760F1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Awadalla</w:t>
            </w:r>
            <w:proofErr w:type="spellEnd"/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et al.</w:t>
            </w:r>
            <w:r w:rsidR="00B841A0"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(11)</w:t>
            </w:r>
            <w:r w:rsidR="00C66B71" w:rsidRPr="00D10BDA">
              <w:rPr>
                <w:rFonts w:ascii="Times New Roman" w:hAnsi="Times New Roman" w:cs="Times New Roman"/>
              </w:rPr>
              <w:t xml:space="preserve"> (PMID:</w:t>
            </w:r>
            <w:r w:rsidR="00DA2537" w:rsidRPr="00D10BDA">
              <w:rPr>
                <w:rFonts w:ascii="Times New Roman" w:hAnsi="Times New Roman" w:cs="Times New Roman"/>
              </w:rPr>
              <w:t>30517101</w:t>
            </w:r>
            <w:r w:rsidR="00C66B71" w:rsidRPr="00D10B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" w:type="pct"/>
            <w:shd w:val="clear" w:color="auto" w:fill="auto"/>
            <w:vAlign w:val="center"/>
            <w:hideMark/>
          </w:tcPr>
          <w:p w14:paraId="2BC15F4D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2018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3471CD90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 determine the frequency of scan artifacts and errors in macular ganglion cell-inner plexiform layer (GCIPL) imaging using CIRRUS HD-OCT in individuals undergoing surveillance for glaucoma.</w:t>
            </w:r>
          </w:p>
        </w:tc>
        <w:tc>
          <w:tcPr>
            <w:tcW w:w="243" w:type="pct"/>
            <w:shd w:val="clear" w:color="auto" w:fill="auto"/>
            <w:vAlign w:val="center"/>
            <w:hideMark/>
          </w:tcPr>
          <w:p w14:paraId="0CE7D6D2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721 / 1439</w:t>
            </w:r>
          </w:p>
        </w:tc>
        <w:tc>
          <w:tcPr>
            <w:tcW w:w="306" w:type="pct"/>
            <w:shd w:val="clear" w:color="auto" w:fill="auto"/>
            <w:vAlign w:val="center"/>
            <w:hideMark/>
          </w:tcPr>
          <w:p w14:paraId="3528F10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64.7 (SD 10.1)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14:paraId="7EB3A954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310 M: 411 F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4D73EB2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High myopia 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7311503E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 specific type mentioned. </w:t>
            </w:r>
          </w:p>
        </w:tc>
        <w:tc>
          <w:tcPr>
            <w:tcW w:w="333" w:type="pct"/>
            <w:shd w:val="clear" w:color="auto" w:fill="auto"/>
            <w:vAlign w:val="center"/>
            <w:hideMark/>
          </w:tcPr>
          <w:p w14:paraId="7A405E3F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CIRRUS HD-OCT</w:t>
            </w:r>
          </w:p>
        </w:tc>
        <w:tc>
          <w:tcPr>
            <w:tcW w:w="348" w:type="pct"/>
            <w:shd w:val="clear" w:color="auto" w:fill="auto"/>
            <w:vAlign w:val="center"/>
            <w:hideMark/>
          </w:tcPr>
          <w:p w14:paraId="126C7D5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 small percentage of scans had artifacts or errors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14:paraId="67104B97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The most common co-morbid macular pathology was epiretinal membrane in 2.2% of the eyes included in the study.</w:t>
            </w:r>
          </w:p>
        </w:tc>
        <w:tc>
          <w:tcPr>
            <w:tcW w:w="384" w:type="pct"/>
            <w:shd w:val="clear" w:color="auto" w:fill="auto"/>
            <w:vAlign w:val="center"/>
            <w:hideMark/>
          </w:tcPr>
          <w:p w14:paraId="7730BE69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NR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14:paraId="2405CB31" w14:textId="77777777" w:rsidR="00641856" w:rsidRPr="00D10BDA" w:rsidRDefault="00641856" w:rsidP="00641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0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NA</w:t>
            </w:r>
          </w:p>
        </w:tc>
      </w:tr>
    </w:tbl>
    <w:bookmarkEnd w:id="0"/>
    <w:p w14:paraId="70B488B8" w14:textId="0B9873E3" w:rsidR="00553946" w:rsidRPr="00D10BDA" w:rsidRDefault="00C52B5B">
      <w:pPr>
        <w:rPr>
          <w:rFonts w:ascii="Times New Roman" w:hAnsi="Times New Roman" w:cs="Times New Roman"/>
        </w:rPr>
      </w:pPr>
      <w:r w:rsidRPr="00D10BDA">
        <w:rPr>
          <w:rFonts w:ascii="Times New Roman" w:hAnsi="Times New Roman" w:cs="Times New Roman"/>
        </w:rPr>
        <w:t xml:space="preserve">Note: </w:t>
      </w:r>
      <w:r w:rsidR="00330446" w:rsidRPr="00D10BDA">
        <w:rPr>
          <w:rFonts w:ascii="Times New Roman" w:hAnsi="Times New Roman" w:cs="Times New Roman"/>
        </w:rPr>
        <w:t xml:space="preserve">BMO, Bruch’s membrane openings; </w:t>
      </w:r>
      <w:r w:rsidRPr="00D10BDA">
        <w:rPr>
          <w:rFonts w:ascii="Times New Roman" w:hAnsi="Times New Roman" w:cs="Times New Roman"/>
        </w:rPr>
        <w:t xml:space="preserve">EDI-OCT, enhanced deep </w:t>
      </w:r>
      <w:r w:rsidR="00330446" w:rsidRPr="00D10BDA">
        <w:rPr>
          <w:rFonts w:ascii="Times New Roman" w:hAnsi="Times New Roman" w:cs="Times New Roman"/>
        </w:rPr>
        <w:t>imaging</w:t>
      </w:r>
      <w:r w:rsidRPr="00D10BDA">
        <w:rPr>
          <w:rFonts w:ascii="Times New Roman" w:hAnsi="Times New Roman" w:cs="Times New Roman"/>
        </w:rPr>
        <w:t xml:space="preserve">-optical coherence tomography; </w:t>
      </w:r>
      <w:r w:rsidR="00330446" w:rsidRPr="00D10BDA">
        <w:rPr>
          <w:rFonts w:ascii="Times New Roman" w:hAnsi="Times New Roman" w:cs="Times New Roman"/>
        </w:rPr>
        <w:t xml:space="preserve">F, female; </w:t>
      </w:r>
      <w:r w:rsidRPr="00D10BDA">
        <w:rPr>
          <w:rFonts w:ascii="Times New Roman" w:hAnsi="Times New Roman" w:cs="Times New Roman"/>
        </w:rPr>
        <w:t xml:space="preserve">GCIPL, ganglion cell-inner plexiform layer; HD-OCT, high-definition optical coherence tomography; </w:t>
      </w:r>
      <w:r w:rsidR="00330446" w:rsidRPr="00D10BDA">
        <w:rPr>
          <w:rFonts w:ascii="Times New Roman" w:hAnsi="Times New Roman" w:cs="Times New Roman"/>
        </w:rPr>
        <w:t xml:space="preserve">M, male; ONC, optic nerve complex; </w:t>
      </w:r>
      <w:r w:rsidRPr="00D10BDA">
        <w:rPr>
          <w:rFonts w:ascii="Times New Roman" w:hAnsi="Times New Roman" w:cs="Times New Roman"/>
        </w:rPr>
        <w:t xml:space="preserve">POAG, primary open-angle glaucoma; PPA, peripapillary atrophy; </w:t>
      </w:r>
      <w:r w:rsidR="00330446" w:rsidRPr="00D10BDA">
        <w:rPr>
          <w:rFonts w:ascii="Times New Roman" w:hAnsi="Times New Roman" w:cs="Times New Roman"/>
        </w:rPr>
        <w:t xml:space="preserve">RNFL, retinal nerve fiber layer; VD, vessel density; </w:t>
      </w:r>
      <w:r w:rsidRPr="00D10BDA">
        <w:rPr>
          <w:rFonts w:ascii="Times New Roman" w:hAnsi="Times New Roman" w:cs="Times New Roman"/>
        </w:rPr>
        <w:t xml:space="preserve">VF, visual fields; </w:t>
      </w:r>
    </w:p>
    <w:sectPr w:rsidR="00553946" w:rsidRPr="00D10BDA" w:rsidSect="00B45B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TO0NLE0MjcyMjaxNDZW0lEKTi0uzszPAykwrAUADGjfCiwAAAA="/>
  </w:docVars>
  <w:rsids>
    <w:rsidRoot w:val="00641856"/>
    <w:rsid w:val="000311BF"/>
    <w:rsid w:val="000E542C"/>
    <w:rsid w:val="001405D5"/>
    <w:rsid w:val="0024503C"/>
    <w:rsid w:val="00271E9B"/>
    <w:rsid w:val="002722FB"/>
    <w:rsid w:val="00330446"/>
    <w:rsid w:val="00365274"/>
    <w:rsid w:val="00423BA5"/>
    <w:rsid w:val="00470FA7"/>
    <w:rsid w:val="00474B6B"/>
    <w:rsid w:val="0050615C"/>
    <w:rsid w:val="005137C6"/>
    <w:rsid w:val="00553946"/>
    <w:rsid w:val="006073F2"/>
    <w:rsid w:val="00641856"/>
    <w:rsid w:val="00663525"/>
    <w:rsid w:val="0068074E"/>
    <w:rsid w:val="006A6B48"/>
    <w:rsid w:val="006C1CA8"/>
    <w:rsid w:val="007A2993"/>
    <w:rsid w:val="007C4E91"/>
    <w:rsid w:val="00A57A9B"/>
    <w:rsid w:val="00B12B67"/>
    <w:rsid w:val="00B45B07"/>
    <w:rsid w:val="00B841A0"/>
    <w:rsid w:val="00C11F1A"/>
    <w:rsid w:val="00C2178D"/>
    <w:rsid w:val="00C27120"/>
    <w:rsid w:val="00C52B5B"/>
    <w:rsid w:val="00C66B71"/>
    <w:rsid w:val="00C73034"/>
    <w:rsid w:val="00D10BDA"/>
    <w:rsid w:val="00DA2537"/>
    <w:rsid w:val="00DE6BDF"/>
    <w:rsid w:val="00E14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ECB9A"/>
  <w15:docId w15:val="{6594ECC0-F550-DB42-BB82-ADF32171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13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Thenmozhi V</cp:lastModifiedBy>
  <cp:revision>15</cp:revision>
  <dcterms:created xsi:type="dcterms:W3CDTF">2024-03-29T14:08:00Z</dcterms:created>
  <dcterms:modified xsi:type="dcterms:W3CDTF">2024-09-28T05:30:00Z</dcterms:modified>
</cp:coreProperties>
</file>