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B6B" w:rsidRPr="00E81F9C" w:rsidRDefault="00A64436" w:rsidP="00B75B6B">
      <w:pPr>
        <w:pStyle w:val="Heading2"/>
        <w:jc w:val="center"/>
        <w:rPr>
          <w:rFonts w:ascii="Arial Narrow" w:hAnsi="Arial Narrow"/>
          <w:b/>
          <w:bCs/>
          <w:color w:val="000000" w:themeColor="text1"/>
          <w:sz w:val="22"/>
          <w:szCs w:val="22"/>
        </w:rPr>
      </w:pPr>
      <w:r w:rsidRPr="00A64436">
        <w:rPr>
          <w:rFonts w:ascii="Arial Narrow" w:hAnsi="Arial Narrow"/>
          <w:b/>
          <w:bCs/>
          <w:color w:val="000000" w:themeColor="text1"/>
          <w:sz w:val="22"/>
          <w:szCs w:val="22"/>
        </w:rPr>
        <w:t xml:space="preserve">Supplementary </w:t>
      </w:r>
      <w:r w:rsidR="00B75B6B" w:rsidRPr="00E81F9C">
        <w:rPr>
          <w:rFonts w:ascii="Arial Narrow" w:hAnsi="Arial Narrow"/>
          <w:b/>
          <w:bCs/>
          <w:color w:val="000000" w:themeColor="text1"/>
          <w:sz w:val="22"/>
          <w:szCs w:val="22"/>
        </w:rPr>
        <w:t>material</w:t>
      </w:r>
    </w:p>
    <w:p w:rsidR="00B75B6B" w:rsidRPr="00E81F9C" w:rsidRDefault="00B75B6B" w:rsidP="00B75B6B">
      <w:pPr>
        <w:spacing w:after="160" w:line="276" w:lineRule="auto"/>
        <w:jc w:val="both"/>
        <w:rPr>
          <w:rFonts w:ascii="Arial Narrow" w:hAnsi="Arial Narrow"/>
          <w:b/>
          <w:color w:val="000000" w:themeColor="text1"/>
          <w:sz w:val="22"/>
          <w:szCs w:val="22"/>
          <w:lang w:val="en-US"/>
        </w:rPr>
      </w:pPr>
      <w:r w:rsidRPr="00E81F9C">
        <w:rPr>
          <w:rFonts w:ascii="Arial Narrow" w:hAnsi="Arial Narrow"/>
          <w:b/>
          <w:color w:val="000000" w:themeColor="text1"/>
          <w:sz w:val="22"/>
          <w:szCs w:val="22"/>
          <w:lang w:val="en-US"/>
        </w:rPr>
        <w:t>Appendix A</w:t>
      </w:r>
    </w:p>
    <w:p w:rsidR="00B75B6B" w:rsidRPr="00E81F9C" w:rsidRDefault="00B75B6B" w:rsidP="00B75B6B">
      <w:pPr>
        <w:spacing w:line="360" w:lineRule="auto"/>
        <w:rPr>
          <w:rFonts w:ascii="Arial Narrow" w:hAnsi="Arial Narrow"/>
          <w:color w:val="000000" w:themeColor="text1"/>
          <w:sz w:val="22"/>
          <w:szCs w:val="22"/>
        </w:rPr>
      </w:pPr>
      <w:r w:rsidRPr="00E81F9C">
        <w:rPr>
          <w:rFonts w:ascii="Arial Narrow" w:hAnsi="Arial Narrow"/>
          <w:b/>
          <w:color w:val="000000" w:themeColor="text1"/>
          <w:sz w:val="22"/>
          <w:szCs w:val="22"/>
        </w:rPr>
        <w:t>Table A1:</w:t>
      </w:r>
      <w:r w:rsidRPr="00E81F9C">
        <w:rPr>
          <w:rFonts w:ascii="Arial Narrow" w:hAnsi="Arial Narrow"/>
          <w:color w:val="000000" w:themeColor="text1"/>
          <w:sz w:val="22"/>
          <w:szCs w:val="22"/>
        </w:rPr>
        <w:t xml:space="preserve"> Review of recent literature related to AI and the future of work</w:t>
      </w:r>
    </w:p>
    <w:tbl>
      <w:tblPr>
        <w:tblW w:w="9210" w:type="dxa"/>
        <w:tblLook w:val="04A0" w:firstRow="1" w:lastRow="0" w:firstColumn="1" w:lastColumn="0" w:noHBand="0" w:noVBand="1"/>
      </w:tblPr>
      <w:tblGrid>
        <w:gridCol w:w="767"/>
        <w:gridCol w:w="1302"/>
        <w:gridCol w:w="4022"/>
        <w:gridCol w:w="1476"/>
        <w:gridCol w:w="1643"/>
      </w:tblGrid>
      <w:tr w:rsidR="00B75B6B" w:rsidRPr="00E81F9C" w:rsidTr="00186D1F">
        <w:trPr>
          <w:trHeight w:val="20"/>
          <w:tblHeader/>
        </w:trPr>
        <w:tc>
          <w:tcPr>
            <w:tcW w:w="767" w:type="dxa"/>
            <w:tcBorders>
              <w:top w:val="single" w:sz="4" w:space="0" w:color="auto"/>
              <w:left w:val="single" w:sz="4" w:space="0" w:color="auto"/>
              <w:bottom w:val="single" w:sz="4" w:space="0" w:color="auto"/>
              <w:right w:val="single" w:sz="4" w:space="0" w:color="auto"/>
            </w:tcBorders>
            <w:shd w:val="clear" w:color="auto" w:fill="auto"/>
            <w:noWrap/>
            <w:hideMark/>
          </w:tcPr>
          <w:p w:rsidR="00B75B6B" w:rsidRPr="006175BA" w:rsidRDefault="00B75B6B" w:rsidP="00B75B6B">
            <w:pPr>
              <w:spacing w:before="20" w:after="20"/>
              <w:rPr>
                <w:rFonts w:ascii="Arial Narrow" w:hAnsi="Arial Narrow" w:cs="Calibri"/>
                <w:b/>
                <w:sz w:val="20"/>
                <w:szCs w:val="20"/>
              </w:rPr>
            </w:pPr>
            <w:r w:rsidRPr="006175BA">
              <w:rPr>
                <w:rFonts w:ascii="Arial Narrow" w:hAnsi="Arial Narrow" w:cs="Calibri"/>
                <w:b/>
                <w:sz w:val="20"/>
                <w:szCs w:val="20"/>
              </w:rPr>
              <w:t>S. No.</w:t>
            </w:r>
          </w:p>
        </w:tc>
        <w:tc>
          <w:tcPr>
            <w:tcW w:w="1302" w:type="dxa"/>
            <w:tcBorders>
              <w:top w:val="single" w:sz="4" w:space="0" w:color="auto"/>
              <w:left w:val="nil"/>
              <w:bottom w:val="single" w:sz="4" w:space="0" w:color="auto"/>
              <w:right w:val="single" w:sz="4" w:space="0" w:color="auto"/>
            </w:tcBorders>
            <w:shd w:val="clear" w:color="auto" w:fill="auto"/>
            <w:hideMark/>
          </w:tcPr>
          <w:p w:rsidR="00B75B6B" w:rsidRPr="006175BA" w:rsidRDefault="00B75B6B" w:rsidP="00B75B6B">
            <w:pPr>
              <w:spacing w:before="20" w:after="20"/>
              <w:rPr>
                <w:rFonts w:ascii="Arial Narrow" w:hAnsi="Arial Narrow" w:cs="Calibri"/>
                <w:b/>
                <w:bCs/>
                <w:sz w:val="20"/>
                <w:szCs w:val="20"/>
              </w:rPr>
            </w:pPr>
            <w:r w:rsidRPr="006175BA">
              <w:rPr>
                <w:rFonts w:ascii="Arial Narrow" w:hAnsi="Arial Narrow" w:cs="Calibri"/>
                <w:b/>
                <w:bCs/>
                <w:sz w:val="20"/>
                <w:szCs w:val="20"/>
              </w:rPr>
              <w:t>Source</w:t>
            </w:r>
          </w:p>
        </w:tc>
        <w:tc>
          <w:tcPr>
            <w:tcW w:w="4022" w:type="dxa"/>
            <w:tcBorders>
              <w:top w:val="single" w:sz="4" w:space="0" w:color="auto"/>
              <w:left w:val="nil"/>
              <w:bottom w:val="single" w:sz="4" w:space="0" w:color="auto"/>
              <w:right w:val="single" w:sz="4" w:space="0" w:color="auto"/>
            </w:tcBorders>
            <w:shd w:val="clear" w:color="auto" w:fill="auto"/>
            <w:hideMark/>
          </w:tcPr>
          <w:p w:rsidR="00B75B6B" w:rsidRPr="006175BA" w:rsidRDefault="00B75B6B" w:rsidP="00B75B6B">
            <w:pPr>
              <w:spacing w:before="20" w:after="20"/>
              <w:rPr>
                <w:rFonts w:ascii="Arial Narrow" w:hAnsi="Arial Narrow" w:cs="Calibri"/>
                <w:b/>
                <w:bCs/>
                <w:sz w:val="20"/>
                <w:szCs w:val="20"/>
              </w:rPr>
            </w:pPr>
            <w:r w:rsidRPr="006175BA">
              <w:rPr>
                <w:rFonts w:ascii="Arial Narrow" w:hAnsi="Arial Narrow" w:cs="Calibri"/>
                <w:b/>
                <w:bCs/>
                <w:sz w:val="20"/>
                <w:szCs w:val="20"/>
              </w:rPr>
              <w:t>Key Findings</w:t>
            </w:r>
          </w:p>
        </w:tc>
        <w:tc>
          <w:tcPr>
            <w:tcW w:w="1476" w:type="dxa"/>
            <w:tcBorders>
              <w:top w:val="single" w:sz="4" w:space="0" w:color="auto"/>
              <w:left w:val="nil"/>
              <w:bottom w:val="single" w:sz="4" w:space="0" w:color="auto"/>
              <w:right w:val="single" w:sz="4" w:space="0" w:color="auto"/>
            </w:tcBorders>
            <w:shd w:val="clear" w:color="auto" w:fill="auto"/>
            <w:hideMark/>
          </w:tcPr>
          <w:p w:rsidR="00B75B6B" w:rsidRPr="006175BA" w:rsidRDefault="00B75B6B" w:rsidP="00B75B6B">
            <w:pPr>
              <w:spacing w:before="20" w:after="20"/>
              <w:rPr>
                <w:rFonts w:ascii="Arial Narrow" w:hAnsi="Arial Narrow" w:cs="Calibri"/>
                <w:b/>
                <w:bCs/>
                <w:sz w:val="20"/>
                <w:szCs w:val="20"/>
              </w:rPr>
            </w:pPr>
            <w:r w:rsidRPr="006175BA">
              <w:rPr>
                <w:rFonts w:ascii="Arial Narrow" w:hAnsi="Arial Narrow" w:cs="Calibri"/>
                <w:b/>
                <w:bCs/>
                <w:sz w:val="20"/>
                <w:szCs w:val="20"/>
              </w:rPr>
              <w:t>Theoretical Framework</w:t>
            </w:r>
          </w:p>
        </w:tc>
        <w:tc>
          <w:tcPr>
            <w:tcW w:w="1643" w:type="dxa"/>
            <w:tcBorders>
              <w:top w:val="single" w:sz="4" w:space="0" w:color="auto"/>
              <w:left w:val="nil"/>
              <w:bottom w:val="single" w:sz="4" w:space="0" w:color="auto"/>
              <w:right w:val="single" w:sz="4" w:space="0" w:color="auto"/>
            </w:tcBorders>
            <w:shd w:val="clear" w:color="auto" w:fill="auto"/>
            <w:hideMark/>
          </w:tcPr>
          <w:p w:rsidR="00B75B6B" w:rsidRPr="006175BA" w:rsidRDefault="00B75B6B" w:rsidP="00B75B6B">
            <w:pPr>
              <w:spacing w:before="20" w:after="20"/>
              <w:rPr>
                <w:rFonts w:ascii="Arial Narrow" w:hAnsi="Arial Narrow" w:cs="Calibri"/>
                <w:b/>
                <w:bCs/>
                <w:sz w:val="20"/>
                <w:szCs w:val="20"/>
              </w:rPr>
            </w:pPr>
            <w:r w:rsidRPr="006175BA">
              <w:rPr>
                <w:rFonts w:ascii="Arial Narrow" w:hAnsi="Arial Narrow" w:cs="Calibri"/>
                <w:b/>
                <w:bCs/>
                <w:sz w:val="20"/>
                <w:szCs w:val="20"/>
              </w:rPr>
              <w:t>Methodology</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1</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author":[{"dropping-particle":"","family":"Amankwah-Amoah","given":"J","non-dropping-particle":"","parse-names":false,"suffix":""},{"dropping-particle":"","family":"Abdalla","given":"S","non-dropping-particle":"","parse-names":false,"suffix":""},{"dropping-particle":"","family":"Mogaji","given":"E","non-dropping-particle":"","parse-names":false,"suffix":""},{"dropping-particle":"","family":"Elbanna","given":"A","non-dropping-particle":"","parse-names":false,"suffix":""},{"dropping-particle":"","family":"Dwivedi","given":"Y K","non-dropping-particle":"","parse-names":false,"suffix":""}],"container-title":"International Journal of Information Management","id":"ITEM-1","issued":{"date-parts":[["2024"]]},"note":"Elsevier BV","page":"1-11","title":"The impending disruption of creative industries by generative AI: Opportunities, challenges, and research agenda","type":"article-journal","volume":"79"},"uris":["http://www.mendeley.com/documents/?uuid=c0312b1a-8504-3f6e-bb14-43046be3601e"]}],"mendeley":{"formattedCitation":"(Amankwah-Amoah et al., 2024)","manualFormatting":"Amankwah-Amoah et al. (2024)","plainTextFormattedCitation":"(Amankwah-Amoah et al., 2024)","previouslyFormattedCitation":"(Amankwah-Amoah et al., 2024)"},"properties":{"noteIndex":0},"schema":"https://github.com/citation-style-language/schema/raw/master/csl-citation.json"}</w:instrText>
            </w:r>
            <w:r>
              <w:rPr>
                <w:rFonts w:ascii="Arial Narrow" w:hAnsi="Arial Narrow"/>
                <w:sz w:val="20"/>
                <w:szCs w:val="20"/>
              </w:rPr>
              <w:fldChar w:fldCharType="separate"/>
            </w:r>
            <w:r w:rsidRPr="001D59D1">
              <w:rPr>
                <w:rFonts w:ascii="Arial Narrow" w:hAnsi="Arial Narrow"/>
                <w:noProof/>
                <w:sz w:val="20"/>
                <w:szCs w:val="20"/>
              </w:rPr>
              <w:t>A</w:t>
            </w:r>
            <w:r>
              <w:rPr>
                <w:rFonts w:ascii="Arial Narrow" w:hAnsi="Arial Narrow"/>
                <w:noProof/>
                <w:sz w:val="20"/>
                <w:szCs w:val="20"/>
              </w:rPr>
              <w:t>mankwah-Amoah et al.</w:t>
            </w:r>
            <w:r w:rsidRPr="001D59D1">
              <w:rPr>
                <w:rFonts w:ascii="Arial Narrow" w:hAnsi="Arial Narrow"/>
                <w:noProof/>
                <w:sz w:val="20"/>
                <w:szCs w:val="20"/>
              </w:rPr>
              <w:t xml:space="preserve"> </w:t>
            </w:r>
            <w:r>
              <w:rPr>
                <w:rFonts w:ascii="Arial Narrow" w:hAnsi="Arial Narrow"/>
                <w:noProof/>
                <w:sz w:val="20"/>
                <w:szCs w:val="20"/>
              </w:rPr>
              <w:t>(</w:t>
            </w:r>
            <w:r w:rsidRPr="001D59D1">
              <w:rPr>
                <w:rFonts w:ascii="Arial Narrow" w:hAnsi="Arial Narrow"/>
                <w:noProof/>
                <w:sz w:val="20"/>
                <w:szCs w:val="20"/>
              </w:rPr>
              <w:t>2024)</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Synthesizing industry trends, the study suggests GenAI boosts creativity in creative industries but raises concerns around authenticity, copyright, and regulatory frameworks.</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Conceptual</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2</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sidR="0052057B">
              <w:rPr>
                <w:rFonts w:ascii="Arial Narrow" w:hAnsi="Arial Narrow"/>
                <w:sz w:val="20"/>
                <w:szCs w:val="20"/>
              </w:rPr>
              <w:instrText>ADDIN CSL_CITATION {"citationItems":[{"id":"ITEM-1","itemData":{"DOI":"10.1007/S10551-023-05339-7","ISSN":"15730697","abstract":"The increasing workplace use of artificially intelligent (AI) technologies has implications for the experience of meaningful human work. Meaningful work refers to the perception that one’s work has worth, significance, or a higher purpose. The development and organisational deployment of AI is accelerating, but the ways in which this will support or diminish opportunities for meaningful work and the ethical implications of these changes remain under-explored. This conceptual paper is positioned at the intersection of the meaningful work and ethical AI literatures and offers a detailed assessment of the ways in which the deployment of AI can enhance or diminish employees’ experiences of meaningful work. We first outline the nature of meaningful work and draw on philosophical and business ethics accounts to establish its ethical importance. We then explore the impacts of three paths of AI deployment (replacing some tasks, ‘tending the machine’, and amplifying human skills) across five dimensions constituting a holistic account of meaningful work, and finally assess the ethical implications. In doing so we help to contextualise the meaningful work literature for the era of AI, extend the ethical AI literature into the workplace, and conclude with a range of practical implications and future research directions.","author":[{"dropping-particle":"","family":"Bankins","given":"Sarah","non-dropping-particle":"","parse-names":false,"suffix":""},{"dropping-particle":"","family":"Formosa","given":"Paul","non-dropping-particle":"","parse-names":false,"suffix":""}],"container-title":"Journal of Business Ethics","id":"ITEM-1","issue":"4","issued":{"date-parts":[["2023","7","1"]]},"page":"725-740","publisher":"Springer Science and Business Media B.V.","title":"The Ethical Implications of Artificial Intelligence (AI) For Meaningful Work","type":"article-journal","volume":"185"},"uris":["http://www.mendeley.com/documents/?uuid=b947ce35-2a84-393b-be36-84c90ecbd835"]}],"mendeley":{"formattedCitation":"(Bankins &amp; Formosa, 2023)","manualFormatting":"Bankins &amp; Formosa (2023)","plainTextFormattedCitation":"(Bankins &amp; Formosa, 2023)","previouslyFormattedCitation":"(Bankins &amp; Formosa, 2023)"},"properties":{"noteIndex":0},"schema":"https://github.com/citation-style-language/schema/raw/master/csl-citation.json"}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Bankins &amp; Formosa (</w:t>
            </w:r>
            <w:r w:rsidRPr="001D59D1">
              <w:rPr>
                <w:rFonts w:ascii="Arial Narrow" w:hAnsi="Arial Narrow"/>
                <w:noProof/>
                <w:sz w:val="20"/>
                <w:szCs w:val="20"/>
              </w:rPr>
              <w:t>2023)</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Drawing on the Job Characteristics Model and AI4People framework, this paper explores AI’s impact on meaningful work across five dimensions and three modes of deployment (task replacement, machine tending, skill amplification).</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Job Characteristics Model, AI4People</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Conceptual Paper</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3</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{"citationItems":[{"id":"ITEM-1","itemData":{"DOI":"10.1002/JOB.2735","ISSN":"1099-1379","abstract":"The rising use of artificially intelligent (AI) technologies, including generative AI tools, in organizations is undeniable. As these systems become increasingly integrated into organizational practices and processes, understanding their impact on workers' experiences and job designs is critical. However, the ongoing discourse surrounding AI use in the workplace remains divided. Proponents of the technology extol its benefits for enhancing efficiency and productivity, while others voice concerns about the potential harm to human workers. To provide greater clarity on this pressing issue, this article presents a systematic review of empirical research that sheds light on the implications of AI use at work. Organized under five inductively generated themes within a multilevel framework, we uncover individual, group, and organizational factors that shape the interplay between humans and AI. Specifically, the themes are: (1) human–AI collaboration; (2) perceptions of algorithmic and human capabilities; (3) worker attitudes towards AI; (4) AI as a control mechanism in algorithmic management of platform-based work; and (5) labor market implications of AI use. Our review offers insights into these themes and identifies five pathways for future research. Finally, we provide practical recommendations for organizational leaders seeking to implement AI technologies while prioritizing their employees' well-being.","author":[{"dropping-particle":"","family":"Bankins","given":"Sarah","non-dropping-particle":"","parse-names":false,"suffix":""},{"dropping-particle":"","family":"Ocampo","given":"Anna Carmella","non-dropping-particle":"","parse-names":false,"suffix":""},{"dropping-particle":"","family":"Marrone","given":"Mauricio","non-dropping-particle":"","parse-names":false,"suffix":""},{"dropping-particle":"","family":"Restubog","given":"Simon Lloyd D.","non-dropping-particle":"","parse-names":false,"suffix":""},{"dropping-particle":"","family":"Woo","given":"Sang Eun","non-dropping-particle":"","parse-names":false,"suffix":""}],"container-title":"Journal of Organizational Behavior","id":"ITEM-1","issue":"2","issued":{"date-parts":[["2024","2","1"]]},"page":"159-182","publisher":"John Wiley &amp; Sons, Ltd","title":"A multilevel review of artificial intelligence in organizations: Implications for organizational behavior research and practice","type":"article-journal","volume":"45"},"uris":["http://www.mendeley.com/documents/?uuid=a65de017-86e5-39f1-99a9-f6f9f1a4dd59"]}],"mendeley":{"formattedCitation":"(Bankins et al., 2024)","manualFormatting":"Bankins et al. (2024)","plainTextFormattedCitation":"(Bankins et al., 2024)","previouslyFormattedCitation":"(Bankins et al., 2024)"},"properties":{"noteIndex":0},"schema":"https://github.com/citation-style-language/schema/raw/master/csl-citation.json"}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Bankins et al.</w:t>
            </w:r>
            <w:r w:rsidRPr="001D59D1">
              <w:rPr>
                <w:rFonts w:ascii="Arial Narrow" w:hAnsi="Arial Narrow"/>
                <w:noProof/>
                <w:sz w:val="20"/>
                <w:szCs w:val="20"/>
              </w:rPr>
              <w:t xml:space="preserve"> </w:t>
            </w:r>
            <w:r>
              <w:rPr>
                <w:rFonts w:ascii="Arial Narrow" w:hAnsi="Arial Narrow"/>
                <w:noProof/>
                <w:sz w:val="20"/>
                <w:szCs w:val="20"/>
              </w:rPr>
              <w:t>(</w:t>
            </w:r>
            <w:r w:rsidRPr="001D59D1">
              <w:rPr>
                <w:rFonts w:ascii="Arial Narrow" w:hAnsi="Arial Narrow"/>
                <w:noProof/>
                <w:sz w:val="20"/>
                <w:szCs w:val="20"/>
              </w:rPr>
              <w:t>2024)</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systematic literature review clarifies conflicting discourse on AI at work, focusing on implications for fairness, diversity, and decision-making in organizational AI adoption.</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Conceptual Study - Literature Review</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4</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{"citationItems":[{"id":"ITEM-1","itemData":{"DOI":"10.17705/1jais.00861","ISSN":"1536-9323","abstract":"Generative artificial intelligence (GenAI) is rapidly becoming a viable tool to enhance productivity and act as a catalyst for innovation across various sectors. Its ability to perform tasks that have traditionally required human judgment and creativity is transforming knowledge and creative work. Yet it also raises concerns and implications that could reshape the very landscape of knowledge and creative work. In this editorial, we undertake an in-depth examination of both the opportunities and challenges presented by GenAI for future IS research.","author":[{"dropping-particle":"","family":"Benbya","given":"Hind","non-dropping-particle":"","parse-names":false,"suffix":""},{"dropping-particle":"","family":"Strich","given":"Franz","non-dropping-particle":"","parse-names":false,"suffix":""},{"dropping-particle":"","family":"Tamm","given":"Toomas","non-dropping-particle":"","parse-names":false,"suffix":""}],"container-title":"Journal of the Association for Information Systems","id":"ITEM-1","issue":"1","issued":{"date-parts":[["2024","1","1"]]},"page":"23-36","publisher":"Association for Information Systems","title":"Navigating Generative Artificial Intelligence Promises and Perils for Knowledge and Creative Work","type":"article-journal","volume":"25"},"uris":["http://www.mendeley.com/documents/?uuid=a5c2682b-ab99-352d-a2fc-ee8cd82c1ca3"]}],"mendeley":{"formattedCitation":"(Benbya et al., 2024)","manualFormatting":"Benbya et al. (2024)","plainTextFormattedCitation":"(Benbya et al., 2024)","previouslyFormattedCitation":"(Benbya et al., 2024)"},"properties":{"noteIndex":0},"schema":"https://github.com/citation-style-language/schema/raw/master/csl-citation.json"}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Benbya et al.</w:t>
            </w:r>
            <w:r w:rsidRPr="001D59D1">
              <w:rPr>
                <w:rFonts w:ascii="Arial Narrow" w:hAnsi="Arial Narrow"/>
                <w:noProof/>
                <w:sz w:val="20"/>
                <w:szCs w:val="20"/>
              </w:rPr>
              <w:t xml:space="preserve"> </w:t>
            </w:r>
            <w:r>
              <w:rPr>
                <w:rFonts w:ascii="Arial Narrow" w:hAnsi="Arial Narrow"/>
                <w:noProof/>
                <w:sz w:val="20"/>
                <w:szCs w:val="20"/>
              </w:rPr>
              <w:t>(</w:t>
            </w:r>
            <w:r w:rsidRPr="001D59D1">
              <w:rPr>
                <w:rFonts w:ascii="Arial Narrow" w:hAnsi="Arial Narrow"/>
                <w:noProof/>
                <w:sz w:val="20"/>
                <w:szCs w:val="20"/>
              </w:rPr>
              <w:t>2024)</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conceptual paper outlines GenAI's transformative impact on knowledge work through creativity automation, modal conversion, and machine creativity.</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Conceptual Paper</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5</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{"citationItems":[{"id":"ITEM-1","itemData":{"DOI":"10.1016/J.JBUSRES.2020.08.018","ISSN":"0148-2963","abstract":"This research examines the tension between the aims of the United Nations’ Sustainable Development Goal 8 (SDG 8), to promote productive employment and decent work, and the adoption of Artificial Intelligence (AI). Our findings are based on the analysis of 232 survey results, where we tested the effects of AI adoption on workers’ psychological contract, engagement and trust. We find that psychological contracts had a significant, positive effect on job engagement and on trust. Yet, with AI adoption, the positive effect of psychological contracts fell significantly. A further re-examination of the extant literature leads us to posit that AI adoption fosters the creation of a third type of psychological contract, which we term “Alienational”. Whereas SDG 8 is premised on strengthening relational contracts between an organization and its employees, the adoption of AI has the opposite effect, detracting from the very nature of decent work.","author":[{"dropping-particle":"","family":"Braganza","given":"Ashley","non-dropping-particle":"","parse-names":false,"suffix":""},{"dropping-particle":"","family":"Chen","given":"Weifeng","non-dropping-particle":"","parse-names":false,"suffix":""},{"dropping-particle":"","family":"Canhoto","given":"Ana","non-dropping-particle":"","parse-names":false,"suffix":""},{"dropping-particle":"","family":"Sap","given":"Serap","non-dropping-particle":"","parse-names":false,"suffix":""}],"container-title":"Journal of Business Research","id":"ITEM-1","issued":{"date-parts":[["2021","7","1"]]},"page":"485-494","publisher":"Elsevier","title":"Productive employment and decent work: The impact of AI adoption on psychological contracts, job engagement and employee trust","type":"article-journal","volume":"131"},"uris":["http://www.mendeley.com/documents/?uuid=17c6008e-de80-3ac2-8e3e-9d30f483d6ae"]}],"mendeley":{"formattedCitation":"(Braganza et al., 2021)","manualFormatting":"Braganza et al. (2021)","plainTextFormattedCitation":"(Braganza et al., 2021)","previouslyFormattedCitation":"(Braganza et al., 2021)"},"properties":{"noteIndex":0},"schema":"https://github.com/citation-style-language/schema/raw/master/csl-citation.json"}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Braganza et al. (</w:t>
            </w:r>
            <w:r w:rsidRPr="001D59D1">
              <w:rPr>
                <w:rFonts w:ascii="Arial Narrow" w:hAnsi="Arial Narrow"/>
                <w:noProof/>
                <w:sz w:val="20"/>
                <w:szCs w:val="20"/>
              </w:rPr>
              <w:t>2021)</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survey of 232 respondents using PLS-SEM reveals that AI adoption disrupts traditional psychological contracts, creating an “alienational” contract that weakens job engagement despite improving trust relationships.</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Quantitative</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6</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{"citationItems":[{"id":"ITEM-1","itemData":{"DOI":"10.1093/QJE/QJAE044","ISSN":"0033-5533","abstract":"&lt;p&gt;We study the staggered introduction of a generative AI–based conversational assistant using data from 5,172 customer-support agents. Access to AI assistance increases worker productivity, as measured by issues resolved per hour, by 15% on average, with substantial heterogeneity across workers. The effects vary significantly across different agents. Less experienced and lower-skilled workers improve both the speed and quality of their output, while the most experienced and highest-skilled workers see small gains in speed and small declines in quality. We also find evidence that AI assistance facilitates worker learning and improves English fluency, particularly among international agents. While AI systems improve with more training data, we find that the gains from AI adoption are largest for moderately rare problems, where human agents have less baseline experience but the system still has adequate training data. Finally, we provide evidence that AI assistance improves the experience of work along several dimensions: customers are more polite and less likely to ask to speak to a manager.&lt;/p&gt;","author":[{"dropping-particle":"","family":"Brynjolfsson","given":"Erik","non-dropping-particle":"","parse-names":false,"suffix":""},{"dropping-particle":"","family":"Li","given":"Danielle","non-dropping-particle":"","parse-names":false,"suffix":""},{"dropping-particle":"","family":"Raymond","given":"Lindsey","non-dropping-particle":"","parse-names":false,"suffix":""}],"container-title":"The Quarterly Journal of Economics","id":"ITEM-1","issue":"2","issued":{"date-parts":[["2025","4","8"]]},"page":"889-942","publisher":"Oxford Academic","title":"Generative AI at Work","type":"article-journal","volume":"140"},"uris":["http://www.mendeley.com/documents/?uuid=bf9c1497-f55f-3a06-b2cb-6199bf7ea76f"]}],"mendeley":{"formattedCitation":"(Brynjolfsson et al., 2025)","manualFormatting":"Brynjolfsson et al. (2025)","plainTextFormattedCitation":"(Brynjolfsson et al., 2025)","previouslyFormattedCitation":"(Brynjolfsson et al., 2025)"},"properties":{"noteIndex":0},"schema":"https://github.com/citation-style-language/schema/raw/master/csl-citation.json"}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Brynjolfsson et al. (</w:t>
            </w:r>
            <w:r w:rsidRPr="001D59D1">
              <w:rPr>
                <w:rFonts w:ascii="Arial Narrow" w:hAnsi="Arial Narrow"/>
                <w:noProof/>
                <w:sz w:val="20"/>
                <w:szCs w:val="20"/>
              </w:rPr>
              <w:t>2025)</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An RCT with 5,172 customer service agents using OLS and difference-in-difference methods shows AI boosts productivity by 15%, especially for less experienced and international agents. Gains include faster resolutions, multitasking, and fluency.</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Quantitative</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7</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sidR="0052057B">
              <w:rPr>
                <w:rFonts w:ascii="Arial Narrow" w:hAnsi="Arial Narrow"/>
                <w:sz w:val="20"/>
                <w:szCs w:val="20"/>
              </w:rPr>
              <w:instrText>ADDIN CSL_CITATION {"citationItems":[{"id":"ITEM-1","itemData":{"DOI":"10.1108/IJCHM-05-2023-0686","ISSN":"09596119","abstract":"Purpose: The hospitality and tourism sector has witnessed phenomenal growth in customer numbers during the postpandemic times. This growth has been accompanied by the use of technologies in customer interface and backend activities, including the adoption of self-serving technologies. This study aims to analyze the existing practices and challenges and establish a research agenda for the implementation of generative artificial intelligence (AI) (such as ChatGPT) and similar tools in the hospitality and tourism industry. Design/methodology/approach: This study analyzes the existing literature and practices. This study draws upon these practices to outline a novel research agenda for scholars and practitioners working in this domain. Findings: The integration of generative AI technologies, such as ChatGPT, will have a transformational impact on the hospitality and tourism industry. This study highlights the potential challenges of implementing such technologies from the perspectives of companies, customers and regulators. Research limitations/implications: This study serves as a reference material for those who are planning to use generative AI tools like ChatGPT in their hospitality and tourism businesses. This study also highlights potential pitfalls that ChatGPT-enabled systems may encounter during service delivery processes. Originality/value: This study is a pioneering work that assesses the applications of ChatGPT in the hospitality and tourism industry. This study highlights the potential and challenges in implementing ChatGPT within the hospitality and tourism industry.","author":[{"dropping-particle":"","family":"Dwivedi","given":"Yogesh K.","non-dropping-particle":"","parse-names":false,"suffix":""},{"dropping-particle":"","family":"Pandey","given":"Neeraj","non-dropping-particle":"","parse-names":false,"suffix":""},{"dropping-particle":"","family":"Currie","given":"Wendy","non-dropping-particle":"","parse-names":false,"suffix":""},{"dropping-particle":"","family":"Micu","given":"Adrian","non-dropping-particle":"","parse-names":false,"suffix":""}],"container-title":"International Journal of Contemporary Hospitality Management","id":"ITEM-1","issue":"1","issued":{"date-parts":[["2024","1","2"]]},"page":"1-12","publisher":"Emerald Publishing","title":"Leveraging ChatGPT and other generative artificial intelligence (AI)-based applications in the hospitality and tourism industry: practices, challenges and research agenda","type":"article-journal","volume":"36"},"uris":["http://www.mendeley.com/documents/?uuid=8c6ae504-e028-345b-ba3b-f172b7cc2fe7"]}],"mendeley":{"formattedCitation":"(Dwivedi et al., 2024)","manualFormatting":"Dwivedi et al. (2024)","plainTextFormattedCitation":"(Dwivedi et al., 2024)","previouslyFormattedCitation":"(Dwivedi et al., 2024)"},"properties":{"noteIndex":0},"schema":"https://github.com/citation-style-language/schema/raw/master/csl-citation.json"}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Dwivedi et al.</w:t>
            </w:r>
            <w:r w:rsidRPr="001D59D1">
              <w:rPr>
                <w:rFonts w:ascii="Arial Narrow" w:hAnsi="Arial Narrow"/>
                <w:noProof/>
                <w:sz w:val="20"/>
                <w:szCs w:val="20"/>
              </w:rPr>
              <w:t xml:space="preserve"> </w:t>
            </w:r>
            <w:r>
              <w:rPr>
                <w:rFonts w:ascii="Arial Narrow" w:hAnsi="Arial Narrow"/>
                <w:noProof/>
                <w:sz w:val="20"/>
                <w:szCs w:val="20"/>
              </w:rPr>
              <w:t>(</w:t>
            </w:r>
            <w:r w:rsidRPr="001D59D1">
              <w:rPr>
                <w:rFonts w:ascii="Arial Narrow" w:hAnsi="Arial Narrow"/>
                <w:noProof/>
                <w:sz w:val="20"/>
                <w:szCs w:val="20"/>
              </w:rPr>
              <w:t>2024)</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conceptual paper argues ChatGPT augments, but does not replace, hospitality workers, shifting them toward more meaningful customer-facing roles and improving job enrichment.</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Conceptual</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8</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{"citationItems":[{"id":"ITEM-1","itemData":{"DOI":"10.25300/MISQ/2021/16553","ISSN":"21629730","abstract":"We analyze how advice from an AI affects complementarities between humans and AI, in particular what humans know that an AI does not know: “unique human knowledge.” In a multi-method study consisting of an analytical model, experimental studies, and a simulation study, our main finding is that human choices converge toward similar responses improving individual accuracy. However, as overall individual accuracy of the group of humans improves, the individual unique human knowledge decreases. Based on this finding, we claim that humans interacting with AI behave like “Borgs,” that is, cyborg creatures with strong individual performance but no human individuality. We argue that the loss of unique human knowledge may lead to several undesirable outcomes in a host of human–AI decision environments. We demonstrate this harmful impact on the “wisdom of crowds.” Simulation results based on our experimental data suggest that groups of humans interacting with AI are far less effective as compared to human groups without AI assistance. We suggest mitigation techniques to create environments that can provide the best of both worlds (e.g., by personalizing AI advice). We show that such interventions perform well individually as well as in wisdom of crowds settings.","author":[{"dropping-particle":"","family":"Fügener","given":"Andreas","non-dropping-particle":"","parse-names":false,"suffix":""},{"dropping-particle":"","family":"Grahl","given":"Jörn","non-dropping-particle":"","parse-names":false,"suffix":""},{"dropping-particle":"","family":"Gupta","given":"Alok","non-dropping-particle":"","parse-names":false,"suffix":""},{"dropping-particle":"","family":"Ketter","given":"Wolfgang","non-dropping-particle":"","parse-names":false,"suffix":""}],"container-title":"MIS Quarterly","id":"ITEM-1","issue":"3b","issued":{"date-parts":[["2021","6","1"]]},"page":"1527-1556","publisher":"University of Minnesota","title":"Will Humans-in-the-Loop Become Borgs?  Merits and Pitfalls of Working with AI (Open Access)","type":"article-journal","volume":"45"},"uris":["http://www.mendeley.com/documents/?uuid=622fa2b8-cc28-38b6-bf89-728c25de2f8f"]}],"mendeley":{"formattedCitation":"(Fügener et al., 2021)","manualFormatting":"Fügener et al. (2021)","plainTextFormattedCitation":"(Fügener et al., 2021)","previouslyFormattedCitation":"(Fügener et al., 2021)"},"properties":{"noteIndex":0},"schema":"https://github.com/citation-style-language/schema/raw/master/csl-citation.json"}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Fügener et al.</w:t>
            </w:r>
            <w:r w:rsidRPr="001D59D1">
              <w:rPr>
                <w:rFonts w:ascii="Arial Narrow" w:hAnsi="Arial Narrow"/>
                <w:noProof/>
                <w:sz w:val="20"/>
                <w:szCs w:val="20"/>
              </w:rPr>
              <w:t xml:space="preserve"> </w:t>
            </w:r>
            <w:r>
              <w:rPr>
                <w:rFonts w:ascii="Arial Narrow" w:hAnsi="Arial Narrow"/>
                <w:noProof/>
                <w:sz w:val="20"/>
                <w:szCs w:val="20"/>
              </w:rPr>
              <w:t>(</w:t>
            </w:r>
            <w:r w:rsidRPr="001D59D1">
              <w:rPr>
                <w:rFonts w:ascii="Arial Narrow" w:hAnsi="Arial Narrow"/>
                <w:noProof/>
                <w:sz w:val="20"/>
                <w:szCs w:val="20"/>
              </w:rPr>
              <w:t>2021)</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Using models, experiments, and simulations, the study shows AI improves accuracy but reduces individual uniqueness, undermining the wisdom of crowds. Personalized AI advice is suggested as a solution.</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Multi-method</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9</w:t>
            </w:r>
          </w:p>
        </w:tc>
        <w:tc>
          <w:tcPr>
            <w:tcW w:w="1302"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{"citationItems":[{"id":"ITEM-1","itemData":{"DOI":"10.1016/J.CHB.2022.107502","ISSN":"0747-5632","abstract":"With the development of technology, the quality of AI-generated text has improved. This is relevant in the AI art field, where AI generates literature or poetry that is appreciated. This study compared human-made and AI-generated haiku poetry, which is composed with 17 syllables and the world's shortest and clearest rules, to examine aesthetic evaluations of AI art and people's beliefs about it. AI-generated haiku were divided into those with and without human intervention. Two tasks were completed by 385 participants. The first involved evaluating human-made and AI-generated haiku on 21 items, such as beauty. The second involved determining whether the haiku were human-made or AI-generated. The results showed that the beauty rating of the AI-generated haiku with the human intervention was the highest, and those of the human-made and AI-generated haiku without human intervention were equal. Furthermore, participants could not distinguish between human-made and AI-generated haiku. These results suggest that human–AI collaboration has better creativity in haiku production. Moreover, a negative correlation was found between discrimination performance and beauty rating in AI-generated haiku, suggesting that high-quality AI-generated work is believed to be human-made. This study indicates the potential of human–AI collaboration in haiku and the underestimation of AI art due to algorithm aversion.","author":[{"dropping-particle":"","family":"Hitsuwari","given":"Jimpei","non-dropping-particle":"","parse-names":false,"suffix":""},{"dropping-particle":"","family":"Ueda","given":"Yoshiyuki","non-dropping-particle":"","parse-names":false,"suffix":""},{"dropping-particle":"","family":"Yun","given":"Woojin","non-dropping-particle":"","parse-names":false,"suffix":""},{"dropping-particle":"","family":"Nomura","given":"Michio","non-dropping-particle":"","parse-names":false,"suffix":""}],"container-title":"Computers in Human Behavior","id":"ITEM-1","issued":{"date-parts":[["2023","2","1"]]},"page":"107502","publisher":"Pergamon","title":"Does human–AI collaboration lead to more creative art? Aesthetic evaluation of human-made and AI-generated haiku poetry","type":"article-journal","volume":"139"},"uris":["http://www.mendeley.com/documents/?uuid=4f0b4f35-fa97-3097-879a-850d89de1a52"]}],"mendeley":{"formattedCitation":"(Hitsuwari et al., 2023)","manualFormatting":"Hitsuwari et al. (2023)","plainTextFormattedCitation":"(Hitsuwari et al., 2023)","previouslyFormattedCitation":"(Hitsuwari et al., 2023)"},"properties":{"noteIndex":0},"schema":"https://github.com/citation-style-language/schema/raw/master/csl-citation.json"}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Hitsuwari et al. (</w:t>
            </w:r>
            <w:r w:rsidRPr="001D59D1">
              <w:rPr>
                <w:rFonts w:ascii="Arial Narrow" w:hAnsi="Arial Narrow"/>
                <w:noProof/>
                <w:sz w:val="20"/>
                <w:szCs w:val="20"/>
              </w:rPr>
              <w:t>2023)</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An experimental study with 385 participants using ANOVA found that haikus co-created by humans and AI were rated more aesthetically pleasing than those generated solely by humans or AI. Participants struggled to identify the source of authorship.</w:t>
            </w:r>
          </w:p>
        </w:tc>
        <w:tc>
          <w:tcPr>
            <w:tcW w:w="1476"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Quantitative</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10</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ISSN":"0008-1256","author":[{"dropping-particle":"","family":"Huang","given":"Ming-Hui","non-dropping-particle":"","parse-names":false,"suffix":""},{"dropping-particle":"","family":"Rust","given":"Roland","non-dropping-particle":"","parse-names":false,"suffix":""},{"dropping-particle":"","family":"Maksimovic","given":"Vojislav","non-dropping-particle":"","parse-names":false,"suffix":""}],"container-title":"California management review","id":"ITEM-1","issue":"4","issued":{"date-parts":[["2019"]]},"page":"43-65","publisher":"SAGE Publications Sage CA: Los Angeles, CA","title":"The feeling economy: Managing in the next generation of artificial intelligence (AI)","type":"article-journal","volume":"61"},"uris":["http://www.mendeley.com/documents/?uuid=22705b7f-c10f-30e9-a111-05674e5a5d5e"]}],"mendeley":{"formattedCitation":"(Huang et al., 2019)","manualFormatting":"Huang et al. (2019)","plainTextFormattedCitation":"(Huang et al., 2019)","previouslyFormattedCitation":"(Huang et al., 2019)"},"properties":{"noteIndex":0},"schema":"https://github.com/citation-style-language/schema/raw/master/csl-citation.json"}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Huang et al.</w:t>
            </w:r>
            <w:r w:rsidRPr="001D59D1">
              <w:rPr>
                <w:rFonts w:ascii="Arial Narrow" w:hAnsi="Arial Narrow"/>
                <w:noProof/>
                <w:sz w:val="20"/>
                <w:szCs w:val="20"/>
              </w:rPr>
              <w:t xml:space="preserve"> </w:t>
            </w:r>
            <w:r>
              <w:rPr>
                <w:rFonts w:ascii="Arial Narrow" w:hAnsi="Arial Narrow"/>
                <w:noProof/>
                <w:sz w:val="20"/>
                <w:szCs w:val="20"/>
              </w:rPr>
              <w:t>(</w:t>
            </w:r>
            <w:r w:rsidRPr="001D59D1">
              <w:rPr>
                <w:rFonts w:ascii="Arial Narrow" w:hAnsi="Arial Narrow"/>
                <w:noProof/>
                <w:sz w:val="20"/>
                <w:szCs w:val="20"/>
              </w:rPr>
              <w:t>2019)</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Analysis of U.S. O*NET data (2006-2016) shows AI is taking over analytical tasks, while humans increasingly focus on emotional and interpersonal work, aligned with the “Feeling Economy.”</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Quantitative</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11</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{"citationItems":[{"id":"ITEM-1","itemData":{"DOI":"10.1287/ORSC.2023.18441","ISSN":"1047-7039","abstract":"Generative artificial intelligence (AI) holds the potential to either complement workers by enhancing their productivity or substitute them. We examine the short-term effects of the recently releas...","author":[{"dropping-particle":"","family":"Hui","given":"Xiang","non-dropping-particle":"","parse-names":false,"suffix":""},{"dropping-particle":"","family":"Reshef","given":"Oren","non-dropping-particle":"","parse-names":false,"suffix":""},{"dropping-particle":"","family":"Zhou","given":"Luofeng","non-dropping-particle":"","parse-names":false,"suffix":""}],"container-title":"Organization Science","id":"ITEM-1","issue":"6","issued":{"date-parts":[["2024","9","24"]]},"page":"1977-1989","publisher":"INFORMS","title":"The Short-Term Effects of Generative Artificial Intelligence on Employment: Evidence from an Online Labor Market","type":"article-journal","volume":"35"},"uris":["http://www.mendeley.com/documents/?uuid=bdebc504-1664-3660-a32d-c21ec9d7e000"]}],"mendeley":{"formattedCitation":"(Hui et al., 2024)","manualFormatting":"Hui et al. (2024)","plainTextFormattedCitation":"(Hui et al., 2024)","previouslyFormattedCitation":"(Hui et al., 2024)"},"properties":{"noteIndex":0},"schema":"https://github.com/citation-style-language/schema/raw/master/csl-citation.json"}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Hui et al.</w:t>
            </w:r>
            <w:r w:rsidRPr="001D59D1">
              <w:rPr>
                <w:rFonts w:ascii="Arial Narrow" w:hAnsi="Arial Narrow"/>
                <w:noProof/>
                <w:sz w:val="20"/>
                <w:szCs w:val="20"/>
              </w:rPr>
              <w:t xml:space="preserve"> </w:t>
            </w:r>
            <w:r>
              <w:rPr>
                <w:rFonts w:ascii="Arial Narrow" w:hAnsi="Arial Narrow"/>
                <w:noProof/>
                <w:sz w:val="20"/>
                <w:szCs w:val="20"/>
              </w:rPr>
              <w:t>(</w:t>
            </w:r>
            <w:r w:rsidRPr="001D59D1">
              <w:rPr>
                <w:rFonts w:ascii="Arial Narrow" w:hAnsi="Arial Narrow"/>
                <w:noProof/>
                <w:sz w:val="20"/>
                <w:szCs w:val="20"/>
              </w:rPr>
              <w:t>2024)</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difference-in-difference study of ~80,000 Upwork freelancers (Jan 2022-Apr 2023) reveals a 2% decline in job volume and a 5.2% drop in earnings in AI-impacted roles post-ChatGPT launch.</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Quantitative</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12</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{"citationItems":[{"id":"ITEM-1","itemData":{"ISSN":"0007-6813","author":[{"dropping-particle":"","family":"Jarrahi","given":"Mohammad Hossein","non-dropping-particle":"","parse-names":false,"suffix":""}],"container-title":"Business horizons","id":"ITEM-1","issue":"4","issued":{"date-parts":[["2018"]]},"page":"577-586","publisher":"Elsevier","title":"Artificial intelligence and the future of work: Human-AI symbiosis in organizational decision making","type":"article-journal","volume":"61"},"uris":["http://www.mendeley.com/documents/?uuid=200ebe7e-4b4c-36a4-a1bc-e9a81f1fb6f8"]}],"mendeley":{"formattedCitation":"(Jarrahi, 2018)","manualFormatting":"Jarrahi (2018)","plainTextFormattedCitation":"(Jarrahi, 2018)","previouslyFormattedCitation":"(Jarrahi, 2018)"},"properties":{"noteIndex":0},"schema":"https://github.com/citation-style-language/schema/raw/master/csl-citation.json"}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Jarrahi</w:t>
            </w:r>
            <w:r w:rsidRPr="001675D4">
              <w:rPr>
                <w:rFonts w:ascii="Arial Narrow" w:hAnsi="Arial Narrow" w:cs="Calibri"/>
                <w:noProof/>
                <w:sz w:val="20"/>
                <w:szCs w:val="20"/>
              </w:rPr>
              <w:t xml:space="preserve"> </w:t>
            </w:r>
            <w:r>
              <w:rPr>
                <w:rFonts w:ascii="Arial Narrow" w:hAnsi="Arial Narrow" w:cs="Calibri"/>
                <w:noProof/>
                <w:sz w:val="20"/>
                <w:szCs w:val="20"/>
              </w:rPr>
              <w:t>(</w:t>
            </w:r>
            <w:r w:rsidRPr="001675D4">
              <w:rPr>
                <w:rFonts w:ascii="Arial Narrow" w:hAnsi="Arial Narrow" w:cs="Calibri"/>
                <w:noProof/>
                <w:sz w:val="20"/>
                <w:szCs w:val="20"/>
              </w:rPr>
              <w:t>2018)</w:t>
            </w:r>
            <w:r>
              <w:rPr>
                <w:rFonts w:ascii="Arial Narrow" w:hAnsi="Arial Narrow" w:cs="Calibri"/>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 xml:space="preserve">A conceptual analysis posits that humans and AI have complementary strengths in organizational decision-making: AI excels at analytical complexity, </w:t>
            </w:r>
            <w:r w:rsidRPr="006175BA">
              <w:rPr>
                <w:rFonts w:ascii="Arial Narrow" w:hAnsi="Arial Narrow" w:cs="Calibri"/>
                <w:sz w:val="20"/>
                <w:szCs w:val="20"/>
              </w:rPr>
              <w:lastRenderedPageBreak/>
              <w:t>while humans navigate uncertainty with holistic intuition.</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lastRenderedPageBreak/>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Conceptual</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lastRenderedPageBreak/>
              <w:t>13</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{"citationItems":[{"id":"ITEM-1","itemData":{"DOI":"10.5465/AMJ.2022.0426","ISSN":"00014273","abstract":"Can artificial intelligence (AI) assist human employees in increasing employee creativity? Drawing on research on AI–human collaboration, job design, and employee creativity, we examine AI assistance in the form of a sequential division of labor within organizations: in a task, AI handles the initial portion, which is well-codified and repetitive, and employees focus on the subsequent portion, involving higher-level problem-solving. First, we provide causal evidence from a field experiment conducted at a telemarketing company. We find that AI assistance in generating sales leads, on average, increases employees’ creativity in answering customers’ questions during subsequent sales persuasion. Enhanced creativity leads to increased sales. However, this effect is much more pronounced for higher-skilled employees. Next, we conducted a qualitative study using semi-structured interviews with the employees. We found that AI assistance changes job design by intensifying employees’ interactions with more serious customers. This change enables higher-skilled employees to generate innovative scripts and develop positive emotions at work, which are conducive to creativity. By contrast, with AI assistance, lower-skilled employees make limited improvements to scripts and experience negative emotions at work. We conclude that employees can achieve AI-augmented creativity, but this desirable outcome is skill-biased by favoring experts with greater job skills.","author":[{"dropping-particle":"","family":"Jia","given":"Nan","non-dropping-particle":"","parse-names":false,"suffix":""},{"dropping-particle":"","family":"Luo","given":"Xueming","non-dropping-particle":"","parse-names":false,"suffix":""},{"dropping-particle":"","family":"Fang","given":"Zheng","non-dropping-particle":"","parse-names":false,"suffix":""},{"dropping-particle":"","family":"Liao","given":"Chengcheng","non-dropping-particle":"","parse-names":false,"suffix":""}],"container-title":"Academy of Management Journal","id":"ITEM-1","issue":"1","issued":{"date-parts":[["2024","2","1"]]},"page":"5-32","publisher":"Academy of Management","title":"When and how artificial intelligence augments employee creativity","type":"article-journal","volume":"67"},"uris":["http://www.mendeley.com/documents/?uuid=661c2690-82b4-3b3a-9cdb-6c369bf4422b"]}],"mendeley":{"formattedCitation":"(Jia et al., 2024)","manualFormatting":"Jia et al. (2024)","plainTextFormattedCitation":"(Jia et al., 2024)","previouslyFormattedCitation":"(Jia et al., 2024)"},"properties":{"noteIndex":0},"schema":"https://github.com/citation-style-language/schema/raw/master/csl-citation.json"}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Jia et al.</w:t>
            </w:r>
            <w:r w:rsidRPr="001675D4">
              <w:rPr>
                <w:rFonts w:ascii="Arial Narrow" w:hAnsi="Arial Narrow"/>
                <w:noProof/>
                <w:sz w:val="20"/>
                <w:szCs w:val="20"/>
              </w:rPr>
              <w:t xml:space="preserve"> </w:t>
            </w:r>
            <w:r>
              <w:rPr>
                <w:rFonts w:ascii="Arial Narrow" w:hAnsi="Arial Narrow"/>
                <w:noProof/>
                <w:sz w:val="20"/>
                <w:szCs w:val="20"/>
              </w:rPr>
              <w:t>(</w:t>
            </w:r>
            <w:r w:rsidRPr="001675D4">
              <w:rPr>
                <w:rFonts w:ascii="Arial Narrow" w:hAnsi="Arial Narrow"/>
                <w:noProof/>
                <w:sz w:val="20"/>
                <w:szCs w:val="20"/>
              </w:rPr>
              <w:t>2024)</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field study of 3,144 customer interactions and 28 interviews finds AI-assisted agents demonstrate higher creativity and success, particularly among high-skill agents; lower-skill agents report increased stress.</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Job Characteristics Model</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Mixed-method</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14</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{"citationItems":[{"id":"ITEM-1","itemData":{"DOI":"10.5465/AMR.2020.0205","ISSN":"03637425","abstract":"How can firms establish competitive advantages using artificial intelligence (AI)? Although AI is beginning to permeate business activities, our understanding of how AI can be used to create unique value is limited. To address this void, I introduce the concept of situated AI and illuminate its importance for establishing AI-driven competitive advantages. The paper highlights the organizational activities involved in situating AI-specifically, grounding, bounding, and recasting. It also explains the conditions in which these situating activities better enable firms to develop AI-driven capabilities that are firm-specific, cost-effective, and appropriate for opportunities in the strategic environment. Thus, this paper provides an integrative framework for connecting a firm's AI pursuits to competitive advantage.","author":[{"dropping-particle":"","family":"Kemp","given":"Ayenda","non-dropping-particle":"","parse-names":false,"suffix":""}],"container-title":"Academy of Management Review","id":"ITEM-1","issue":"3","issued":{"date-parts":[["2024","7","1"]]},"page":"618-635","publisher":"Academy of Management","title":"Competitive advantage through artificial intelligence: Toward a theory of situated AI","type":"article-journal","volume":"49"},"uris":["http://www.mendeley.com/documents/?uuid=e175f4a5-8bd0-375f-b205-cfbfc713c34a"]}],"mendeley":{"formattedCitation":"(Kemp, 2024)","manualFormatting":"Kemp (2024)","plainTextFormattedCitation":"(Kemp, 2024)","previouslyFormattedCitation":"(Kemp, 2024)"},"properties":{"noteIndex":0},"schema":"https://github.com/citation-style-language/schema/raw/master/csl-citation.json"}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Kemp</w:t>
            </w:r>
            <w:r w:rsidRPr="001675D4">
              <w:rPr>
                <w:rFonts w:ascii="Arial Narrow" w:hAnsi="Arial Narrow" w:cs="Calibri"/>
                <w:noProof/>
                <w:sz w:val="20"/>
                <w:szCs w:val="20"/>
              </w:rPr>
              <w:t xml:space="preserve"> </w:t>
            </w:r>
            <w:r>
              <w:rPr>
                <w:rFonts w:ascii="Arial Narrow" w:hAnsi="Arial Narrow" w:cs="Calibri"/>
                <w:noProof/>
                <w:sz w:val="20"/>
                <w:szCs w:val="20"/>
              </w:rPr>
              <w:t>(</w:t>
            </w:r>
            <w:r w:rsidRPr="001675D4">
              <w:rPr>
                <w:rFonts w:ascii="Arial Narrow" w:hAnsi="Arial Narrow" w:cs="Calibri"/>
                <w:noProof/>
                <w:sz w:val="20"/>
                <w:szCs w:val="20"/>
              </w:rPr>
              <w:t>2024)</w:t>
            </w:r>
            <w:r>
              <w:rPr>
                <w:rFonts w:ascii="Arial Narrow" w:hAnsi="Arial Narrow" w:cs="Calibri"/>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conceptual framework introduces “situated AI,” emphasizing grounding, bounding, and recasting as strategies for firms to develop competitive, firm-specific AI capabilities.</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Conceptual Paper</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15</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{"citationItems":[{"id":"ITEM-1","itemData":{"DOI":"10.1177/00081256231211020","ISSN":"21628564","abstract":"This article presents principles and practical guidelines for how managers can succeed in growing the intelligence of their organizations by harnessing the complementary strengths of humans and artificial intelligence (AI). Organizational intelligence is the ability of collectives of intelligent human and digital actors to solve problems and adapt. Six principles for human-AI collaboration in organizations are explored—addition, relevance, substitution, diversity, collaboration, and explanation—and how they play out in leading organizations is discussed. Finally, practical guidelines are outlined for how leaders can enable their organizations to successfully make the change.","author":[{"dropping-particle":"","family":"Kolbjørnsrud","given":"Vegard","non-dropping-particle":"","parse-names":false,"suffix":""}],"container-title":"California Management Review","id":"ITEM-1","issue":"2","issued":{"date-parts":[["2024","2","1"]]},"page":"44-64","publisher":"SAGE Publications Ltd","title":"Designing the Intelligent Organization: Six Principles for Human-AI Collaboration","type":"article-journal","volume":"66"},"uris":["http://www.mendeley.com/documents/?uuid=e9d00265-abc7-3199-8578-625a3d646178"]}],"mendeley":{"formattedCitation":"(Kolbjørnsrud, 2024)","manualFormatting":"Kolbjørnsrud (2024)","plainTextFormattedCitation":"(Kolbjørnsrud, 2024)","previouslyFormattedCitation":"(Kolbjørnsrud, 2024)"},"properties":{"noteIndex":0},"schema":"https://github.com/citation-style-language/schema/raw/master/csl-citation.json"}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Kolbjørnsrud</w:t>
            </w:r>
            <w:r w:rsidRPr="001675D4">
              <w:rPr>
                <w:rFonts w:ascii="Arial Narrow" w:hAnsi="Arial Narrow" w:cs="Calibri"/>
                <w:noProof/>
                <w:sz w:val="20"/>
                <w:szCs w:val="20"/>
              </w:rPr>
              <w:t xml:space="preserve"> </w:t>
            </w:r>
            <w:r>
              <w:rPr>
                <w:rFonts w:ascii="Arial Narrow" w:hAnsi="Arial Narrow" w:cs="Calibri"/>
                <w:noProof/>
                <w:sz w:val="20"/>
                <w:szCs w:val="20"/>
              </w:rPr>
              <w:t>(</w:t>
            </w:r>
            <w:r w:rsidRPr="001675D4">
              <w:rPr>
                <w:rFonts w:ascii="Arial Narrow" w:hAnsi="Arial Narrow" w:cs="Calibri"/>
                <w:noProof/>
                <w:sz w:val="20"/>
                <w:szCs w:val="20"/>
              </w:rPr>
              <w:t>2024)</w:t>
            </w:r>
            <w:r>
              <w:rPr>
                <w:rFonts w:ascii="Arial Narrow" w:hAnsi="Arial Narrow" w:cs="Calibri"/>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conceptual paper proposes six principles for effective human-AI collaboration: addition, relevance, substitution, diversity, collaboration, and explanation, supported by organizational examples.</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Conceptual Paper</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16</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{"citationItems":[{"id":"ITEM-1","itemData":{"DOI":"10.1080/19368623.2023.2258116","ISSN":"19368631","abstract":"Organizations widely use AI technologies to expand the scope of new products and services, increase the speed of decision-making, and address information management (Borges et al., 2021; Gursoy et ...","author":[{"dropping-particle":"","family":"Kong","given":"Haiyan","non-dropping-particle":"","parse-names":false,"suffix":""},{"dropping-particle":"","family":"Yin","given":"Zihan","non-dropping-particle":"","parse-names":false,"suffix":""},{"dropping-particle":"","family":"Chon","given":"Kaye","non-dropping-particle":"","parse-names":false,"suffix":""},{"dropping-particle":"","family":"Yuan","given":"Yue","non-dropping-particle":"","parse-names":false,"suffix":""},{"dropping-particle":"","family":"Yu","given":"Jinhan","non-dropping-particle":"","parse-names":false,"suffix":""}],"container-title":"Journal of Hospitality Marketing &amp; Management","id":"ITEM-1","issue":"3","issued":{"date-parts":[["2024","4","2"]]},"page":"261-287","publisher":"Routledge","title":"How does artificial intelligence (AI) enhance hospitality employee innovation? The roles of exploration, AI trust, and proactive personality","type":"article-journal","volume":"33"},"uris":["http://www.mendeley.com/documents/?uuid=33195a4b-4618-3812-9d9c-0361c99fcd7b"]}],"mendeley":{"formattedCitation":"(Kong et al., 2024)","manualFormatting":"Kong et al. (2024)","plainTextFormattedCitation":"(Kong et al., 2024)","previouslyFormattedCitation":"(Kong et al., 2024)"},"properties":{"noteIndex":0},"schema":"https://github.com/citation-style-language/schema/raw/master/csl-citation.json"}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Kong et al.</w:t>
            </w:r>
            <w:r w:rsidRPr="001675D4">
              <w:rPr>
                <w:rFonts w:ascii="Arial Narrow" w:hAnsi="Arial Narrow"/>
                <w:noProof/>
                <w:sz w:val="20"/>
                <w:szCs w:val="20"/>
              </w:rPr>
              <w:t xml:space="preserve"> </w:t>
            </w:r>
            <w:r>
              <w:rPr>
                <w:rFonts w:ascii="Arial Narrow" w:hAnsi="Arial Narrow"/>
                <w:noProof/>
                <w:sz w:val="20"/>
                <w:szCs w:val="20"/>
              </w:rPr>
              <w:t>(</w:t>
            </w:r>
            <w:r w:rsidRPr="001675D4">
              <w:rPr>
                <w:rFonts w:ascii="Arial Narrow" w:hAnsi="Arial Narrow"/>
                <w:noProof/>
                <w:sz w:val="20"/>
                <w:szCs w:val="20"/>
              </w:rPr>
              <w:t>2024)</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two-wave survey of 407 hospitality workers analyzed with SEM finds AI-supported autonomy fosters innovation, especially when combined with AI trust and proactive personality traits.</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Self-Determination Theory</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Quantitative</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17</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{"citationItems":[{"id":"ITEM-1","itemData":{"DOI":"10.1016/J.CHB.2021.106878","ISSN":"0747-5632","abstract":"Advances in artificial intelligence are increasingly leading to the automation and augmentation of decision processes in work contexts. Although research originally generally focused upon decision-makers, the perspective of those targeted by automated or augmented decisions (whom we call “second parties”) and parties who observe the effects of such decisions (whom we call “third parties”) is now growing in importance and attention. We review the expanding literature investigating reactions to automated and augmented decision-making by second and third parties. Specifically, we explore attitude (e.g., evaluations of trustworthiness), perception (e.g., fairness perceptions), and behavior (e.g., reverse engineering of automated decision processes) outcomes of second and third parties. Additionally, we explore how characteristics of the a) decision-making process, b) system, c) second and third party, d) task, and e) outputs and outcomes moderate these effects, and provide recommendation for future research. Our review summarizes the state of the literature in these domains, concluding a) that reactions to automated decisions differ across situations in which there is remaining human decision control (i.e., augmentation contexts), b) that system design choices (e.g., transparency) are important but underresearched, and c) that the generalizability of findings might suffer from excessive reliance on specific research methodologies (e.g., vignette studies).","author":[{"dropping-particle":"","family":"Langer","given":"Markus","non-dropping-particle":"","parse-names":false,"suffix":""},{"dropping-particle":"","family":"Landers","given":"Richard N.","non-dropping-particle":"","parse-names":false,"suffix":""}],"container-title":"Computers in Human Behavior","id":"ITEM-1","issued":{"date-parts":[["2021","10","1"]]},"page":"106878","publisher":"Pergamon","title":"The future of artificial intelligence at work: A review on effects of decision automation and augmentation on workers targeted by algorithms and third-party observers","type":"article-journal","volume":"123"},"uris":["http://www.mendeley.com/documents/?uuid=f2d4b12d-82bd-3dcc-b4ce-cf9b0afc875e"]}],"mendeley":{"formattedCitation":"(Langer &amp; Landers, 2021)","manualFormatting":"Langer &amp; Landers (2021)","plainTextFormattedCitation":"(Langer &amp; Landers, 2021)","previouslyFormattedCitation":"(Langer &amp; Landers, 2021)"},"properties":{"noteIndex":0},"schema":"https://github.com/citation-style-language/schema/raw/master/csl-citation.json"}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Langer &amp; Landers (</w:t>
            </w:r>
            <w:r w:rsidRPr="001675D4">
              <w:rPr>
                <w:rFonts w:ascii="Arial Narrow" w:hAnsi="Arial Narrow"/>
                <w:noProof/>
                <w:sz w:val="20"/>
                <w:szCs w:val="20"/>
              </w:rPr>
              <w:t>2021)</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literature review of 59 studies finds that attitudes and behaviors toward AI decisions are influenced by system transparency and the degree of human control, especially among non-decision-makers.</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Conceptual - Literature Review</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18</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10.25300/MISQ/2021/16564","ISSN":"0276-7783","author":[{"dropping-particle":"","family":"Lebovitz","given":"Sarah","non-dropping-particle":"","parse-names":false,"suffix":""},{"dropping-particle":"","family":"Levina","given":"Natalia","non-dropping-particle":"","parse-names":false,"suffix":""},{"dropping-particle":"","family":"Lifshitz-Assaf","given":"Hila","non-dropping-particle":"","parse-names":false,"suffix":""}],"container-title":"MIS quarterly","id":"ITEM-1","issue":"3","issued":{"date-parts":[["2021"]]},"page":"1501-1526","title":"Is AI ground truth really true? The dangers of training and evaluating AI tools based on experts' know-what","type":"article-journal","volume":"45"},"uris":["http://www.mendeley.com/documents/?uuid=25de9f17-fd6f-3e2a-b1d6-22f8be3aa411"]}],"mendeley":{"formattedCitation":"(Lebovitz et al., 2021)","manualFormatting":"Lebovitz et al. (2021)","plainTextFormattedCitation":"(Lebovitz et al., 2021)","previouslyFormattedCitation":"(Lebovitz et al., 2021)"},"properties":{"noteIndex":0},"schema":"https://github.com/citation-style-language/schema/raw/master/csl-citation.json"}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Lebovitz et al.</w:t>
            </w:r>
            <w:r w:rsidRPr="001675D4">
              <w:rPr>
                <w:rFonts w:ascii="Arial Narrow" w:hAnsi="Arial Narrow"/>
                <w:noProof/>
                <w:sz w:val="20"/>
                <w:szCs w:val="20"/>
              </w:rPr>
              <w:t xml:space="preserve"> </w:t>
            </w:r>
            <w:r>
              <w:rPr>
                <w:rFonts w:ascii="Arial Narrow" w:hAnsi="Arial Narrow"/>
                <w:noProof/>
                <w:sz w:val="20"/>
                <w:szCs w:val="20"/>
              </w:rPr>
              <w:t>(</w:t>
            </w:r>
            <w:r w:rsidRPr="001675D4">
              <w:rPr>
                <w:rFonts w:ascii="Arial Narrow" w:hAnsi="Arial Narrow"/>
                <w:noProof/>
                <w:sz w:val="20"/>
                <w:szCs w:val="20"/>
              </w:rPr>
              <w:t>2021)</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An 11-month ethnography with 22 interviews and tool evaluations reveals a gap between AI’s “know-what” and human expert “know-how,” cautioning against overreliance on training data.</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Qualitative</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19</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sidR="0052057B">
              <w:rPr>
                <w:rFonts w:ascii="Arial Narrow" w:hAnsi="Arial Narrow"/>
                <w:sz w:val="20"/>
                <w:szCs w:val="20"/>
              </w:rPr>
              <w:instrText>ADDIN CSL_CITATION {"citationItems":[{"id":"ITEM-1","itemData":{"DOI":"10.1108/JEIM-11-2024-0637","ISSN":"17410398","abstract":"Purpose: In the contemporary business environment, organizations continue to increase their application of generative AI (GenAI) to enhance efficiency and productivity. Therefore, it becomes important to understand the impacts of GenAI on employees’ behaviors and organizations’ outcomes. In this research, we examine the impact of employee experience with GenAI on knowledge sharing, organizational resilience and agility and the role of emotional intelligence as a mediator. Design/methodology/approach: The data gathered from 272 employees in various organizations using Qualtrics were analyzed through structural equation modeling to address questions about how employee experience with GenAI influences knowledge-sharing behavior within organizations. Additionally, it examines how knowledge sharing and resilience mediate the relationship between employee experience with GenAI and agility and how emotional intelligence moderates the relationship between employee experience with GenAI and its outcomes. Findings: The findings indicate that GenAI is not just a tool but a resource that affects knowledge sharing, resilience and agility. The results indicate that knowledge sharing mediates the relationship between employee experience with GenAI and resilience and employee experience with GenAI and agility. Emotional intelligence emerged as a moderator between GenAI experience and resilience, with no moderation on knowledge sharing or agility. Originality/value: The research guides organizations on how to engage GenAI and why it is important to embrace emotional intelligence to improve the outcomes realized from AI integration.","author":[{"dropping-particle":"","family":"Nguyen","given":"Mai","non-dropping-particle":"","parse-names":false,"suffix":""},{"dropping-particle":"","family":"Trinh","given":"Nhung","non-dropping-particle":"","parse-names":false,"suffix":""},{"dropping-particle":"","family":"Mehrotra","given":"Ankit","non-dropping-particle":"","parse-names":false,"suffix":""},{"dropping-particle":"","family":"Basahel","given":"Sarah","non-dropping-particle":"","parse-names":false,"suffix":""}],"container-title":"Journal of Enterprise Information Management","id":"ITEM-1","issue":"ahead-of-print","issued":{"date-parts":[["2025"]]},"publisher":"Emerald Publishing","title":"Generative AI in the workplace: how employee experiences influence work outcomes?","type":"article-journal","volume":"ahead-of-p"},"uris":["http://www.mendeley.com/documents/?uuid=b012e3fc-9653-3cc6-8fea-e66d18b8d6d3"]}],"mendeley":{"formattedCitation":"(Nguyen et al., 2025)","manualFormatting":"M. Nguyen et al. (2025)","plainTextFormattedCitation":"(Nguyen et al., 2025)","previouslyFormattedCitation":"(Nguyen et al., 2025)"},"properties":{"noteIndex":0},"schema":"https://github.com/citation-style-language/schema/raw/master/csl-citation.json"}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M. Nguyen et al. (</w:t>
            </w:r>
            <w:r w:rsidRPr="001675D4">
              <w:rPr>
                <w:rFonts w:ascii="Arial Narrow" w:hAnsi="Arial Narrow"/>
                <w:noProof/>
                <w:sz w:val="20"/>
                <w:szCs w:val="20"/>
              </w:rPr>
              <w:t>2025)</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survey of 272 employees finds that GenAI enhances knowledge sharing, resilience, and agility; emotional intelligence moderates its positive effect on resilience.</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Resource-Based View (RBV)</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Quantitative</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20</w:t>
            </w:r>
          </w:p>
        </w:tc>
        <w:tc>
          <w:tcPr>
            <w:tcW w:w="1302" w:type="dxa"/>
            <w:tcBorders>
              <w:top w:val="nil"/>
              <w:left w:val="nil"/>
              <w:bottom w:val="single" w:sz="4" w:space="0" w:color="auto"/>
              <w:right w:val="single" w:sz="4" w:space="0" w:color="auto"/>
            </w:tcBorders>
            <w:shd w:val="clear" w:color="auto" w:fill="auto"/>
          </w:tcPr>
          <w:p w:rsidR="00B75B6B" w:rsidRPr="001675D4" w:rsidRDefault="00B75B6B" w:rsidP="00B75B6B">
            <w:pPr>
              <w:rPr>
                <w:rFonts w:ascii="Arial Narrow" w:hAnsi="Arial Narrow"/>
                <w:noProof/>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{"citationItems":[{"id":"ITEM-1","itemData":{"DOI":"10.1080/08874417.2023.2261010","ISSN":"23802057","abstract":"In a short span of time since its introduction, generative artificial intelligence (AI) has garnered much interest at both personal and organizational levels. This is because of its potential to cause drastic and widespread shifts in many aspects of life that are comparable to those of the Internet and smartphones. More specifically, generative AI utilizes machine learning, neural networks, and other techniques to generate new content (e.g. text, images, music) by analyzing patterns and information from the training data. This has enabled generative AI to have a wide range of applications, from creating personalized content to improving business operations. Despite its many benefits, there are also significant concerns about the negative implications of generative AI. In view of this, the current article brings together experts in a variety of fields to expound and provide multi-disciplinary insights on the opportunities, challenges, and research agendas of generative AI in specific industries (i.e. marketing, healthcare, human resource, education, banking, retailing, the workplace, manufacturing, and sustainable IT management).","author":[{"dropping-particle":"","family":"Ooi","given":"Keng Boon","non-dropping-particle":"","parse-names":false,"suffix":""},{"dropping-particle":"","family":"Tan","given":"Garry Wei Han","non-dropping-particle":"","parse-names":false,"suffix":""},{"dropping-particle":"","family":"Al-Emran","given":"Mostafa","non-dropping-particle":"","parse-names":false,"suffix":""},{"dropping-particle":"","family":"Al-Sharafi","given":"Mohammed A.","non-dropping-particle":"","parse-names":false,"suffix":""},{"dropping-particle":"","family":"Capatina","given":"Alexandru","non-dropping-particle":"","parse-names":false,"suffix":""},{"dropping-particle":"","family":"Chakraborty","given":"Amrita","non-dropping-particle":"","parse-names":false,"suffix":""},{"dropping-particle":"","family":"Dwivedi","given":"Yogesh K.","non-dropping-particle":"","parse-names":false,"suffix":""},{"dropping-particle":"","family":"Huang","given":"Tzu Ling","non-dropping-particle":"","parse-names":false,"suffix":""},{"dropping-particle":"","family":"Kar","given":"Arpan Kumar","non-dropping-particle":"","parse-names":false,"suffix":""},{"dropping-particle":"","family":"Lee","given":"Voon Hsien","non-dropping-particle":"","parse-names":false,"suffix":""},{"dropping-particle":"","family":"Loh","given":"Xiu Ming","non-dropping-particle":"","parse-names":false,"suffix":""},{"dropping-particle":"","family":"Micu","given":"Adrian","non-dropping-particle":"","parse-names":false,"suffix":""},{"dropping-particle":"","family":"Mikalef","given":"Patrick","non-dropping-particle":"","parse-names":false,"suffix":""},{"dropping-particle":"","family":"Mogaji","given":"Emmanuel","non-dropping-particle":"","parse-names":false,"suffix":""},{"dropping-particle":"","family":"Pandey","given":"Neeraj","non-dropping-particle":"","parse-names":false,"suffix":""},{"dropping-particle":"","family":"Raman","given":"Ramakrishnan","non-dropping-particle":"","parse-names":false,"suffix":""},{"dropping-particle":"","family":"Rana","given":"Nripendra P.","non-dropping-particle":"","parse-names":false,"suffix":""},{"dropping-particle":"","family":"Sarker","given":"Prianka","non-dropping-particle":"","parse-names":false,"suffix":""},{"dropping-particle":"","family":"Sharma","given":"Anshuman","non-dropping-particle":"","parse-names":false,"suffix":""},{"dropping-particle":"","family":"Teng","given":"Ching I.","non-dropping-particle":"","parse-names":false,"suffix":""},{"dropping-particle":"","family":"Wamba","given":"Samuel Fosso","non-dropping-particle":"","parse-names":false,"suffix":""},{"dropping-particle":"","family":"Wong","given":"Lai Wan","non-dropping-particle":"","parse-names":false,"suffix":""}],"container-title":"Journal of Computer Information Systems","id":"ITEM-1","issue":"1","issued":{"date-parts":[["2023","1","2"]]},"page":"76-107","publisher":"Taylor and Francis Ltd.","title":"The Potential of Generative Artificial Intelligence Across Disciplines: Perspectives and Future Directions","type":"article-journal","volume":"65"},"uris":["http://www.mendeley.com/documents/?uuid=6a5b49d4-a6a2-306a-a2c1-349fd0ab6a35"]}],"mendeley":{"formattedCitation":"(Ooi et al., 2023)","manualFormatting":"Ooi et al. (2023)","plainTextFormattedCitation":"(Ooi et al., 2023)","previouslyFormattedCitation":"(Ooi et al., 2023)"},"properties":{"noteIndex":0},"schema":"https://github.com/citation-style-language/schema/raw/master/csl-citation.json"}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Ooi et al.</w:t>
            </w:r>
            <w:r w:rsidRPr="001675D4">
              <w:rPr>
                <w:rFonts w:ascii="Arial Narrow" w:hAnsi="Arial Narrow"/>
                <w:noProof/>
                <w:sz w:val="20"/>
                <w:szCs w:val="20"/>
              </w:rPr>
              <w:t xml:space="preserve"> </w:t>
            </w:r>
            <w:r>
              <w:rPr>
                <w:rFonts w:ascii="Arial Narrow" w:hAnsi="Arial Narrow"/>
                <w:noProof/>
                <w:sz w:val="20"/>
                <w:szCs w:val="20"/>
              </w:rPr>
              <w:t>(</w:t>
            </w:r>
            <w:r w:rsidRPr="001675D4">
              <w:rPr>
                <w:rFonts w:ascii="Arial Narrow" w:hAnsi="Arial Narrow"/>
                <w:noProof/>
                <w:sz w:val="20"/>
                <w:szCs w:val="20"/>
              </w:rPr>
              <w:t>2023)</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multidisciplinary analysis explores GenAI’s opportunities, risks, and research agendas across industries including marketing, healthcare, HR, education, IT, and sustainability.</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Conceptual Paper</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21</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{"citationItems":[{"id":"ITEM-1","itemData":{"DOI":"10.1016/J.IJINFOMGT.2024.102781","ISSN":"0268-4012","abstract":"Artificial intelligence (AI) is playing a leading role in the digital transformation of enterprises, particularly in the manufacturing industry where it has been responsible for a profound transformation in key business and production operations. Despite the accelerated growth of AI technologies, knowledge of the implementation of AI by small and medium-sized enterprises (SMEs) remains underexplored. Thus, this study seeks to examine how manufacturing SMEs orchestrate resources for AI implementation. Building on the resource orchestration (RO) theory and recent work on AI implementation, we investigate multiple case studies involving manufacturing SMEs in Sweden operating in the packaging, plastic, and metal sectors. Our findings indicate that SMEs structure a portfolio based on acquiring and accumulating AI resources. AI resources are bundled into learning and governance capabilities to leverage configurations for AI implementation. Through a dynamic process of AI resource orchestration, SMEs effectively leverage AI resources and capabilities by mobilising technologies, coordinating manufacturing processes, and empowering skilled people. This research contributes to existing practice and the academic literature on AI implementation, highlighting how SMEs orchestrate AI resources and capabilities to drive an organisation's digital transformation whilst creating a competitive advantage.","author":[{"dropping-particle":"","family":"Peretz-Andersson","given":"Einav","non-dropping-particle":"","parse-names":false,"suffix":""},{"dropping-particle":"","family":"Tabares","given":"Sabrina","non-dropping-particle":"","parse-names":false,"suffix":""},{"dropping-particle":"","family":"Mikalef","given":"Patrick","non-dropping-particle":"","parse-names":false,"suffix":""},{"dropping-particle":"","family":"Parida","given":"Vinit","non-dropping-particle":"","parse-names":false,"suffix":""}],"container-title":"International Journal of Information Management","id":"ITEM-1","issued":{"date-parts":[["2024","8","1"]]},"page":"102781","publisher":"Pergamon","title":"Artificial intelligence implementation in manufacturing SMEs: A resource orchestration approach","type":"article-journal","volume":"77"},"uris":["http://www.mendeley.com/documents/?uuid=b976d320-843a-37d0-9635-818dbc14f174"]}],"mendeley":{"formattedCitation":"(Peretz-Andersson et al., 2024)","manualFormatting":"Peretz-Andersson et al. (2024)","plainTextFormattedCitation":"(Peretz-Andersson et al., 2024)","previouslyFormattedCitation":"(Peretz-Andersson et al., 2024)"},"properties":{"noteIndex":0},"schema":"https://github.com/citation-style-language/schema/raw/master/csl-citation.json"}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Peretz-Andersson et al.</w:t>
            </w:r>
            <w:r w:rsidRPr="001675D4">
              <w:rPr>
                <w:rFonts w:ascii="Arial Narrow" w:hAnsi="Arial Narrow"/>
                <w:noProof/>
                <w:sz w:val="20"/>
                <w:szCs w:val="20"/>
              </w:rPr>
              <w:t xml:space="preserve"> </w:t>
            </w:r>
            <w:r>
              <w:rPr>
                <w:rFonts w:ascii="Arial Narrow" w:hAnsi="Arial Narrow"/>
                <w:noProof/>
                <w:sz w:val="20"/>
                <w:szCs w:val="20"/>
              </w:rPr>
              <w:t>(</w:t>
            </w:r>
            <w:r w:rsidRPr="001675D4">
              <w:rPr>
                <w:rFonts w:ascii="Arial Narrow" w:hAnsi="Arial Narrow"/>
                <w:noProof/>
                <w:sz w:val="20"/>
                <w:szCs w:val="20"/>
              </w:rPr>
              <w:t>2024)</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multi-case study with 18 interviews across Swedish manufacturing SMEs identifies how SMEs can structure AI resources, coordinate processes, and empower skilled workers to achieve AI outcomes.</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Resource Orchestration Theory</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Multiple-case Study</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22</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{"citationItems":[{"id":"ITEM-1","itemData":{"DOI":"10.1016/J.BUSHOR.2024.05.006","ISSN":"0007-6813","abstract":"The new generative AI (GenAI) paradigm offers unprecedented opportunities for users to tap into. AI capabilities are increasingly helpful in creative and knowledge-intensive domains that have long been considered a territory of human expertise. The new breed of chatbots is based on large language models (LLMs), and they have overcome many constraints that plague the everyday use of previous AI technologies. This article employs the theory of affordances to understand how ChatGPT facilitates (i.e., affords) and constrains (i.e., disaffords) the usefulness of a new breed of chatbots. We further divide two distinct yet interrelated dimensions of new AI affordances: creational and conversational. Via 29 interviews with professionals using ChatGPT in various creative and knowledge-intensive sectors, we identify three creational affordances (content creation and enhancement, knowledge acquisition and creativity augmentation, and task automation) and three conversational affordances (contextual sensitivity, interactive accessibility, and human-AI workflow synergy). Creational affordances refer to the system's ability to produce novel outputs and automate routine work, whereas conversational affordances encompass the variety of interaction possibilities with an AI system. Both affordances also involve disaffordances that limit the usefulness of the new types of AI systems. Furthermore, we introduce an integrated framework that shows how creational and conversational affordances reinforce each other via meta-affordances of accessibility, accumulation, and adaptability. We illustrate our findings with practical examples and offer guidelines for using these emerging capabilities in company settings.","author":[{"dropping-particle":"","family":"Ramaul","given":"Laavanya","non-dropping-particle":"","parse-names":false,"suffix":""},{"dropping-particle":"","family":"Ritala","given":"Paavo","non-dropping-particle":"","parse-names":false,"suffix":""},{"dropping-particle":"","family":"Ruokonen","given":"Mika","non-dropping-particle":"","parse-names":false,"suffix":""}],"container-title":"Business Horizons","id":"ITEM-1","issue":"5","issued":{"date-parts":[["2024","9","1"]]},"page":"615-627","publisher":"Elsevier","title":"Creational and conversational AI affordances: How the new breed of chatbots is revolutionizing knowledge industries","type":"article-journal","volume":"67"},"uris":["http://www.mendeley.com/documents/?uuid=a7b7aaea-bd58-39fe-8106-b80dbb4e27a1"]}],"mendeley":{"formattedCitation":"(Ramaul et al., 2024)","manualFormatting":"Ramaul et al. (2024)","plainTextFormattedCitation":"(Ramaul et al., 2024)","previouslyFormattedCitation":"(Ramaul et al., 2024)"},"properties":{"noteIndex":0},"schema":"https://github.com/citation-style-language/schema/raw/master/csl-citation.json"}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Ramaul et al.</w:t>
            </w:r>
            <w:r w:rsidRPr="001675D4">
              <w:rPr>
                <w:rFonts w:ascii="Arial Narrow" w:hAnsi="Arial Narrow"/>
                <w:noProof/>
                <w:sz w:val="20"/>
                <w:szCs w:val="20"/>
              </w:rPr>
              <w:t xml:space="preserve"> </w:t>
            </w:r>
            <w:r>
              <w:rPr>
                <w:rFonts w:ascii="Arial Narrow" w:hAnsi="Arial Narrow"/>
                <w:noProof/>
                <w:sz w:val="20"/>
                <w:szCs w:val="20"/>
              </w:rPr>
              <w:t>(</w:t>
            </w:r>
            <w:r w:rsidRPr="001675D4">
              <w:rPr>
                <w:rFonts w:ascii="Arial Narrow" w:hAnsi="Arial Narrow"/>
                <w:noProof/>
                <w:sz w:val="20"/>
                <w:szCs w:val="20"/>
              </w:rPr>
              <w:t>2024)</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Based on 29 interviews with Finnish professionals, the study identifies six key affordances and three meta-affordances of ChatGPT that shape creative workflows. These include creation, enhancement, knowledge acquisition, automation, and contextual interaction.</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Theory of Affordances</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Qualitative</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23</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{"citationItems":[{"id":"ITEM-1","itemData":{"DOI":"10.1016/J.BUSHOR.2024.04.008","ISSN":"0007-6813","abstract":"The democratization of powerful artificial intelligence (AI) tools, including ChatGPT, has sparked the interest of business practitioners given their ability to fundamentally change the way we work. While AI tools are positioned to augment human capabilities, their effective implementation requires the skill to understand where, when and how to best utilize them efficiently. Furthermore, meaningful engagement with the content produced by generative AI (GenAI) necessitates the intricacy of appropriate prompt engineering to optimize the learning process. As the field of GenAI continues to advance, the art of developing impactful prompts has become a necessary skill for harnessing its full potential. This research develops an AI prompting protocol through a constructivist theory lens. Based on the principles of constructivism, where individuals assimilate new knowledge by bridging it with their existing understanding, this research suggests an active engagement process in the human-AI co-construction of knowledge through GenAI. The goal is to empower business managers and their teams to construct effective AI prompts and validate responses, thereby enhancing user interaction, optimizing workflows, and maximizing the potential outcomes of AI chatbots.","author":[{"dropping-particle":"","family":"Robertson","given":"Jeandri","non-dropping-particle":"","parse-names":false,"suffix":""},{"dropping-particle":"","family":"Ferreira","given":"Caitlin","non-dropping-particle":"","parse-names":false,"suffix":""},{"dropping-particle":"","family":"Botha","given":"Elsamari","non-dropping-particle":"","parse-names":false,"suffix":""},{"dropping-particle":"","family":"Oosthuizen","given":"Kim","non-dropping-particle":"","parse-names":false,"suffix":""}],"container-title":"Business Horizons","id":"ITEM-1","issue":"5","issued":{"date-parts":[["2024","9","1"]]},"page":"499-510","publisher":"Elsevier","title":"Game changers: A generative AI prompt protocol to enhance human-AI knowledge co-construction","type":"article-journal","volume":"67"},"uris":["http://www.mendeley.com/documents/?uuid=ede3e209-9b4b-321f-98f7-ca6903477711"]}],"mendeley":{"formattedCitation":"(Robertson et al., 2024)","manualFormatting":"Robertson et al. (2024)","plainTextFormattedCitation":"(Robertson et al., 2024)","previouslyFormattedCitation":"(Robertson et al., 2024)"},"properties":{"noteIndex":0},"schema":"https://github.com/citation-style-language/schema/raw/master/csl-citation.json"}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Robertson et al. (</w:t>
            </w:r>
            <w:r w:rsidRPr="001675D4">
              <w:rPr>
                <w:rFonts w:ascii="Arial Narrow" w:hAnsi="Arial Narrow"/>
                <w:noProof/>
                <w:sz w:val="20"/>
                <w:szCs w:val="20"/>
              </w:rPr>
              <w:t>2024)</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Using a constructivist lens, the study proposes AI prompting protocols for business managers, emphasizing learning through iterative engagement.</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Constructivist Theory</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Conceptual</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24</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{"citationItems":[{"id":"ITEM-1","itemData":{"DOI":"10.1007/s10726-022-09792-z","ISSN":"0926-2644","abstract":"The increasing importance of artificial intelligence (AI) in everyday work also means that new insights into team collaboration must be gained. It is important to research how changes in team composition affect joint work, as previous theories and insights on teams are based on the knowledge of pure human teams. Especially, when AI-based systems act as coequal partners in collaboration scenarios, their role within the team needs to be defined. With a multi-method approach including a quantitative and a qualitative study, we constructed four team roles for AI-based teammates. In our quantitative survey based on existing team role concepts (n = 1.358), we used exploratory and confirmatory factor analysis to construct possible roles that AI-based teammates can fulfill in teams. With nine expert interviews, we discussed and further extended our initially identified team roles, to construct consistent team roles for AI-based teammates. The results show four consistent team roles: the coordinator, creator, perfectionist and doer. The new team roles including their skills and behaviors can help to better design hybrid human-AI teams and to better understand team dynamics and processes.","author":[{"dropping-particle":"","family":"Siemon","given":"Dominik","non-dropping-particle":"","parse-names":false,"suffix":""}],"container-title":"Group Decision and Negotiation","id":"ITEM-1","issue":"5","issued":{"date-parts":[["2022","10","20"]]},"page":"871-912","publisher":"Springer Science and Business Media B.V.","title":"Elaborating Team Roles for Artificial Intelligence-based Teammates in Human-AI Collaboration","type":"article-journal","volume":"31"},"uris":["http://www.mendeley.com/documents/?uuid=3fe27c86-3f58-351c-b775-56e03b59916e"]}],"mendeley":{"formattedCitation":"(Siemon, 2022)","manualFormatting":"Siemon (2022)","plainTextFormattedCitation":"(Siemon, 2022)","previouslyFormattedCitation":"(Siemon, 2022)"},"properties":{"noteIndex":0},"schema":"https://github.com/citation-style-language/schema/raw/master/csl-citation.json"}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Siemon</w:t>
            </w:r>
            <w:r w:rsidRPr="001675D4">
              <w:rPr>
                <w:rFonts w:ascii="Arial Narrow" w:hAnsi="Arial Narrow" w:cs="Calibri"/>
                <w:noProof/>
                <w:sz w:val="20"/>
                <w:szCs w:val="20"/>
              </w:rPr>
              <w:t xml:space="preserve"> </w:t>
            </w:r>
            <w:r>
              <w:rPr>
                <w:rFonts w:ascii="Arial Narrow" w:hAnsi="Arial Narrow" w:cs="Calibri"/>
                <w:noProof/>
                <w:sz w:val="20"/>
                <w:szCs w:val="20"/>
              </w:rPr>
              <w:t>(</w:t>
            </w:r>
            <w:r w:rsidRPr="001675D4">
              <w:rPr>
                <w:rFonts w:ascii="Arial Narrow" w:hAnsi="Arial Narrow" w:cs="Calibri"/>
                <w:noProof/>
                <w:sz w:val="20"/>
                <w:szCs w:val="20"/>
              </w:rPr>
              <w:t>2022)</w:t>
            </w:r>
            <w:r>
              <w:rPr>
                <w:rFonts w:ascii="Arial Narrow" w:hAnsi="Arial Narrow" w:cs="Calibri"/>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Surveys (N=1,358) and nine expert interviews identify four human-AI team roles—coordinator, creator, perfectionist, and doer—informing effective hybrid team design.</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Mixed-method</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25</w:t>
            </w:r>
          </w:p>
        </w:tc>
        <w:tc>
          <w:tcPr>
            <w:tcW w:w="1302"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{"citationItems":[{"id":"ITEM-1","itemData":{"DOI":"10.1016/J.JBUSRES.2020.11.038","ISSN":"0148-2963","abstract":"Current technological developments, as well as widespread application of artificial intelligence, will doubtlessly continue to impact how people live and work. In this research, we explored synergies between human workers and AI in managerial tasks. We hypothesized that human-AI collaboration will increase productivity. In the paper, several levels of proximity between AI and humans in a work setting are distinguished. The multi-stage study, covering the exploratory phase in which we conducted a study of preferences using 10-item Likert scale, was conducted with a sample of 366 respondents. The study focused on working with different types of AI. The second and third phase of the study, in which we primarily used qualitative methods (scenario-based design combined with semi-structured interviews with six participants), focused on researching modes of collaboration between humans and virtual assistants. The study results generally confirmed our hypothesis about increased productivity due to enhanced human-AI collaboration, proving that the future of AI in knowledge work needs to focus not on full automation but rather on collaborative approaches where humans and AI work closely together.","author":[{"dropping-particle":"","family":"Sowa","given":"Konrad","non-dropping-particle":"","parse-names":false,"suffix":""},{"dropping-particle":"","family":"Przegalinska","given":"Aleksandra","non-dropping-particle":"","parse-names":false,"suffix":""},{"dropping-particle":"","family":"Ciechanowski","given":"Leon","non-dropping-particle":"","parse-names":false,"suffix":""}],"container-title":"Journal of Business Research","id":"ITEM-1","issued":{"date-parts":[["2021","3","1"]]},"page":"135-142","publisher":"Elsevier","title":"Cobots in knowledge work: Human – AI collaboration in managerial professions","type":"article-journal","volume":"125"},"uris":["http://www.mendeley.com/documents/?uuid=62dd5f41-2e01-3e3d-a3a8-5c6213978cc3"]}],"mendeley":{"formattedCitation":"(Sowa et al., 2021)","manualFormatting":"Sowa et al. (2021)","plainTextFormattedCitation":"(Sowa et al., 2021)","previouslyFormattedCitation":"(Sowa et al., 2021)"},"properties":{"noteIndex":0},"schema":"https://github.com/citation-style-language/schema/raw/master/csl-citation.json"}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Sowa et al.</w:t>
            </w:r>
            <w:r w:rsidRPr="001675D4">
              <w:rPr>
                <w:rFonts w:ascii="Arial Narrow" w:hAnsi="Arial Narrow"/>
                <w:noProof/>
                <w:sz w:val="20"/>
                <w:szCs w:val="20"/>
              </w:rPr>
              <w:t xml:space="preserve"> </w:t>
            </w:r>
            <w:r>
              <w:rPr>
                <w:rFonts w:ascii="Arial Narrow" w:hAnsi="Arial Narrow"/>
                <w:noProof/>
                <w:sz w:val="20"/>
                <w:szCs w:val="20"/>
              </w:rPr>
              <w:t>(</w:t>
            </w:r>
            <w:r w:rsidRPr="001675D4">
              <w:rPr>
                <w:rFonts w:ascii="Arial Narrow" w:hAnsi="Arial Narrow"/>
                <w:noProof/>
                <w:sz w:val="20"/>
                <w:szCs w:val="20"/>
              </w:rPr>
              <w:t>2021)</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multi-method study with 366 survey responses and six interviews shows collaborative AI—not automation—improves productivity. The study emphasizes the need for AI tool personalization and a collaborative approach to future work.</w:t>
            </w:r>
          </w:p>
        </w:tc>
        <w:tc>
          <w:tcPr>
            <w:tcW w:w="1476"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Multi-method</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lastRenderedPageBreak/>
              <w:t>26</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sidR="0052057B">
              <w:rPr>
                <w:rFonts w:ascii="Arial Narrow" w:hAnsi="Arial Narrow"/>
                <w:sz w:val="20"/>
                <w:szCs w:val="20"/>
              </w:rPr>
              <w:instrText>ADDIN CSL_CITATION {"citationItems":[{"id":"ITEM-1","itemData":{"DOI":"10.1108/IJCHM-02-2023-0240","ISSN":"09596119","abstract":"Purpose: This study aims to investigate whether and how artificial intelligence (AI) awareness affects work withdrawal. Design/methodology/approach: This survey garners participation from a total of 305 hotel employees in China. The proposed hypotheses are examined using Hayes’s PROCESS macro. Findings: The results indicate that AI awareness could positively affect work withdrawal. Negative work-related rumination and emotional exhaustion respectively mediate this relationship. Furthermore, negative work-related rumination and emotional exhaustion act as chain mediators between AI awareness and work withdrawal. Practical implications: Given the growing adoption of AI technology in the hospitality industry, it is imperative that managers intensify their scrutiny of the psychological changes experienced by frontline service employees and allocate more resources to mitigating the impact of AI on their work withdrawal. Originality/value: This study contributes to the burgeoning literature on AI by elucidating the chain mediating roles of negative work-related rumination and emotional exhaustion. It also makes a significant forward in examining mediating mechanisms, notably the chain-mediated mechanism, through which AI awareness impacts employee outcomes.","author":[{"dropping-particle":"","family":"Teng","given":"Rongrong","non-dropping-particle":"","parse-names":false,"suffix":""},{"dropping-particle":"","family":"Zhou","given":"Shuai","non-dropping-particle":"","parse-names":false,"suffix":""},{"dropping-particle":"","family":"Zheng","given":"Wang","non-dropping-particle":"","parse-names":false,"suffix":""},{"dropping-particle":"","family":"Ma","given":"Chunhao","non-dropping-particle":"","parse-names":false,"suffix":""}],"container-title":"International Journal of Contemporary Hospitality Management","id":"ITEM-1","issue":"7","issued":{"date-parts":[["2024","5","24"]]},"page":"2311-2326","publisher":"Emerald Publishing","title":"Artificial intelligence (AI) awareness and work withdrawal: evaluating chained mediation through negative work-related rumination and emotional exhaustion","type":"article-journal","volume":"36"},"uris":["http://www.mendeley.com/documents/?uuid=fbf4e02f-58e3-3d5a-bb8a-b114adbf344b"]}],"mendeley":{"formattedCitation":"(Teng et al., 2024)","manualFormatting":"Teng et al. (2024)","plainTextFormattedCitation":"(Teng et al., 2024)","previouslyFormattedCitation":"(Teng et al., 2024)"},"properties":{"noteIndex":0},"schema":"https://github.com/citation-style-language/schema/raw/master/csl-citation.json"}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Teng et al.</w:t>
            </w:r>
            <w:r w:rsidRPr="001675D4">
              <w:rPr>
                <w:rFonts w:ascii="Arial Narrow" w:hAnsi="Arial Narrow"/>
                <w:noProof/>
                <w:sz w:val="20"/>
                <w:szCs w:val="20"/>
              </w:rPr>
              <w:t xml:space="preserve"> </w:t>
            </w:r>
            <w:r>
              <w:rPr>
                <w:rFonts w:ascii="Arial Narrow" w:hAnsi="Arial Narrow"/>
                <w:noProof/>
                <w:sz w:val="20"/>
                <w:szCs w:val="20"/>
              </w:rPr>
              <w:t>(</w:t>
            </w:r>
            <w:r w:rsidRPr="001675D4">
              <w:rPr>
                <w:rFonts w:ascii="Arial Narrow" w:hAnsi="Arial Narrow"/>
                <w:noProof/>
                <w:sz w:val="20"/>
                <w:szCs w:val="20"/>
              </w:rPr>
              <w:t>2024)</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survey of 305 hospital employees analyzed with Hayes’s PROCESS shows AI awareness leads to work withdrawal via rumination and emotional exhaustion.</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Conservation of Resources Theory</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Quantitative</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27</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{"citationItems":[{"id":"ITEM-1","itemData":{"DOI":"10.1080/1359432X.2023.2200172","ISSN":"14640643","abstract":"Artificial intelligence (AI) is playing an increasingly important role within the work context and has been described as one of the most impactful current trends (Kaplan &amp; Haenlein, 2020). Instead ...","author":[{"dropping-particle":"","family":"Ulfert","given":"Anna Sophie","non-dropping-particle":"","parse-names":false,"suffix":""},{"dropping-particle":"","family":"Georganta","given":"Eleni","non-dropping-particle":"","parse-names":false,"suffix":""},{"dropping-particle":"","family":"Centeio Jorge","given":"Carolina","non-dropping-particle":"","parse-names":false,"suffix":""},{"dropping-particle":"","family":"Mehrotra","given":"Siddharth","non-dropping-particle":"","parse-names":false,"suffix":""},{"dropping-particle":"","family":"Tielman","given":"Myrthe","non-dropping-particle":"","parse-names":false,"suffix":""}],"container-title":"European Journal of Work and Organizational Psychology","id":"ITEM-1","issue":"2","issued":{"date-parts":[["2024","3","3"]]},"page":"158-171","publisher":"Routledge","title":"Shaping a multidisciplinary understanding of team trust in human-AI teams: a theoretical framework","type":"article-journal","volume":"33"},"uris":["http://www.mendeley.com/documents/?uuid=868cab8a-68a5-3fdc-9f50-c9c1d317ff2d"]}],"mendeley":{"formattedCitation":"(Ulfert et al., 2024)","manualFormatting":"Ulfert et al. (2024)","plainTextFormattedCitation":"(Ulfert et al., 2024)","previouslyFormattedCitation":"(Ulfert et al., 2024)"},"properties":{"noteIndex":0},"schema":"https://github.com/citation-style-language/schema/raw/master/csl-citation.json"}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Ulfert et al.</w:t>
            </w:r>
            <w:r w:rsidRPr="001675D4">
              <w:rPr>
                <w:rFonts w:ascii="Arial Narrow" w:hAnsi="Arial Narrow"/>
                <w:noProof/>
                <w:sz w:val="20"/>
                <w:szCs w:val="20"/>
              </w:rPr>
              <w:t xml:space="preserve"> </w:t>
            </w:r>
            <w:r>
              <w:rPr>
                <w:rFonts w:ascii="Arial Narrow" w:hAnsi="Arial Narrow"/>
                <w:noProof/>
                <w:sz w:val="20"/>
                <w:szCs w:val="20"/>
              </w:rPr>
              <w:t>(</w:t>
            </w:r>
            <w:r w:rsidRPr="001675D4">
              <w:rPr>
                <w:rFonts w:ascii="Arial Narrow" w:hAnsi="Arial Narrow"/>
                <w:noProof/>
                <w:sz w:val="20"/>
                <w:szCs w:val="20"/>
              </w:rPr>
              <w:t>2024)</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multilevel framework is proposed to understand trust dynamics in human-AI teams at the individual, dyadic, and collective levels.</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Conceptual Study - Literature Review</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28</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sidR="0052057B">
              <w:rPr>
                <w:rFonts w:ascii="Arial Narrow" w:hAnsi="Arial Narrow"/>
                <w:sz w:val="20"/>
                <w:szCs w:val="20"/>
              </w:rPr>
              <w:instrText>ADDIN CSL_CITATION {"citationItems":[{"id":"ITEM-1","itemData":{"DOI":"10.1287/mnsc.2021.00588","ISSN":"15265501","abstract":"As artificial intelligence (AI) applications become more pervasive, it is critical to understand how knowledge workers with different levels and types of experience can team with AI for productivity gains. We focus on the influence of two major types of human work experience (narrow experience based on the specific task volume and broad experience based on seniority) on the human-AI team dynamics. We developed an AI solution for medical chart coding in a publicly traded company and conducted a field study among the knowledge workers. Based on a detailed analysis performed at the medical chart level, we find evidence that AI benefits workers with greater task-based experience, but senior workers gain less from AI than their junior colleagues. Further investigation reveals that the relatively lower productivity lift from AI is not a result of seniority per se but lower trust in AI, likely triggered by the senior workers' broader job responsibilities. This study provides new empirical insights into the differential roles of worker experience in the collaborative dynamics between AI and knowledge workers, which have important societal and business implications.","author":[{"dropping-particle":"","family":"Wang","given":"Weiguang","non-dropping-particle":"","parse-names":false,"suffix":""},{"dropping-particle":"","family":"Gao","given":"Guodong","non-dropping-particle":"","parse-names":false,"suffix":""},{"dropping-particle":"","family":"Agarwal","given":"Ritu","non-dropping-particle":"","parse-names":false,"suffix":""}],"container-title":"Management Science","id":"ITEM-1","issue":"9","issued":{"date-parts":[["2024","9","1"]]},"page":"5753-5775","publisher":"INFORMS Inst.for Operations Res.and the Management Sciences","title":"Friend or Foe? Teaming Between Artificial Intelligence and Workers with Variation in Experience","type":"article-journal","volume":"70"},"uris":["http://www.mendeley.com/documents/?uuid=0087d5c0-e79c-3c91-9bac-6457d4527bfe"]}],"mendeley":{"formattedCitation":"(Wang et al., 2024)","manualFormatting":"W. Wang et al. (2024)","plainTextFormattedCitation":"(Wang et al., 2024)","previouslyFormattedCitation":"(Wang et al., 2024)"},"properties":{"noteIndex":0},"schema":"https://github.com/citation-style-language/schema/raw/master/csl-citation.json"}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W. Wang et al. (</w:t>
            </w:r>
            <w:r w:rsidRPr="00F60408">
              <w:rPr>
                <w:rFonts w:ascii="Arial Narrow" w:hAnsi="Arial Narrow"/>
                <w:noProof/>
                <w:sz w:val="20"/>
                <w:szCs w:val="20"/>
              </w:rPr>
              <w:t>2024)</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 mixed-method study using 1.1M patient charts, interviews, and experiments shows AI increases productivity more for task-experienced than time-experienced workers due to trust-related concerns.</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Mixed-method</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29</w:t>
            </w:r>
          </w:p>
        </w:tc>
        <w:tc>
          <w:tcPr>
            <w:tcW w:w="130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{"citationItems":[{"id":"ITEM-1","itemData":{"DOI":"10.1016/J.ORGDYN.2024.101116","ISSN":"0090-2616","author":[{"dropping-particle":"","family":"Webber","given":"Sheila Simsarian","non-dropping-particle":"","parse-names":false,"suffix":""}],"container-title":"Organizational Dynamics","id":"ITEM-1","issued":{"date-parts":[["2024","11","18"]]},"page":"101116","publisher":"Pergamon","title":"Paradox of artificial intelligence as teammate","type":"article-journal"},"uris":["http://www.mendeley.com/documents/?uuid=c3c59209-450b-3ed1-b766-159a5492d968"]}],"mendeley":{"formattedCitation":"(Webber, 2024)","manualFormatting":"Webber (2024)","plainTextFormattedCitation":"(Webber, 2024)","previouslyFormattedCitation":"(Webber, 2024)"},"properties":{"noteIndex":0},"schema":"https://github.com/citation-style-language/schema/raw/master/csl-citation.json"}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Webber (</w:t>
            </w:r>
            <w:r w:rsidRPr="00F60408">
              <w:rPr>
                <w:rFonts w:ascii="Arial Narrow" w:hAnsi="Arial Narrow" w:cs="Calibri"/>
                <w:noProof/>
                <w:sz w:val="20"/>
                <w:szCs w:val="20"/>
              </w:rPr>
              <w:t>2024)</w:t>
            </w:r>
            <w:r>
              <w:rPr>
                <w:rFonts w:ascii="Arial Narrow" w:hAnsi="Arial Narrow" w:cs="Calibri"/>
                <w:sz w:val="20"/>
                <w:szCs w:val="20"/>
              </w:rPr>
              <w:fldChar w:fldCharType="end"/>
            </w:r>
          </w:p>
        </w:tc>
        <w:tc>
          <w:tcPr>
            <w:tcW w:w="4022"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This conceptual paper explores AI's role as a team intervention tool in Zoom, enhancing meeting efficiency, supporting leadership coaching, and balancing participation via real-time feedback and trend tracking.</w:t>
            </w:r>
          </w:p>
        </w:tc>
        <w:tc>
          <w:tcPr>
            <w:tcW w:w="1476"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w:t>
            </w:r>
          </w:p>
        </w:tc>
        <w:tc>
          <w:tcPr>
            <w:tcW w:w="1643" w:type="dxa"/>
            <w:tcBorders>
              <w:top w:val="nil"/>
              <w:left w:val="nil"/>
              <w:bottom w:val="single" w:sz="4" w:space="0" w:color="auto"/>
              <w:right w:val="single" w:sz="4" w:space="0" w:color="auto"/>
            </w:tcBorders>
            <w:shd w:val="clear" w:color="auto" w:fill="auto"/>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Conceptual</w:t>
            </w:r>
          </w:p>
        </w:tc>
      </w:tr>
      <w:tr w:rsidR="00B75B6B" w:rsidRPr="00E81F9C" w:rsidTr="00186D1F">
        <w:trPr>
          <w:trHeight w:val="20"/>
        </w:trPr>
        <w:tc>
          <w:tcPr>
            <w:tcW w:w="767" w:type="dxa"/>
            <w:tcBorders>
              <w:top w:val="nil"/>
              <w:left w:val="single" w:sz="4" w:space="0" w:color="auto"/>
              <w:bottom w:val="single" w:sz="4" w:space="0" w:color="auto"/>
              <w:right w:val="single" w:sz="4" w:space="0" w:color="auto"/>
            </w:tcBorders>
            <w:shd w:val="clear" w:color="auto" w:fill="auto"/>
            <w:noWrap/>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30</w:t>
            </w:r>
          </w:p>
        </w:tc>
        <w:tc>
          <w:tcPr>
            <w:tcW w:w="1302"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Pr>
                <w:rFonts w:ascii="Arial Narrow" w:hAnsi="Arial Narrow"/>
                <w:sz w:val="20"/>
                <w:szCs w:val="20"/>
              </w:rPr>
              <w:fldChar w:fldCharType="begin" w:fldLock="1"/>
            </w:r>
            <w:r>
              <w:rPr>
                <w:rFonts w:ascii="Arial Narrow" w:hAnsi="Arial Narrow"/>
                <w:sz w:val="20"/>
                <w:szCs w:val="20"/>
              </w:rPr>
              <w:instrText>ADDIN CSL_CITATION {"citationItems":[{"id":"ITEM-1","itemData":{"DOI":"10.1016/J.CHB.2023.107987","ISSN":"0747-5632","abstract":"With artificial intelligence (AI) replacing humans at work, creative work is becoming increasingly important for humans. Although AI may improve employees' innovation behavior, some evidence suggests a negative effect through employees' psychological well-being. To address these contradictory arguments, this study investigated the double-edged sword effect of AI-assistant intelligence on employees' innovation behavior based on the transactional model of stress. Two scenario-based experiments reveal that an AI assistant characterized as high intelligence has a positive indirect effect on employees' AI-enabled innovation behavior via creative self-efficacy, while the indirect effect is stronger when organizational AI readiness is higher than when it is lower. However, the same AI assistance has a negative indirect effect on employees’ AI-enabled innovation behavior via STARA awareness when organizational AI readiness is low. These findings have pivotal implications for both management theory and practice.","author":[{"dropping-particle":"","family":"Yin","given":"Meng","non-dropping-particle":"","parse-names":false,"suffix":""},{"dropping-particle":"","family":"Jiang","given":"Shiyao","non-dropping-particle":"","parse-names":false,"suffix":""},{"dropping-particle":"","family":"Niu","given":"Xiongying","non-dropping-particle":"","parse-names":false,"suffix":""}],"container-title":"Computers in Human Behavior","id":"ITEM-1","issued":{"date-parts":[["2024","1","1"]]},"page":"107987","publisher":"Pergamon","title":"Can AI really help? The double-edged sword effect of AI assistant on employees’ innovation behavior","type":"article-journal","volume":"150"},"uris":["http://www.mendeley.com/documents/?uuid=69bccea3-ba38-35cb-a86f-2fe944797207"]}],"mendeley":{"formattedCitation":"(Yin et al., 2024)","manualFormatting":"Yin et al. (2024)","plainTextFormattedCitation":"(Yin et al., 2024)","previouslyFormattedCitation":"(Yin et al., 2024)"},"properties":{"noteIndex":0},"schema":"https://github.com/citation-style-language/schema/raw/master/csl-citation.json"}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Yin et al.</w:t>
            </w:r>
            <w:r w:rsidRPr="00F60408">
              <w:rPr>
                <w:rFonts w:ascii="Arial Narrow" w:hAnsi="Arial Narrow"/>
                <w:noProof/>
                <w:sz w:val="20"/>
                <w:szCs w:val="20"/>
              </w:rPr>
              <w:t xml:space="preserve"> </w:t>
            </w:r>
            <w:r>
              <w:rPr>
                <w:rFonts w:ascii="Arial Narrow" w:hAnsi="Arial Narrow"/>
                <w:noProof/>
                <w:sz w:val="20"/>
                <w:szCs w:val="20"/>
              </w:rPr>
              <w:t>(</w:t>
            </w:r>
            <w:r w:rsidRPr="00F60408">
              <w:rPr>
                <w:rFonts w:ascii="Arial Narrow" w:hAnsi="Arial Narrow"/>
                <w:noProof/>
                <w:sz w:val="20"/>
                <w:szCs w:val="20"/>
              </w:rPr>
              <w:t>2024)</w:t>
            </w:r>
            <w:r>
              <w:rPr>
                <w:rFonts w:ascii="Arial Narrow" w:hAnsi="Arial Narrow"/>
                <w:sz w:val="20"/>
                <w:szCs w:val="20"/>
              </w:rPr>
              <w:fldChar w:fldCharType="end"/>
            </w:r>
          </w:p>
        </w:tc>
        <w:tc>
          <w:tcPr>
            <w:tcW w:w="4022"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Two experiments reveal that high-intelligence AI assistants improve innovation via enhanced self-efficacy, moderated by organizational AI readiness. Low readiness increases stress and hinders outcomes.</w:t>
            </w:r>
          </w:p>
        </w:tc>
        <w:tc>
          <w:tcPr>
            <w:tcW w:w="1476"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Transactional Model of Stress</w:t>
            </w:r>
          </w:p>
        </w:tc>
        <w:tc>
          <w:tcPr>
            <w:tcW w:w="164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Empirical - Quantitative</w:t>
            </w:r>
          </w:p>
        </w:tc>
      </w:tr>
    </w:tbl>
    <w:p w:rsidR="00B75B6B" w:rsidRPr="00E81F9C" w:rsidRDefault="00B75B6B" w:rsidP="00B75B6B">
      <w:pPr>
        <w:spacing w:after="160" w:line="360" w:lineRule="auto"/>
        <w:jc w:val="both"/>
        <w:rPr>
          <w:rFonts w:ascii="Arial Narrow" w:hAnsi="Arial Narrow"/>
          <w:color w:val="000000" w:themeColor="text1"/>
          <w:sz w:val="22"/>
          <w:szCs w:val="22"/>
        </w:rPr>
        <w:sectPr w:rsidR="00B75B6B" w:rsidRPr="00E81F9C" w:rsidSect="006708AE">
          <w:pgSz w:w="11900" w:h="16840"/>
          <w:pgMar w:top="1440" w:right="1440" w:bottom="1440" w:left="1440" w:header="708" w:footer="708" w:gutter="0"/>
          <w:cols w:space="708"/>
          <w:docGrid w:linePitch="360"/>
        </w:sectPr>
      </w:pPr>
    </w:p>
    <w:p w:rsidR="00B75B6B" w:rsidRPr="00E81F9C" w:rsidRDefault="00B75B6B" w:rsidP="00B75B6B">
      <w:pPr>
        <w:spacing w:line="360" w:lineRule="auto"/>
        <w:rPr>
          <w:rFonts w:ascii="Arial Narrow" w:hAnsi="Arial Narrow"/>
          <w:b/>
          <w:color w:val="000000" w:themeColor="text1"/>
          <w:sz w:val="22"/>
          <w:szCs w:val="22"/>
        </w:rPr>
      </w:pPr>
      <w:r w:rsidRPr="00E81F9C">
        <w:rPr>
          <w:rFonts w:ascii="Arial Narrow" w:hAnsi="Arial Narrow"/>
          <w:b/>
          <w:color w:val="000000" w:themeColor="text1"/>
          <w:sz w:val="22"/>
          <w:szCs w:val="22"/>
        </w:rPr>
        <w:lastRenderedPageBreak/>
        <w:t>Table A2:</w:t>
      </w:r>
      <w:r w:rsidRPr="00E81F9C">
        <w:rPr>
          <w:rFonts w:ascii="Arial Narrow" w:hAnsi="Arial Narrow"/>
          <w:color w:val="000000" w:themeColor="text1"/>
          <w:sz w:val="22"/>
          <w:szCs w:val="22"/>
        </w:rPr>
        <w:t xml:space="preserve"> Topic Modelling Output through LDA Mapped to Theoretical Factors with Explanations for Model Development</w:t>
      </w:r>
    </w:p>
    <w:tbl>
      <w:tblPr>
        <w:tblW w:w="14029" w:type="dxa"/>
        <w:tblLook w:val="04A0" w:firstRow="1" w:lastRow="0" w:firstColumn="1" w:lastColumn="0" w:noHBand="0" w:noVBand="1"/>
      </w:tblPr>
      <w:tblGrid>
        <w:gridCol w:w="1310"/>
        <w:gridCol w:w="1837"/>
        <w:gridCol w:w="3253"/>
        <w:gridCol w:w="7629"/>
      </w:tblGrid>
      <w:tr w:rsidR="00B75B6B" w:rsidRPr="00E81F9C" w:rsidTr="00186D1F">
        <w:trPr>
          <w:trHeight w:val="580"/>
          <w:tblHeader/>
        </w:trPr>
        <w:tc>
          <w:tcPr>
            <w:tcW w:w="12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
                <w:bCs/>
                <w:color w:val="000000" w:themeColor="text1"/>
                <w:sz w:val="22"/>
                <w:szCs w:val="22"/>
              </w:rPr>
            </w:pPr>
            <w:r w:rsidRPr="00E81F9C">
              <w:rPr>
                <w:rFonts w:ascii="Arial Narrow" w:hAnsi="Arial Narrow"/>
                <w:b/>
                <w:bCs/>
                <w:color w:val="000000" w:themeColor="text1"/>
                <w:sz w:val="22"/>
                <w:szCs w:val="22"/>
              </w:rPr>
              <w:t>Theoretical Framework</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
                <w:bCs/>
                <w:color w:val="000000" w:themeColor="text1"/>
                <w:sz w:val="22"/>
                <w:szCs w:val="22"/>
              </w:rPr>
            </w:pPr>
            <w:r w:rsidRPr="00E81F9C">
              <w:rPr>
                <w:rFonts w:ascii="Arial Narrow" w:hAnsi="Arial Narrow"/>
                <w:b/>
                <w:bCs/>
                <w:color w:val="000000" w:themeColor="text1"/>
                <w:sz w:val="22"/>
                <w:szCs w:val="22"/>
              </w:rPr>
              <w:t>Mapped Theoretical Construct</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
                <w:bCs/>
                <w:color w:val="000000" w:themeColor="text1"/>
                <w:sz w:val="22"/>
                <w:szCs w:val="22"/>
              </w:rPr>
            </w:pPr>
            <w:r w:rsidRPr="00E81F9C">
              <w:rPr>
                <w:rFonts w:ascii="Arial Narrow" w:hAnsi="Arial Narrow"/>
                <w:b/>
                <w:bCs/>
                <w:color w:val="000000" w:themeColor="text1"/>
                <w:sz w:val="22"/>
                <w:szCs w:val="22"/>
              </w:rPr>
              <w:t>Words</w:t>
            </w:r>
          </w:p>
        </w:tc>
        <w:tc>
          <w:tcPr>
            <w:tcW w:w="7655" w:type="dxa"/>
            <w:tcBorders>
              <w:top w:val="single" w:sz="4" w:space="0" w:color="auto"/>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
                <w:bCs/>
                <w:color w:val="000000" w:themeColor="text1"/>
                <w:sz w:val="22"/>
                <w:szCs w:val="22"/>
              </w:rPr>
            </w:pPr>
            <w:r w:rsidRPr="00E81F9C">
              <w:rPr>
                <w:rFonts w:ascii="Arial Narrow" w:hAnsi="Arial Narrow"/>
                <w:b/>
                <w:bCs/>
                <w:color w:val="000000" w:themeColor="text1"/>
                <w:sz w:val="22"/>
                <w:szCs w:val="22"/>
              </w:rPr>
              <w:t>Justification</w:t>
            </w:r>
          </w:p>
        </w:tc>
      </w:tr>
      <w:tr w:rsidR="00B75B6B" w:rsidRPr="00E81F9C" w:rsidTr="00186D1F">
        <w:trPr>
          <w:trHeight w:val="1420"/>
        </w:trPr>
        <w:tc>
          <w:tcPr>
            <w:tcW w:w="1274"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Cs/>
                <w:color w:val="000000" w:themeColor="text1"/>
                <w:sz w:val="22"/>
                <w:szCs w:val="22"/>
              </w:rPr>
            </w:pPr>
            <w:r w:rsidRPr="00E81F9C">
              <w:rPr>
                <w:rFonts w:ascii="Arial Narrow" w:hAnsi="Arial Narrow"/>
                <w:bCs/>
                <w:color w:val="000000" w:themeColor="text1"/>
                <w:sz w:val="22"/>
                <w:szCs w:val="22"/>
              </w:rPr>
              <w:t>Theory of Sensemaking</w:t>
            </w:r>
          </w:p>
        </w:tc>
        <w:tc>
          <w:tcPr>
            <w:tcW w:w="184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Cs/>
                <w:color w:val="000000" w:themeColor="text1"/>
                <w:sz w:val="22"/>
                <w:szCs w:val="22"/>
              </w:rPr>
            </w:pPr>
            <w:r w:rsidRPr="00E81F9C">
              <w:rPr>
                <w:rFonts w:ascii="Arial Narrow" w:hAnsi="Arial Narrow"/>
                <w:bCs/>
                <w:color w:val="000000" w:themeColor="text1"/>
                <w:sz w:val="22"/>
                <w:szCs w:val="22"/>
              </w:rPr>
              <w:t>Envisioning</w:t>
            </w:r>
          </w:p>
        </w:tc>
        <w:tc>
          <w:tcPr>
            <w:tcW w:w="326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good, work, use, help, thank, thing, student, think, know, free, problem, study, learn, perfect, world, bad, friend, knowledge, come, life</w:t>
            </w:r>
          </w:p>
        </w:tc>
        <w:tc>
          <w:tcPr>
            <w:tcW w:w="7655"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The presence of words such as </w:t>
            </w:r>
            <w:r w:rsidRPr="00E81F9C">
              <w:rPr>
                <w:rFonts w:ascii="Arial Narrow" w:hAnsi="Arial Narrow"/>
                <w:i/>
                <w:iCs/>
                <w:color w:val="000000" w:themeColor="text1"/>
                <w:sz w:val="22"/>
                <w:szCs w:val="22"/>
              </w:rPr>
              <w:t>learn</w:t>
            </w:r>
            <w:r w:rsidRPr="00E81F9C">
              <w:rPr>
                <w:rFonts w:ascii="Arial Narrow" w:hAnsi="Arial Narrow"/>
                <w:color w:val="000000" w:themeColor="text1"/>
                <w:sz w:val="22"/>
                <w:szCs w:val="22"/>
              </w:rPr>
              <w:t xml:space="preserve">, </w:t>
            </w:r>
            <w:r w:rsidRPr="00E81F9C">
              <w:rPr>
                <w:rFonts w:ascii="Arial Narrow" w:hAnsi="Arial Narrow"/>
                <w:i/>
                <w:iCs/>
                <w:color w:val="000000" w:themeColor="text1"/>
                <w:sz w:val="22"/>
                <w:szCs w:val="22"/>
              </w:rPr>
              <w:t>study</w:t>
            </w:r>
            <w:r w:rsidRPr="00E81F9C">
              <w:rPr>
                <w:rFonts w:ascii="Arial Narrow" w:hAnsi="Arial Narrow"/>
                <w:color w:val="000000" w:themeColor="text1"/>
                <w:sz w:val="22"/>
                <w:szCs w:val="22"/>
              </w:rPr>
              <w:t xml:space="preserve">, </w:t>
            </w:r>
            <w:r w:rsidRPr="00E81F9C">
              <w:rPr>
                <w:rFonts w:ascii="Arial Narrow" w:hAnsi="Arial Narrow"/>
                <w:i/>
                <w:iCs/>
                <w:color w:val="000000" w:themeColor="text1"/>
                <w:sz w:val="22"/>
                <w:szCs w:val="22"/>
              </w:rPr>
              <w:t>life</w:t>
            </w:r>
            <w:r w:rsidRPr="00E81F9C">
              <w:rPr>
                <w:rFonts w:ascii="Arial Narrow" w:hAnsi="Arial Narrow"/>
                <w:color w:val="000000" w:themeColor="text1"/>
                <w:sz w:val="22"/>
                <w:szCs w:val="22"/>
              </w:rPr>
              <w:t xml:space="preserve">, </w:t>
            </w:r>
            <w:r w:rsidRPr="00E81F9C">
              <w:rPr>
                <w:rFonts w:ascii="Arial Narrow" w:hAnsi="Arial Narrow"/>
                <w:i/>
                <w:iCs/>
                <w:color w:val="000000" w:themeColor="text1"/>
                <w:sz w:val="22"/>
                <w:szCs w:val="22"/>
              </w:rPr>
              <w:t>knowledge</w:t>
            </w:r>
            <w:r w:rsidRPr="00E81F9C">
              <w:rPr>
                <w:rFonts w:ascii="Arial Narrow" w:hAnsi="Arial Narrow"/>
                <w:color w:val="000000" w:themeColor="text1"/>
                <w:sz w:val="22"/>
                <w:szCs w:val="22"/>
              </w:rPr>
              <w:t xml:space="preserve">, and </w:t>
            </w:r>
            <w:r w:rsidRPr="00E81F9C">
              <w:rPr>
                <w:rFonts w:ascii="Arial Narrow" w:hAnsi="Arial Narrow"/>
                <w:i/>
                <w:iCs/>
                <w:color w:val="000000" w:themeColor="text1"/>
                <w:sz w:val="22"/>
                <w:szCs w:val="22"/>
              </w:rPr>
              <w:t>future</w:t>
            </w:r>
            <w:r w:rsidRPr="00E81F9C">
              <w:rPr>
                <w:rFonts w:ascii="Arial Narrow" w:hAnsi="Arial Narrow"/>
                <w:color w:val="000000" w:themeColor="text1"/>
                <w:sz w:val="22"/>
                <w:szCs w:val="22"/>
              </w:rPr>
              <w:t xml:space="preserve"> suggests that users perceive ChatGPT as a tool that enhances cognitive tasks, personal growth, and educational activities. These lexical patterns indicate how individuals mentally construct the anticipated value of ChatGPT in future-oriented scenarios. This aligns with the envisioning phase of sensemaking, where users draw upon internal cognitive framing to interpret how a technology can support life improvement, task efficiency, or knowledge expansion.</w:t>
            </w:r>
          </w:p>
        </w:tc>
      </w:tr>
      <w:tr w:rsidR="00B75B6B" w:rsidRPr="00E81F9C" w:rsidTr="00186D1F">
        <w:trPr>
          <w:trHeight w:val="1140"/>
        </w:trPr>
        <w:tc>
          <w:tcPr>
            <w:tcW w:w="1274"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w:t>
            </w:r>
          </w:p>
        </w:tc>
        <w:tc>
          <w:tcPr>
            <w:tcW w:w="184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Cs/>
                <w:color w:val="000000" w:themeColor="text1"/>
                <w:sz w:val="22"/>
                <w:szCs w:val="22"/>
              </w:rPr>
            </w:pPr>
            <w:r w:rsidRPr="00E81F9C">
              <w:rPr>
                <w:rFonts w:ascii="Arial Narrow" w:hAnsi="Arial Narrow"/>
                <w:bCs/>
                <w:color w:val="000000" w:themeColor="text1"/>
                <w:sz w:val="22"/>
                <w:szCs w:val="22"/>
              </w:rPr>
              <w:t>Revisioning</w:t>
            </w:r>
          </w:p>
        </w:tc>
        <w:tc>
          <w:tcPr>
            <w:tcW w:w="326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need, well, time, response, try, fast, get, open, far, web, website, conversation, option, review, new, word, tell, user, update, phone</w:t>
            </w:r>
          </w:p>
        </w:tc>
        <w:tc>
          <w:tcPr>
            <w:tcW w:w="7655"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Terms such as </w:t>
            </w:r>
            <w:r w:rsidRPr="00E81F9C">
              <w:rPr>
                <w:rFonts w:ascii="Arial Narrow" w:hAnsi="Arial Narrow"/>
                <w:i/>
                <w:iCs/>
                <w:color w:val="000000" w:themeColor="text1"/>
                <w:sz w:val="22"/>
                <w:szCs w:val="22"/>
              </w:rPr>
              <w:t>response</w:t>
            </w:r>
            <w:r w:rsidRPr="00E81F9C">
              <w:rPr>
                <w:rFonts w:ascii="Arial Narrow" w:hAnsi="Arial Narrow"/>
                <w:color w:val="000000" w:themeColor="text1"/>
                <w:sz w:val="22"/>
                <w:szCs w:val="22"/>
              </w:rPr>
              <w:t xml:space="preserve">, </w:t>
            </w:r>
            <w:r w:rsidRPr="00E81F9C">
              <w:rPr>
                <w:rFonts w:ascii="Arial Narrow" w:hAnsi="Arial Narrow"/>
                <w:i/>
                <w:iCs/>
                <w:color w:val="000000" w:themeColor="text1"/>
                <w:sz w:val="22"/>
                <w:szCs w:val="22"/>
              </w:rPr>
              <w:t>update</w:t>
            </w:r>
            <w:r w:rsidRPr="00E81F9C">
              <w:rPr>
                <w:rFonts w:ascii="Arial Narrow" w:hAnsi="Arial Narrow"/>
                <w:color w:val="000000" w:themeColor="text1"/>
                <w:sz w:val="22"/>
                <w:szCs w:val="22"/>
              </w:rPr>
              <w:t xml:space="preserve">, </w:t>
            </w:r>
            <w:r w:rsidRPr="00E81F9C">
              <w:rPr>
                <w:rFonts w:ascii="Arial Narrow" w:hAnsi="Arial Narrow"/>
                <w:i/>
                <w:iCs/>
                <w:color w:val="000000" w:themeColor="text1"/>
                <w:sz w:val="22"/>
                <w:szCs w:val="22"/>
              </w:rPr>
              <w:t>try</w:t>
            </w:r>
            <w:r w:rsidRPr="00E81F9C">
              <w:rPr>
                <w:rFonts w:ascii="Arial Narrow" w:hAnsi="Arial Narrow"/>
                <w:color w:val="000000" w:themeColor="text1"/>
                <w:sz w:val="22"/>
                <w:szCs w:val="22"/>
              </w:rPr>
              <w:t xml:space="preserve">, and </w:t>
            </w:r>
            <w:r w:rsidRPr="00E81F9C">
              <w:rPr>
                <w:rFonts w:ascii="Arial Narrow" w:hAnsi="Arial Narrow"/>
                <w:i/>
                <w:iCs/>
                <w:color w:val="000000" w:themeColor="text1"/>
                <w:sz w:val="22"/>
                <w:szCs w:val="22"/>
              </w:rPr>
              <w:t>review</w:t>
            </w:r>
            <w:r w:rsidRPr="00E81F9C">
              <w:rPr>
                <w:rFonts w:ascii="Arial Narrow" w:hAnsi="Arial Narrow"/>
                <w:color w:val="000000" w:themeColor="text1"/>
                <w:sz w:val="22"/>
                <w:szCs w:val="22"/>
              </w:rPr>
              <w:t xml:space="preserve"> describe users' evolving interaction with ChatGPT. These expressions reflect iterative learning and continuous reassessment of the system’s performance and utility. This is indicative of the revisioning process in sensemaking, where users modify their understanding based on their experiences and performance feedback.</w:t>
            </w:r>
          </w:p>
        </w:tc>
      </w:tr>
      <w:tr w:rsidR="00B75B6B" w:rsidRPr="00E81F9C" w:rsidTr="00186D1F">
        <w:trPr>
          <w:trHeight w:val="1070"/>
        </w:trPr>
        <w:tc>
          <w:tcPr>
            <w:tcW w:w="1274"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Cs/>
                <w:color w:val="000000" w:themeColor="text1"/>
                <w:sz w:val="22"/>
                <w:szCs w:val="22"/>
              </w:rPr>
            </w:pPr>
            <w:r w:rsidRPr="00E81F9C">
              <w:rPr>
                <w:rFonts w:ascii="Arial Narrow" w:hAnsi="Arial Narrow"/>
                <w:bCs/>
                <w:color w:val="000000" w:themeColor="text1"/>
                <w:sz w:val="22"/>
                <w:szCs w:val="22"/>
              </w:rPr>
              <w:t>Theory of Sensegiving</w:t>
            </w:r>
          </w:p>
        </w:tc>
        <w:tc>
          <w:tcPr>
            <w:tcW w:w="184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Cs/>
                <w:color w:val="000000" w:themeColor="text1"/>
                <w:sz w:val="22"/>
                <w:szCs w:val="22"/>
              </w:rPr>
            </w:pPr>
            <w:r w:rsidRPr="00E81F9C">
              <w:rPr>
                <w:rFonts w:ascii="Arial Narrow" w:hAnsi="Arial Narrow"/>
                <w:bCs/>
                <w:color w:val="000000" w:themeColor="text1"/>
                <w:sz w:val="22"/>
                <w:szCs w:val="22"/>
              </w:rPr>
              <w:t>Signalling</w:t>
            </w:r>
          </w:p>
        </w:tc>
        <w:tc>
          <w:tcPr>
            <w:tcW w:w="326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great, helpful, amazing, nice, like, experience, feature, star, add, future, hope, accurate, history, log, available, browser, guy, especially, chat, picture</w:t>
            </w:r>
          </w:p>
        </w:tc>
        <w:tc>
          <w:tcPr>
            <w:tcW w:w="7655"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Words such as </w:t>
            </w:r>
            <w:r w:rsidRPr="00E81F9C">
              <w:rPr>
                <w:rFonts w:ascii="Arial Narrow" w:hAnsi="Arial Narrow"/>
                <w:i/>
                <w:iCs/>
                <w:color w:val="000000" w:themeColor="text1"/>
                <w:sz w:val="22"/>
                <w:szCs w:val="22"/>
              </w:rPr>
              <w:t>feature</w:t>
            </w:r>
            <w:r w:rsidRPr="00E81F9C">
              <w:rPr>
                <w:rFonts w:ascii="Arial Narrow" w:hAnsi="Arial Narrow"/>
                <w:color w:val="000000" w:themeColor="text1"/>
                <w:sz w:val="22"/>
                <w:szCs w:val="22"/>
              </w:rPr>
              <w:t xml:space="preserve">, </w:t>
            </w:r>
            <w:r w:rsidRPr="00E81F9C">
              <w:rPr>
                <w:rFonts w:ascii="Arial Narrow" w:hAnsi="Arial Narrow"/>
                <w:i/>
                <w:iCs/>
                <w:color w:val="000000" w:themeColor="text1"/>
                <w:sz w:val="22"/>
                <w:szCs w:val="22"/>
              </w:rPr>
              <w:t>star</w:t>
            </w:r>
            <w:r w:rsidRPr="00E81F9C">
              <w:rPr>
                <w:rFonts w:ascii="Arial Narrow" w:hAnsi="Arial Narrow"/>
                <w:color w:val="000000" w:themeColor="text1"/>
                <w:sz w:val="22"/>
                <w:szCs w:val="22"/>
              </w:rPr>
              <w:t xml:space="preserve">, </w:t>
            </w:r>
            <w:r w:rsidRPr="00E81F9C">
              <w:rPr>
                <w:rFonts w:ascii="Arial Narrow" w:hAnsi="Arial Narrow"/>
                <w:i/>
                <w:iCs/>
                <w:color w:val="000000" w:themeColor="text1"/>
                <w:sz w:val="22"/>
                <w:szCs w:val="22"/>
              </w:rPr>
              <w:t>browser</w:t>
            </w:r>
            <w:r w:rsidRPr="00E81F9C">
              <w:rPr>
                <w:rFonts w:ascii="Arial Narrow" w:hAnsi="Arial Narrow"/>
                <w:color w:val="000000" w:themeColor="text1"/>
                <w:sz w:val="22"/>
                <w:szCs w:val="22"/>
              </w:rPr>
              <w:t xml:space="preserve">, and </w:t>
            </w:r>
            <w:r w:rsidRPr="00E81F9C">
              <w:rPr>
                <w:rFonts w:ascii="Arial Narrow" w:hAnsi="Arial Narrow"/>
                <w:i/>
                <w:iCs/>
                <w:color w:val="000000" w:themeColor="text1"/>
                <w:sz w:val="22"/>
                <w:szCs w:val="22"/>
              </w:rPr>
              <w:t>add</w:t>
            </w:r>
            <w:r w:rsidRPr="00E81F9C">
              <w:rPr>
                <w:rFonts w:ascii="Arial Narrow" w:hAnsi="Arial Narrow"/>
                <w:color w:val="000000" w:themeColor="text1"/>
                <w:sz w:val="22"/>
                <w:szCs w:val="22"/>
              </w:rPr>
              <w:t xml:space="preserve"> highlight how users reference specific system functionalities to communicate perceived capabilities. These cues function as interpretive signals to others, showcasing the affordances and technological strengths of ChatGPT. These expressions reflect users' sensegiving signaling behavior, attempting to shape others' understanding through positive framing of system affordances and performance.</w:t>
            </w:r>
          </w:p>
        </w:tc>
      </w:tr>
      <w:tr w:rsidR="00B75B6B" w:rsidRPr="00E81F9C" w:rsidTr="00186D1F">
        <w:trPr>
          <w:trHeight w:val="1700"/>
        </w:trPr>
        <w:tc>
          <w:tcPr>
            <w:tcW w:w="1274"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w:t>
            </w:r>
          </w:p>
        </w:tc>
        <w:tc>
          <w:tcPr>
            <w:tcW w:w="184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Cs/>
                <w:color w:val="000000" w:themeColor="text1"/>
                <w:sz w:val="22"/>
                <w:szCs w:val="22"/>
              </w:rPr>
            </w:pPr>
            <w:r w:rsidRPr="00E81F9C">
              <w:rPr>
                <w:rFonts w:ascii="Arial Narrow" w:hAnsi="Arial Narrow"/>
                <w:bCs/>
                <w:color w:val="000000" w:themeColor="text1"/>
                <w:sz w:val="22"/>
                <w:szCs w:val="22"/>
              </w:rPr>
              <w:t>Energizing</w:t>
            </w:r>
          </w:p>
        </w:tc>
        <w:tc>
          <w:tcPr>
            <w:tcW w:w="326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love, answer, useful, information, give, ask, awesome, want, question, excellent, way, app, find, provide, easy, answer_question, write, lot, easy_use, voice</w:t>
            </w:r>
          </w:p>
        </w:tc>
        <w:tc>
          <w:tcPr>
            <w:tcW w:w="7655"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The frequent use of affect-rich and positively valenced terms such as </w:t>
            </w:r>
            <w:r w:rsidRPr="00E81F9C">
              <w:rPr>
                <w:rFonts w:ascii="Arial Narrow" w:hAnsi="Arial Narrow"/>
                <w:i/>
                <w:iCs/>
                <w:color w:val="000000" w:themeColor="text1"/>
                <w:sz w:val="22"/>
                <w:szCs w:val="22"/>
              </w:rPr>
              <w:t>love</w:t>
            </w:r>
            <w:r w:rsidRPr="00E81F9C">
              <w:rPr>
                <w:rFonts w:ascii="Arial Narrow" w:hAnsi="Arial Narrow"/>
                <w:color w:val="000000" w:themeColor="text1"/>
                <w:sz w:val="22"/>
                <w:szCs w:val="22"/>
              </w:rPr>
              <w:t xml:space="preserve">, </w:t>
            </w:r>
            <w:r w:rsidRPr="00E81F9C">
              <w:rPr>
                <w:rFonts w:ascii="Arial Narrow" w:hAnsi="Arial Narrow"/>
                <w:i/>
                <w:iCs/>
                <w:color w:val="000000" w:themeColor="text1"/>
                <w:sz w:val="22"/>
                <w:szCs w:val="22"/>
              </w:rPr>
              <w:t>awesome</w:t>
            </w:r>
            <w:r w:rsidRPr="00E81F9C">
              <w:rPr>
                <w:rFonts w:ascii="Arial Narrow" w:hAnsi="Arial Narrow"/>
                <w:color w:val="000000" w:themeColor="text1"/>
                <w:sz w:val="22"/>
                <w:szCs w:val="22"/>
              </w:rPr>
              <w:t xml:space="preserve">, </w:t>
            </w:r>
            <w:r w:rsidRPr="00E81F9C">
              <w:rPr>
                <w:rFonts w:ascii="Arial Narrow" w:hAnsi="Arial Narrow"/>
                <w:i/>
                <w:iCs/>
                <w:color w:val="000000" w:themeColor="text1"/>
                <w:sz w:val="22"/>
                <w:szCs w:val="22"/>
              </w:rPr>
              <w:t>excellent</w:t>
            </w:r>
            <w:r w:rsidRPr="00E81F9C">
              <w:rPr>
                <w:rFonts w:ascii="Arial Narrow" w:hAnsi="Arial Narrow"/>
                <w:color w:val="000000" w:themeColor="text1"/>
                <w:sz w:val="22"/>
                <w:szCs w:val="22"/>
              </w:rPr>
              <w:t xml:space="preserve">, and </w:t>
            </w:r>
            <w:r w:rsidRPr="00E81F9C">
              <w:rPr>
                <w:rFonts w:ascii="Arial Narrow" w:hAnsi="Arial Narrow"/>
                <w:i/>
                <w:iCs/>
                <w:color w:val="000000" w:themeColor="text1"/>
                <w:sz w:val="22"/>
                <w:szCs w:val="22"/>
              </w:rPr>
              <w:t>easy_use</w:t>
            </w:r>
            <w:r w:rsidRPr="00E81F9C">
              <w:rPr>
                <w:rFonts w:ascii="Arial Narrow" w:hAnsi="Arial Narrow"/>
                <w:color w:val="000000" w:themeColor="text1"/>
                <w:sz w:val="22"/>
                <w:szCs w:val="22"/>
              </w:rPr>
              <w:t xml:space="preserve"> highlights the emotional engagement and motivational framing. These expressions are aligned with the energizing component of sensegiving, where persuasive language and affective enthusiasm are used to encourage adoption and reinforce shared beliefs about the technology’s value. This also reflects socio-emotional framing, where users influence peers by sharing transformative personal experiences with ChatGPT in a manner that supports trust, utility, and long-term use.</w:t>
            </w:r>
          </w:p>
        </w:tc>
      </w:tr>
    </w:tbl>
    <w:p w:rsidR="00B75B6B" w:rsidRPr="00E81F9C" w:rsidRDefault="00B75B6B" w:rsidP="00B75B6B">
      <w:pPr>
        <w:spacing w:line="360" w:lineRule="auto"/>
        <w:rPr>
          <w:rFonts w:ascii="Arial Narrow" w:hAnsi="Arial Narrow"/>
          <w:bCs/>
          <w:color w:val="000000" w:themeColor="text1"/>
          <w:sz w:val="22"/>
          <w:szCs w:val="22"/>
        </w:rPr>
      </w:pPr>
    </w:p>
    <w:p w:rsidR="00B75B6B" w:rsidRPr="00E81F9C" w:rsidRDefault="00B75B6B" w:rsidP="00B75B6B">
      <w:pPr>
        <w:spacing w:line="360" w:lineRule="auto"/>
        <w:rPr>
          <w:rFonts w:ascii="Arial Narrow" w:hAnsi="Arial Narrow"/>
          <w:b/>
          <w:bCs/>
          <w:color w:val="000000" w:themeColor="text1"/>
          <w:sz w:val="22"/>
          <w:szCs w:val="22"/>
        </w:rPr>
      </w:pPr>
    </w:p>
    <w:p w:rsidR="00B75B6B" w:rsidRPr="00E81F9C" w:rsidRDefault="00B75B6B" w:rsidP="00B75B6B">
      <w:pPr>
        <w:rPr>
          <w:rFonts w:ascii="Arial Narrow" w:hAnsi="Arial Narrow"/>
          <w:b/>
          <w:bCs/>
          <w:color w:val="000000" w:themeColor="text1"/>
          <w:sz w:val="22"/>
          <w:szCs w:val="22"/>
        </w:rPr>
      </w:pPr>
      <w:r w:rsidRPr="00E81F9C">
        <w:rPr>
          <w:rFonts w:ascii="Arial Narrow" w:hAnsi="Arial Narrow"/>
          <w:b/>
          <w:bCs/>
          <w:color w:val="000000" w:themeColor="text1"/>
          <w:sz w:val="22"/>
          <w:szCs w:val="22"/>
        </w:rPr>
        <w:br w:type="page"/>
      </w:r>
    </w:p>
    <w:p w:rsidR="00B75B6B" w:rsidRPr="00E81F9C" w:rsidRDefault="00B75B6B" w:rsidP="00B75B6B">
      <w:pPr>
        <w:spacing w:line="360" w:lineRule="auto"/>
        <w:rPr>
          <w:rFonts w:ascii="Arial Narrow" w:hAnsi="Arial Narrow"/>
          <w:color w:val="000000" w:themeColor="text1"/>
          <w:sz w:val="22"/>
          <w:szCs w:val="22"/>
        </w:rPr>
      </w:pPr>
      <w:r w:rsidRPr="00E81F9C">
        <w:rPr>
          <w:rFonts w:ascii="Arial Narrow" w:hAnsi="Arial Narrow"/>
          <w:b/>
          <w:bCs/>
          <w:color w:val="000000" w:themeColor="text1"/>
          <w:sz w:val="22"/>
          <w:szCs w:val="22"/>
        </w:rPr>
        <w:lastRenderedPageBreak/>
        <w:t>Table A3:</w:t>
      </w:r>
      <w:r w:rsidRPr="00E81F9C">
        <w:rPr>
          <w:rFonts w:ascii="Arial Narrow" w:hAnsi="Arial Narrow"/>
          <w:bCs/>
          <w:color w:val="000000" w:themeColor="text1"/>
          <w:sz w:val="22"/>
          <w:szCs w:val="22"/>
        </w:rPr>
        <w:t xml:space="preserve"> Sub-</w:t>
      </w:r>
      <w:r w:rsidRPr="00E81F9C">
        <w:rPr>
          <w:rFonts w:ascii="Arial Narrow" w:hAnsi="Arial Narrow"/>
          <w:color w:val="000000" w:themeColor="text1"/>
          <w:sz w:val="22"/>
          <w:szCs w:val="22"/>
        </w:rPr>
        <w:t>Topics derived through LDA topic modelling for each theoretical factor</w:t>
      </w:r>
    </w:p>
    <w:tbl>
      <w:tblPr>
        <w:tblW w:w="14029" w:type="dxa"/>
        <w:tblLook w:val="04A0" w:firstRow="1" w:lastRow="0" w:firstColumn="1" w:lastColumn="0" w:noHBand="0" w:noVBand="1"/>
      </w:tblPr>
      <w:tblGrid>
        <w:gridCol w:w="1149"/>
        <w:gridCol w:w="1700"/>
        <w:gridCol w:w="4801"/>
        <w:gridCol w:w="6379"/>
      </w:tblGrid>
      <w:tr w:rsidR="00B75B6B" w:rsidRPr="00E81F9C" w:rsidTr="00186D1F">
        <w:trPr>
          <w:trHeight w:val="57"/>
          <w:tblHeader/>
        </w:trPr>
        <w:tc>
          <w:tcPr>
            <w:tcW w:w="1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
                <w:bCs/>
                <w:color w:val="000000" w:themeColor="text1"/>
                <w:sz w:val="22"/>
                <w:szCs w:val="22"/>
              </w:rPr>
            </w:pPr>
            <w:r w:rsidRPr="00E81F9C">
              <w:rPr>
                <w:rFonts w:ascii="Arial Narrow" w:hAnsi="Arial Narrow"/>
                <w:b/>
                <w:bCs/>
                <w:color w:val="000000" w:themeColor="text1"/>
                <w:sz w:val="22"/>
                <w:szCs w:val="22"/>
              </w:rPr>
              <w:t>Construct</w:t>
            </w:r>
          </w:p>
        </w:tc>
        <w:tc>
          <w:tcPr>
            <w:tcW w:w="1700" w:type="dxa"/>
            <w:tcBorders>
              <w:top w:val="single" w:sz="4" w:space="0" w:color="auto"/>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
                <w:bCs/>
                <w:color w:val="000000" w:themeColor="text1"/>
                <w:sz w:val="22"/>
                <w:szCs w:val="22"/>
              </w:rPr>
            </w:pPr>
            <w:r w:rsidRPr="00E81F9C">
              <w:rPr>
                <w:rFonts w:ascii="Arial Narrow" w:hAnsi="Arial Narrow"/>
                <w:b/>
                <w:bCs/>
                <w:color w:val="000000" w:themeColor="text1"/>
                <w:sz w:val="22"/>
                <w:szCs w:val="22"/>
              </w:rPr>
              <w:t>Mapped Factors</w:t>
            </w:r>
          </w:p>
        </w:tc>
        <w:tc>
          <w:tcPr>
            <w:tcW w:w="4801" w:type="dxa"/>
            <w:tcBorders>
              <w:top w:val="single" w:sz="4" w:space="0" w:color="auto"/>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
                <w:bCs/>
                <w:color w:val="000000" w:themeColor="text1"/>
                <w:sz w:val="22"/>
                <w:szCs w:val="22"/>
              </w:rPr>
            </w:pPr>
            <w:r w:rsidRPr="00E81F9C">
              <w:rPr>
                <w:rFonts w:ascii="Arial Narrow" w:hAnsi="Arial Narrow"/>
                <w:b/>
                <w:bCs/>
                <w:color w:val="000000" w:themeColor="text1"/>
                <w:sz w:val="22"/>
                <w:szCs w:val="22"/>
              </w:rPr>
              <w:t>Words</w:t>
            </w:r>
          </w:p>
        </w:tc>
        <w:tc>
          <w:tcPr>
            <w:tcW w:w="6379" w:type="dxa"/>
            <w:tcBorders>
              <w:top w:val="single" w:sz="4" w:space="0" w:color="auto"/>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
                <w:bCs/>
                <w:color w:val="000000" w:themeColor="text1"/>
                <w:sz w:val="22"/>
                <w:szCs w:val="22"/>
              </w:rPr>
            </w:pPr>
            <w:r w:rsidRPr="00E81F9C">
              <w:rPr>
                <w:rFonts w:ascii="Arial Narrow" w:hAnsi="Arial Narrow"/>
                <w:b/>
                <w:bCs/>
                <w:color w:val="000000" w:themeColor="text1"/>
                <w:sz w:val="22"/>
                <w:szCs w:val="22"/>
              </w:rPr>
              <w:t>Justification</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Cs/>
                <w:color w:val="000000" w:themeColor="text1"/>
                <w:sz w:val="22"/>
                <w:szCs w:val="22"/>
              </w:rPr>
            </w:pPr>
            <w:r w:rsidRPr="00E81F9C">
              <w:rPr>
                <w:rFonts w:ascii="Arial Narrow" w:hAnsi="Arial Narrow"/>
                <w:bCs/>
                <w:color w:val="000000" w:themeColor="text1"/>
                <w:sz w:val="22"/>
                <w:szCs w:val="22"/>
              </w:rPr>
              <w:t>Envisioning</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Perceived Usefulness</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good, great, nice, useful, amazing, student, like, friend, world, well, experience, app, knowledge, use, see, far, future, response, job, think</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Words such as </w:t>
            </w:r>
            <w:r w:rsidRPr="00E81F9C">
              <w:rPr>
                <w:rFonts w:ascii="Arial Narrow" w:hAnsi="Arial Narrow"/>
                <w:iCs/>
                <w:color w:val="000000" w:themeColor="text1"/>
                <w:sz w:val="22"/>
                <w:szCs w:val="22"/>
              </w:rPr>
              <w:t>good</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useful</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knowledge</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job</w:t>
            </w:r>
            <w:r w:rsidRPr="00E81F9C">
              <w:rPr>
                <w:rFonts w:ascii="Arial Narrow" w:hAnsi="Arial Narrow"/>
                <w:color w:val="000000" w:themeColor="text1"/>
                <w:sz w:val="22"/>
                <w:szCs w:val="22"/>
              </w:rPr>
              <w:t xml:space="preserve"> indicate that employees perceive ChatGPT as a practical and valuable tool for both professional and learning tasks. This aligns with the </w:t>
            </w:r>
            <w:r w:rsidRPr="00E81F9C">
              <w:rPr>
                <w:rFonts w:ascii="Arial Narrow" w:hAnsi="Arial Narrow"/>
                <w:bCs/>
                <w:color w:val="000000" w:themeColor="text1"/>
                <w:sz w:val="22"/>
                <w:szCs w:val="22"/>
              </w:rPr>
              <w:t>Perceived Usefulness</w:t>
            </w:r>
            <w:r w:rsidRPr="00E81F9C">
              <w:rPr>
                <w:rFonts w:ascii="Arial Narrow" w:hAnsi="Arial Narrow"/>
                <w:color w:val="000000" w:themeColor="text1"/>
                <w:sz w:val="22"/>
                <w:szCs w:val="22"/>
              </w:rPr>
              <w:t xml:space="preserve"> construct from the Technology Acceptance Model (TAM), reflecting how users envision AI tools enhancing job performance and learning outcomes.</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Cognitive Framing</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helpful, love, use, know, learn, bad, cool, ask, student, happy, understand, easy_use, answer_question, try, recommend, study, actually, add, guy, useful</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Terms like </w:t>
            </w:r>
            <w:r w:rsidRPr="00E81F9C">
              <w:rPr>
                <w:rFonts w:ascii="Arial Narrow" w:hAnsi="Arial Narrow"/>
                <w:iCs/>
                <w:color w:val="000000" w:themeColor="text1"/>
                <w:sz w:val="22"/>
                <w:szCs w:val="22"/>
              </w:rPr>
              <w:t>helpful</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understand</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recommend</w:t>
            </w:r>
            <w:r w:rsidRPr="00E81F9C">
              <w:rPr>
                <w:rFonts w:ascii="Arial Narrow" w:hAnsi="Arial Narrow"/>
                <w:color w:val="000000" w:themeColor="text1"/>
                <w:sz w:val="22"/>
                <w:szCs w:val="22"/>
              </w:rPr>
              <w:t xml:space="preserve"> reveal how employees cognitively frame GenAI tools as assistive knowledge partners. These tools support problem-solving and task mastery within workplace settings.</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Task Characteristics</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help, work, thank, thing, use, answer, awesome, free, information, perfect, study, need, excellent, think, problem, give, life, easy, make, want</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Words such as </w:t>
            </w:r>
            <w:r w:rsidRPr="00E81F9C">
              <w:rPr>
                <w:rFonts w:ascii="Arial Narrow" w:hAnsi="Arial Narrow"/>
                <w:iCs/>
                <w:color w:val="000000" w:themeColor="text1"/>
                <w:sz w:val="22"/>
                <w:szCs w:val="22"/>
              </w:rPr>
              <w:t>help</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work</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need</w:t>
            </w:r>
            <w:r w:rsidRPr="00E81F9C">
              <w:rPr>
                <w:rFonts w:ascii="Arial Narrow" w:hAnsi="Arial Narrow"/>
                <w:color w:val="000000" w:themeColor="text1"/>
                <w:sz w:val="22"/>
                <w:szCs w:val="22"/>
              </w:rPr>
              <w:t xml:space="preserve"> illustrate various characteristics of tasks that encourage user engagement with AI tools to efficiently accomplish work goals. This highlights the role of technology in supporting critical workplace activities.</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Cs/>
                <w:color w:val="000000" w:themeColor="text1"/>
                <w:sz w:val="22"/>
                <w:szCs w:val="22"/>
              </w:rPr>
            </w:pPr>
            <w:r w:rsidRPr="00E81F9C">
              <w:rPr>
                <w:rFonts w:ascii="Arial Narrow" w:hAnsi="Arial Narrow"/>
                <w:bCs/>
                <w:color w:val="000000" w:themeColor="text1"/>
                <w:sz w:val="22"/>
                <w:szCs w:val="22"/>
              </w:rPr>
              <w:t>Revisioning</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Adaptive Structuration</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good, need, great, answer, time, far, give, love, like, image, get, wait, response, ask, question, tell, try, amazing, information, pretty</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Words like </w:t>
            </w:r>
            <w:r w:rsidRPr="00E81F9C">
              <w:rPr>
                <w:rFonts w:ascii="Arial Narrow" w:hAnsi="Arial Narrow"/>
                <w:iCs/>
                <w:color w:val="000000" w:themeColor="text1"/>
                <w:sz w:val="22"/>
                <w:szCs w:val="22"/>
              </w:rPr>
              <w:t>try</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answer</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ask</w:t>
            </w:r>
            <w:r w:rsidRPr="00E81F9C">
              <w:rPr>
                <w:rFonts w:ascii="Arial Narrow" w:hAnsi="Arial Narrow"/>
                <w:color w:val="000000" w:themeColor="text1"/>
                <w:sz w:val="22"/>
                <w:szCs w:val="22"/>
              </w:rPr>
              <w:t xml:space="preserve"> suggest that employees adapt their use of AI tools iteratively, based on feedback and evolving task demands. This reflects a continuous sensemaking process where users adjust their understanding to better integrate AI into their workflows.</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AI Mindfulness</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response, nice, great, information, helpful, provide, review, user, conversation, help, need, feature, recommend, experience, impressive, make, excellent, answer_question, useful, future</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Words such as </w:t>
            </w:r>
            <w:r w:rsidRPr="00E81F9C">
              <w:rPr>
                <w:rFonts w:ascii="Arial Narrow" w:hAnsi="Arial Narrow"/>
                <w:iCs/>
                <w:color w:val="000000" w:themeColor="text1"/>
                <w:sz w:val="22"/>
                <w:szCs w:val="22"/>
              </w:rPr>
              <w:t>review</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conversation</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recommend</w:t>
            </w:r>
            <w:r w:rsidRPr="00E81F9C">
              <w:rPr>
                <w:rFonts w:ascii="Arial Narrow" w:hAnsi="Arial Narrow"/>
                <w:color w:val="000000" w:themeColor="text1"/>
                <w:sz w:val="22"/>
                <w:szCs w:val="22"/>
              </w:rPr>
              <w:t xml:space="preserve"> indicate conscious evaluation and mindful engagement with AI-generated content. This aligns with the concept of </w:t>
            </w:r>
            <w:r w:rsidRPr="00E81F9C">
              <w:rPr>
                <w:rFonts w:ascii="Arial Narrow" w:hAnsi="Arial Narrow"/>
                <w:bCs/>
                <w:color w:val="000000" w:themeColor="text1"/>
                <w:sz w:val="22"/>
                <w:szCs w:val="22"/>
              </w:rPr>
              <w:t>AI mindfulness</w:t>
            </w:r>
            <w:r w:rsidRPr="00E81F9C">
              <w:rPr>
                <w:rFonts w:ascii="Arial Narrow" w:hAnsi="Arial Narrow"/>
                <w:color w:val="000000" w:themeColor="text1"/>
                <w:sz w:val="22"/>
                <w:szCs w:val="22"/>
              </w:rPr>
              <w:t>, emphasizing ethical, reflective, and purposeful use that fosters trust and effective collaboration in professional environments.</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Task-Technology Fit</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well, fast, love, good, word, website, talk, amazing, super, feel, new, human, helpful, smart, awesome, easy_use, way, like, point, useful</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Terms like </w:t>
            </w:r>
            <w:r w:rsidRPr="00E81F9C">
              <w:rPr>
                <w:rFonts w:ascii="Arial Narrow" w:hAnsi="Arial Narrow"/>
                <w:iCs/>
                <w:color w:val="000000" w:themeColor="text1"/>
                <w:sz w:val="22"/>
                <w:szCs w:val="22"/>
              </w:rPr>
              <w:t>fast</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smart</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human</w:t>
            </w:r>
            <w:r w:rsidRPr="00E81F9C">
              <w:rPr>
                <w:rFonts w:ascii="Arial Narrow" w:hAnsi="Arial Narrow"/>
                <w:color w:val="000000" w:themeColor="text1"/>
                <w:sz w:val="22"/>
                <w:szCs w:val="22"/>
              </w:rPr>
              <w:t xml:space="preserve"> suggest that employees perceive a strong fit between AI capabilities and their work needs. These perceptions enhance ease of use and social interaction, reinforcing trust and reliance on AI teammates.</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Problem-Solution Reframing</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work, use, time, try, open, option, phone, say, update, web, fix, start, issue, finally, help_lot, ask, problem, want, text, feature</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Words such as </w:t>
            </w:r>
            <w:r w:rsidRPr="00E81F9C">
              <w:rPr>
                <w:rFonts w:ascii="Arial Narrow" w:hAnsi="Arial Narrow"/>
                <w:iCs/>
                <w:color w:val="000000" w:themeColor="text1"/>
                <w:sz w:val="22"/>
                <w:szCs w:val="22"/>
              </w:rPr>
              <w:t>fix</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problem</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help_lot</w:t>
            </w:r>
            <w:r w:rsidRPr="00E81F9C">
              <w:rPr>
                <w:rFonts w:ascii="Arial Narrow" w:hAnsi="Arial Narrow"/>
                <w:color w:val="000000" w:themeColor="text1"/>
                <w:sz w:val="22"/>
                <w:szCs w:val="22"/>
              </w:rPr>
              <w:t xml:space="preserve"> demonstrate how employees reframe workplace challenges as manageable with AI assistance. This reflects resilience and a proactive approach to problem-solving.</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Cs/>
                <w:color w:val="000000" w:themeColor="text1"/>
                <w:sz w:val="22"/>
                <w:szCs w:val="22"/>
              </w:rPr>
            </w:pPr>
            <w:r w:rsidRPr="00E81F9C">
              <w:rPr>
                <w:rFonts w:ascii="Arial Narrow" w:hAnsi="Arial Narrow"/>
                <w:bCs/>
                <w:color w:val="000000" w:themeColor="text1"/>
                <w:sz w:val="22"/>
                <w:szCs w:val="22"/>
              </w:rPr>
              <w:lastRenderedPageBreak/>
              <w:t>Signalling</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Trust and Credibility</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great, helpful, amazing, experience, love, accurate, important, outstanding, brilliant, future, help, content, answer, exam, exceptional, good, tool, mind_blow, information, easy_use</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Terms like </w:t>
            </w:r>
            <w:r w:rsidRPr="00E81F9C">
              <w:rPr>
                <w:rFonts w:ascii="Arial Narrow" w:hAnsi="Arial Narrow"/>
                <w:iCs/>
                <w:color w:val="000000" w:themeColor="text1"/>
                <w:sz w:val="22"/>
                <w:szCs w:val="22"/>
              </w:rPr>
              <w:t>accurate</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outstanding</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exceptional</w:t>
            </w:r>
            <w:r w:rsidRPr="00E81F9C">
              <w:rPr>
                <w:rFonts w:ascii="Arial Narrow" w:hAnsi="Arial Narrow"/>
                <w:color w:val="000000" w:themeColor="text1"/>
                <w:sz w:val="22"/>
                <w:szCs w:val="22"/>
              </w:rPr>
              <w:t xml:space="preserve"> show how employees signal the reliability and credibility of AI tools in their reviews. By highlighting trustworthy features, users influence peer perceptions and promote broader adoption in the workplace.</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Peer Signalling</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good, picture, useful, give, save, error, add, edit, log, use, want, function, live, question, available, work, money, team, need, time</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Words such as </w:t>
            </w:r>
            <w:r w:rsidRPr="00E81F9C">
              <w:rPr>
                <w:rFonts w:ascii="Arial Narrow" w:hAnsi="Arial Narrow"/>
                <w:iCs/>
                <w:color w:val="000000" w:themeColor="text1"/>
                <w:sz w:val="22"/>
                <w:szCs w:val="22"/>
              </w:rPr>
              <w:t>save</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error</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team</w:t>
            </w:r>
            <w:r w:rsidRPr="00E81F9C">
              <w:rPr>
                <w:rFonts w:ascii="Arial Narrow" w:hAnsi="Arial Narrow"/>
                <w:color w:val="000000" w:themeColor="text1"/>
                <w:sz w:val="22"/>
                <w:szCs w:val="22"/>
              </w:rPr>
              <w:t xml:space="preserve"> reflect peer influence and social validation. These terms indicate that employees publicly share positive experiences, reinforcing collective trust and encouraging others to adopt AI tools.</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Technological Affordance</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nice, like, helpful, bot, helper, picture, love, appp, impressed, plugin, answer, appi, editing, aap, app, real, provide_information, awesome, karo, llm</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The presence of words like </w:t>
            </w:r>
            <w:r w:rsidRPr="00E81F9C">
              <w:rPr>
                <w:rFonts w:ascii="Arial Narrow" w:hAnsi="Arial Narrow"/>
                <w:iCs/>
                <w:color w:val="000000" w:themeColor="text1"/>
                <w:sz w:val="22"/>
                <w:szCs w:val="22"/>
              </w:rPr>
              <w:t>plugin</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editing</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provide_information</w:t>
            </w:r>
            <w:r w:rsidRPr="00E81F9C">
              <w:rPr>
                <w:rFonts w:ascii="Arial Narrow" w:hAnsi="Arial Narrow"/>
                <w:color w:val="000000" w:themeColor="text1"/>
                <w:sz w:val="22"/>
                <w:szCs w:val="22"/>
              </w:rPr>
              <w:t xml:space="preserve"> emphasizes employees’ awareness of AI’s technological affordances. These references highlight actionable features that support productivity and demonstrate trust in AI as a capable workplace collaborator.</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Value-Based Motivation</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amazing, feature, star, add, guy, future, chat, love, good, hope, thank, month, worth, work, voice, story, use, real, lot, require</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Words like </w:t>
            </w:r>
            <w:r w:rsidRPr="00E81F9C">
              <w:rPr>
                <w:rFonts w:ascii="Arial Narrow" w:hAnsi="Arial Narrow"/>
                <w:iCs/>
                <w:color w:val="000000" w:themeColor="text1"/>
                <w:sz w:val="22"/>
                <w:szCs w:val="22"/>
              </w:rPr>
              <w:t>hope</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worth</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future</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thank</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amazing</w:t>
            </w:r>
            <w:r w:rsidRPr="00E81F9C">
              <w:rPr>
                <w:rFonts w:ascii="Arial Narrow" w:hAnsi="Arial Narrow"/>
                <w:color w:val="000000" w:themeColor="text1"/>
                <w:sz w:val="22"/>
                <w:szCs w:val="22"/>
              </w:rPr>
              <w:t xml:space="preserve"> convey users’ value-based motivations and emotional satisfaction from using AI tools.</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bCs/>
                <w:color w:val="000000" w:themeColor="text1"/>
                <w:sz w:val="22"/>
                <w:szCs w:val="22"/>
              </w:rPr>
            </w:pPr>
            <w:r w:rsidRPr="00E81F9C">
              <w:rPr>
                <w:rFonts w:ascii="Arial Narrow" w:hAnsi="Arial Narrow"/>
                <w:bCs/>
                <w:color w:val="000000" w:themeColor="text1"/>
                <w:sz w:val="22"/>
                <w:szCs w:val="22"/>
              </w:rPr>
              <w:t>Energizing</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Affective Commitment</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love, excellent, easy, fantastic, easy_use, superb, helpful, make, amazing, answer_question, totally, work, believe, sign, thank_team, quality, quick_response, response, change_life, user_friendly</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Affective expressions such as </w:t>
            </w:r>
            <w:r w:rsidRPr="00E81F9C">
              <w:rPr>
                <w:rFonts w:ascii="Arial Narrow" w:hAnsi="Arial Narrow"/>
                <w:iCs/>
                <w:color w:val="000000" w:themeColor="text1"/>
                <w:sz w:val="22"/>
                <w:szCs w:val="22"/>
              </w:rPr>
              <w:t>love</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fantastic</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thank_team</w:t>
            </w:r>
            <w:r w:rsidRPr="00E81F9C">
              <w:rPr>
                <w:rFonts w:ascii="Arial Narrow" w:hAnsi="Arial Narrow"/>
                <w:color w:val="000000" w:themeColor="text1"/>
                <w:sz w:val="22"/>
                <w:szCs w:val="22"/>
              </w:rPr>
              <w:t xml:space="preserve"> reflect strong emotional engagement. These sentiments energize others and promote positive advocacy for AI adoption among colleagues.</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Social Influence</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useful, love, awesome, wonderful, app, helpful, information, great, easy_use, amazing, see, program, aap, nice, find, helpfull, people, thank, education, support</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Words like </w:t>
            </w:r>
            <w:r w:rsidRPr="00E81F9C">
              <w:rPr>
                <w:rFonts w:ascii="Arial Narrow" w:hAnsi="Arial Narrow"/>
                <w:iCs/>
                <w:color w:val="000000" w:themeColor="text1"/>
                <w:sz w:val="22"/>
                <w:szCs w:val="22"/>
              </w:rPr>
              <w:t>support</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education</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people</w:t>
            </w:r>
            <w:r w:rsidRPr="00E81F9C">
              <w:rPr>
                <w:rFonts w:ascii="Arial Narrow" w:hAnsi="Arial Narrow"/>
                <w:color w:val="000000" w:themeColor="text1"/>
                <w:sz w:val="22"/>
                <w:szCs w:val="22"/>
              </w:rPr>
              <w:t xml:space="preserve"> highlight the communal and social dimensions of AI usage. Peer encouragement and institutional trust play a crucial role in building shared beliefs and facilitating collective learning.</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Innovative Design</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language, write, voice, want, way, awesome, wish, people, lot, good, technology, wrong, great, amazing, use, star, speak, help, able, feature</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Terms such as </w:t>
            </w:r>
            <w:r w:rsidRPr="00E81F9C">
              <w:rPr>
                <w:rFonts w:ascii="Arial Narrow" w:hAnsi="Arial Narrow"/>
                <w:iCs/>
                <w:color w:val="000000" w:themeColor="text1"/>
                <w:sz w:val="22"/>
                <w:szCs w:val="22"/>
              </w:rPr>
              <w:t>voice</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language</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help</w:t>
            </w:r>
            <w:r w:rsidRPr="00E81F9C">
              <w:rPr>
                <w:rFonts w:ascii="Arial Narrow" w:hAnsi="Arial Narrow"/>
                <w:color w:val="000000" w:themeColor="text1"/>
                <w:sz w:val="22"/>
                <w:szCs w:val="22"/>
              </w:rPr>
              <w:t xml:space="preserve"> suggest appreciation for inclusive and accessible AI design, while words like </w:t>
            </w:r>
            <w:r w:rsidRPr="00E81F9C">
              <w:rPr>
                <w:rFonts w:ascii="Arial Narrow" w:hAnsi="Arial Narrow"/>
                <w:iCs/>
                <w:color w:val="000000" w:themeColor="text1"/>
                <w:sz w:val="22"/>
                <w:szCs w:val="22"/>
              </w:rPr>
              <w:t>wish</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wrong</w:t>
            </w:r>
            <w:r w:rsidRPr="00E81F9C">
              <w:rPr>
                <w:rFonts w:ascii="Arial Narrow" w:hAnsi="Arial Narrow"/>
                <w:color w:val="000000" w:themeColor="text1"/>
                <w:sz w:val="22"/>
                <w:szCs w:val="22"/>
              </w:rPr>
              <w:t xml:space="preserve"> point to areas needing improvement.</w:t>
            </w:r>
          </w:p>
        </w:tc>
      </w:tr>
      <w:tr w:rsidR="00B75B6B" w:rsidRPr="00E81F9C" w:rsidTr="00186D1F">
        <w:trPr>
          <w:trHeight w:val="57"/>
        </w:trPr>
        <w:tc>
          <w:tcPr>
            <w:tcW w:w="1149" w:type="dxa"/>
            <w:tcBorders>
              <w:top w:val="nil"/>
              <w:left w:val="single" w:sz="4" w:space="0" w:color="auto"/>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w:t>
            </w:r>
          </w:p>
        </w:tc>
        <w:tc>
          <w:tcPr>
            <w:tcW w:w="1700"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Information Quality</w:t>
            </w:r>
          </w:p>
        </w:tc>
        <w:tc>
          <w:tcPr>
            <w:tcW w:w="4801"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answer, give, information, ask, good, question, want, answer_question, provide, find, search, great, nice, helpful, way, need, correct, like, help, amazing</w:t>
            </w:r>
          </w:p>
        </w:tc>
        <w:tc>
          <w:tcPr>
            <w:tcW w:w="6379" w:type="dxa"/>
            <w:tcBorders>
              <w:top w:val="nil"/>
              <w:left w:val="nil"/>
              <w:bottom w:val="single" w:sz="4" w:space="0" w:color="auto"/>
              <w:right w:val="single" w:sz="4" w:space="0" w:color="auto"/>
            </w:tcBorders>
            <w:shd w:val="clear" w:color="auto" w:fill="auto"/>
            <w:vAlign w:val="bottom"/>
            <w:hideMark/>
          </w:tcPr>
          <w:p w:rsidR="00B75B6B" w:rsidRPr="00E81F9C" w:rsidRDefault="00B75B6B" w:rsidP="00186D1F">
            <w:pPr>
              <w:spacing w:line="276" w:lineRule="auto"/>
              <w:rPr>
                <w:rFonts w:ascii="Arial Narrow" w:hAnsi="Arial Narrow"/>
                <w:color w:val="000000" w:themeColor="text1"/>
                <w:sz w:val="22"/>
                <w:szCs w:val="22"/>
              </w:rPr>
            </w:pPr>
            <w:r w:rsidRPr="00E81F9C">
              <w:rPr>
                <w:rFonts w:ascii="Arial Narrow" w:hAnsi="Arial Narrow"/>
                <w:color w:val="000000" w:themeColor="text1"/>
                <w:sz w:val="22"/>
                <w:szCs w:val="22"/>
              </w:rPr>
              <w:t xml:space="preserve">Words like </w:t>
            </w:r>
            <w:r w:rsidRPr="00E81F9C">
              <w:rPr>
                <w:rFonts w:ascii="Arial Narrow" w:hAnsi="Arial Narrow"/>
                <w:iCs/>
                <w:color w:val="000000" w:themeColor="text1"/>
                <w:sz w:val="22"/>
                <w:szCs w:val="22"/>
              </w:rPr>
              <w:t>answer</w:t>
            </w:r>
            <w:r w:rsidRPr="00E81F9C">
              <w:rPr>
                <w:rFonts w:ascii="Arial Narrow" w:hAnsi="Arial Narrow"/>
                <w:color w:val="000000" w:themeColor="text1"/>
                <w:sz w:val="22"/>
                <w:szCs w:val="22"/>
              </w:rPr>
              <w:t xml:space="preserve">, </w:t>
            </w:r>
            <w:r w:rsidRPr="00E81F9C">
              <w:rPr>
                <w:rFonts w:ascii="Arial Narrow" w:hAnsi="Arial Narrow"/>
                <w:iCs/>
                <w:color w:val="000000" w:themeColor="text1"/>
                <w:sz w:val="22"/>
                <w:szCs w:val="22"/>
              </w:rPr>
              <w:t>correct</w:t>
            </w:r>
            <w:r w:rsidRPr="00E81F9C">
              <w:rPr>
                <w:rFonts w:ascii="Arial Narrow" w:hAnsi="Arial Narrow"/>
                <w:color w:val="000000" w:themeColor="text1"/>
                <w:sz w:val="22"/>
                <w:szCs w:val="22"/>
              </w:rPr>
              <w:t xml:space="preserve">, and </w:t>
            </w:r>
            <w:r w:rsidRPr="00E81F9C">
              <w:rPr>
                <w:rFonts w:ascii="Arial Narrow" w:hAnsi="Arial Narrow"/>
                <w:iCs/>
                <w:color w:val="000000" w:themeColor="text1"/>
                <w:sz w:val="22"/>
                <w:szCs w:val="22"/>
              </w:rPr>
              <w:t>provide</w:t>
            </w:r>
            <w:r w:rsidRPr="00E81F9C">
              <w:rPr>
                <w:rFonts w:ascii="Arial Narrow" w:hAnsi="Arial Narrow"/>
                <w:color w:val="000000" w:themeColor="text1"/>
                <w:sz w:val="22"/>
                <w:szCs w:val="22"/>
              </w:rPr>
              <w:t xml:space="preserve"> demonstrate employees’ emphasis on information accuracy and transparency. These qualities are essential for informed decision-making and contribute to sustained trust in AI systems.</w:t>
            </w:r>
          </w:p>
        </w:tc>
      </w:tr>
    </w:tbl>
    <w:p w:rsidR="00B75B6B" w:rsidRPr="00E81F9C" w:rsidRDefault="00B75B6B" w:rsidP="00B75B6B">
      <w:pPr>
        <w:rPr>
          <w:rFonts w:ascii="Arial Narrow" w:hAnsi="Arial Narrow"/>
          <w:b/>
          <w:color w:val="000000" w:themeColor="text1"/>
          <w:sz w:val="22"/>
          <w:szCs w:val="22"/>
        </w:rPr>
      </w:pPr>
      <w:r w:rsidRPr="00E81F9C">
        <w:rPr>
          <w:rFonts w:ascii="Arial Narrow" w:hAnsi="Arial Narrow"/>
          <w:b/>
          <w:color w:val="000000" w:themeColor="text1"/>
          <w:sz w:val="22"/>
          <w:szCs w:val="22"/>
        </w:rPr>
        <w:br w:type="page"/>
      </w:r>
    </w:p>
    <w:p w:rsidR="00B75B6B" w:rsidRPr="00E81F9C" w:rsidRDefault="00B75B6B" w:rsidP="00B75B6B">
      <w:pPr>
        <w:rPr>
          <w:rFonts w:ascii="Arial Narrow" w:hAnsi="Arial Narrow"/>
          <w:color w:val="000000" w:themeColor="text1"/>
          <w:sz w:val="22"/>
          <w:szCs w:val="22"/>
          <w:lang w:val="en-US"/>
        </w:rPr>
      </w:pPr>
    </w:p>
    <w:tbl>
      <w:tblPr>
        <w:tblStyle w:val="TableGrid"/>
        <w:tblW w:w="0" w:type="auto"/>
        <w:tblLook w:val="04A0" w:firstRow="1" w:lastRow="0" w:firstColumn="1" w:lastColumn="0" w:noHBand="0" w:noVBand="1"/>
      </w:tblPr>
      <w:tblGrid>
        <w:gridCol w:w="3114"/>
        <w:gridCol w:w="1276"/>
        <w:gridCol w:w="1984"/>
        <w:gridCol w:w="2552"/>
        <w:gridCol w:w="850"/>
        <w:gridCol w:w="3686"/>
      </w:tblGrid>
      <w:tr w:rsidR="00B75B6B" w:rsidRPr="00E81F9C" w:rsidTr="00186D1F">
        <w:tc>
          <w:tcPr>
            <w:tcW w:w="13462" w:type="dxa"/>
            <w:gridSpan w:val="6"/>
            <w:tcBorders>
              <w:top w:val="nil"/>
              <w:left w:val="nil"/>
              <w:right w:val="nil"/>
            </w:tcBorders>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color w:val="000000" w:themeColor="text1"/>
                <w:sz w:val="20"/>
                <w:szCs w:val="20"/>
              </w:rPr>
              <w:t xml:space="preserve">1. Word Cloud Visualization of the Sub-Topic - 'Envisioning' </w:t>
            </w:r>
          </w:p>
        </w:tc>
      </w:tr>
      <w:tr w:rsidR="00B75B6B" w:rsidRPr="00E81F9C" w:rsidTr="00186D1F">
        <w:trPr>
          <w:trHeight w:val="2128"/>
        </w:trPr>
        <w:tc>
          <w:tcPr>
            <w:tcW w:w="4390" w:type="dxa"/>
            <w:gridSpan w:val="2"/>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61312" behindDoc="0" locked="0" layoutInCell="1" allowOverlap="1" wp14:anchorId="76B83BCC" wp14:editId="14DAF567">
                  <wp:simplePos x="0" y="0"/>
                  <wp:positionH relativeFrom="column">
                    <wp:posOffset>-12019</wp:posOffset>
                  </wp:positionH>
                  <wp:positionV relativeFrom="paragraph">
                    <wp:posOffset>38998</wp:posOffset>
                  </wp:positionV>
                  <wp:extent cx="2601798" cy="1258022"/>
                  <wp:effectExtent l="0" t="0" r="1905" b="0"/>
                  <wp:wrapNone/>
                  <wp:docPr id="5" name="Picture 4">
                    <a:extLst xmlns:a="http://schemas.openxmlformats.org/drawingml/2006/main">
                      <a:ext uri="{FF2B5EF4-FFF2-40B4-BE49-F238E27FC236}">
                        <a16:creationId xmlns:a16="http://schemas.microsoft.com/office/drawing/2014/main" id="{E16C839F-F02C-224E-845C-3795867F7F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16C839F-F02C-224E-845C-3795867F7FCD}"/>
                              </a:ext>
                            </a:extLst>
                          </pic:cNvPr>
                          <pic:cNvPicPr>
                            <a:picLocks noChangeAspect="1"/>
                          </pic:cNvPicPr>
                        </pic:nvPicPr>
                        <pic:blipFill>
                          <a:blip r:embed="rId5"/>
                          <a:stretch>
                            <a:fillRect/>
                          </a:stretch>
                        </pic:blipFill>
                        <pic:spPr>
                          <a:xfrm>
                            <a:off x="0" y="0"/>
                            <a:ext cx="2605471" cy="1259798"/>
                          </a:xfrm>
                          <a:prstGeom prst="rect">
                            <a:avLst/>
                          </a:prstGeom>
                        </pic:spPr>
                      </pic:pic>
                    </a:graphicData>
                  </a:graphic>
                  <wp14:sizeRelH relativeFrom="margin">
                    <wp14:pctWidth>0</wp14:pctWidth>
                  </wp14:sizeRelH>
                  <wp14:sizeRelV relativeFrom="margin">
                    <wp14:pctHeight>0</wp14:pctHeight>
                  </wp14:sizeRelV>
                </wp:anchor>
              </w:drawing>
            </w:r>
          </w:p>
        </w:tc>
        <w:tc>
          <w:tcPr>
            <w:tcW w:w="4536" w:type="dxa"/>
            <w:gridSpan w:val="2"/>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59264" behindDoc="0" locked="0" layoutInCell="1" allowOverlap="1" wp14:anchorId="2F05204C" wp14:editId="72B4E011">
                  <wp:simplePos x="0" y="0"/>
                  <wp:positionH relativeFrom="column">
                    <wp:posOffset>-459</wp:posOffset>
                  </wp:positionH>
                  <wp:positionV relativeFrom="paragraph">
                    <wp:posOffset>35077</wp:posOffset>
                  </wp:positionV>
                  <wp:extent cx="2560947" cy="1238491"/>
                  <wp:effectExtent l="0" t="0" r="5080" b="0"/>
                  <wp:wrapNone/>
                  <wp:docPr id="8" name="Picture 7">
                    <a:extLst xmlns:a="http://schemas.openxmlformats.org/drawingml/2006/main">
                      <a:ext uri="{FF2B5EF4-FFF2-40B4-BE49-F238E27FC236}">
                        <a16:creationId xmlns:a16="http://schemas.microsoft.com/office/drawing/2014/main" id="{74754B59-479A-FA41-BE7D-52785C6D4E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4754B59-479A-FA41-BE7D-52785C6D4E2D}"/>
                              </a:ext>
                            </a:extLst>
                          </pic:cNvPr>
                          <pic:cNvPicPr>
                            <a:picLocks noChangeAspect="1"/>
                          </pic:cNvPicPr>
                        </pic:nvPicPr>
                        <pic:blipFill>
                          <a:blip r:embed="rId6"/>
                          <a:stretch>
                            <a:fillRect/>
                          </a:stretch>
                        </pic:blipFill>
                        <pic:spPr>
                          <a:xfrm>
                            <a:off x="0" y="0"/>
                            <a:ext cx="2576501" cy="1246013"/>
                          </a:xfrm>
                          <a:prstGeom prst="rect">
                            <a:avLst/>
                          </a:prstGeom>
                        </pic:spPr>
                      </pic:pic>
                    </a:graphicData>
                  </a:graphic>
                  <wp14:sizeRelH relativeFrom="margin">
                    <wp14:pctWidth>0</wp14:pctWidth>
                  </wp14:sizeRelH>
                  <wp14:sizeRelV relativeFrom="margin">
                    <wp14:pctHeight>0</wp14:pctHeight>
                  </wp14:sizeRelV>
                </wp:anchor>
              </w:drawing>
            </w:r>
          </w:p>
        </w:tc>
        <w:tc>
          <w:tcPr>
            <w:tcW w:w="4536" w:type="dxa"/>
            <w:gridSpan w:val="2"/>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60288" behindDoc="0" locked="0" layoutInCell="1" allowOverlap="1" wp14:anchorId="2004F1ED" wp14:editId="78C1CD69">
                  <wp:simplePos x="0" y="0"/>
                  <wp:positionH relativeFrom="column">
                    <wp:posOffset>23187</wp:posOffset>
                  </wp:positionH>
                  <wp:positionV relativeFrom="paragraph">
                    <wp:posOffset>20143</wp:posOffset>
                  </wp:positionV>
                  <wp:extent cx="2450969" cy="1215601"/>
                  <wp:effectExtent l="0" t="0" r="635" b="3810"/>
                  <wp:wrapNone/>
                  <wp:docPr id="6" name="Picture 8">
                    <a:extLst xmlns:a="http://schemas.openxmlformats.org/drawingml/2006/main">
                      <a:ext uri="{FF2B5EF4-FFF2-40B4-BE49-F238E27FC236}">
                        <a16:creationId xmlns:a16="http://schemas.microsoft.com/office/drawing/2014/main" id="{1D634A0E-F2E9-9E48-8555-C04FBBF2AC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1D634A0E-F2E9-9E48-8555-C04FBBF2AC83}"/>
                              </a:ext>
                            </a:extLst>
                          </pic:cNvPr>
                          <pic:cNvPicPr>
                            <a:picLocks noChangeAspect="1"/>
                          </pic:cNvPicPr>
                        </pic:nvPicPr>
                        <pic:blipFill>
                          <a:blip r:embed="rId7"/>
                          <a:stretch>
                            <a:fillRect/>
                          </a:stretch>
                        </pic:blipFill>
                        <pic:spPr>
                          <a:xfrm>
                            <a:off x="0" y="0"/>
                            <a:ext cx="2462012" cy="1221078"/>
                          </a:xfrm>
                          <a:prstGeom prst="rect">
                            <a:avLst/>
                          </a:prstGeom>
                        </pic:spPr>
                      </pic:pic>
                    </a:graphicData>
                  </a:graphic>
                  <wp14:sizeRelH relativeFrom="margin">
                    <wp14:pctWidth>0</wp14:pctWidth>
                  </wp14:sizeRelH>
                  <wp14:sizeRelV relativeFrom="margin">
                    <wp14:pctHeight>0</wp14:pctHeight>
                  </wp14:sizeRelV>
                </wp:anchor>
              </w:drawing>
            </w:r>
          </w:p>
        </w:tc>
      </w:tr>
      <w:tr w:rsidR="00B75B6B" w:rsidRPr="00E81F9C" w:rsidTr="00186D1F">
        <w:tc>
          <w:tcPr>
            <w:tcW w:w="4390" w:type="dxa"/>
            <w:gridSpan w:val="2"/>
            <w:tcBorders>
              <w:bottom w:val="single" w:sz="4" w:space="0" w:color="auto"/>
            </w:tcBorders>
          </w:tcPr>
          <w:p w:rsidR="00B75B6B" w:rsidRPr="00E81F9C" w:rsidRDefault="00B75B6B" w:rsidP="00186D1F">
            <w:pPr>
              <w:spacing w:line="276"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Perceived Usefulness</w:t>
            </w:r>
          </w:p>
        </w:tc>
        <w:tc>
          <w:tcPr>
            <w:tcW w:w="4536" w:type="dxa"/>
            <w:gridSpan w:val="2"/>
            <w:tcBorders>
              <w:bottom w:val="single" w:sz="4" w:space="0" w:color="auto"/>
            </w:tcBorders>
          </w:tcPr>
          <w:p w:rsidR="00B75B6B" w:rsidRPr="00E81F9C" w:rsidRDefault="00B75B6B" w:rsidP="00186D1F">
            <w:pPr>
              <w:spacing w:line="276"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Cognitive Framing</w:t>
            </w:r>
          </w:p>
        </w:tc>
        <w:tc>
          <w:tcPr>
            <w:tcW w:w="4536" w:type="dxa"/>
            <w:gridSpan w:val="2"/>
            <w:tcBorders>
              <w:bottom w:val="single" w:sz="4" w:space="0" w:color="auto"/>
            </w:tcBorders>
          </w:tcPr>
          <w:p w:rsidR="00B75B6B" w:rsidRPr="00E81F9C" w:rsidRDefault="00B75B6B" w:rsidP="00186D1F">
            <w:pPr>
              <w:spacing w:line="276"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Task Characteristics</w:t>
            </w:r>
          </w:p>
        </w:tc>
      </w:tr>
      <w:tr w:rsidR="00B75B6B" w:rsidRPr="00E81F9C" w:rsidTr="00186D1F">
        <w:tc>
          <w:tcPr>
            <w:tcW w:w="13462" w:type="dxa"/>
            <w:gridSpan w:val="6"/>
            <w:tcBorders>
              <w:left w:val="nil"/>
              <w:right w:val="nil"/>
            </w:tcBorders>
          </w:tcPr>
          <w:p w:rsidR="00B75B6B" w:rsidRPr="00E81F9C" w:rsidRDefault="00B75B6B" w:rsidP="00186D1F">
            <w:pPr>
              <w:spacing w:before="120" w:line="360" w:lineRule="auto"/>
              <w:rPr>
                <w:rFonts w:ascii="Arial Narrow" w:hAnsi="Arial Narrow"/>
                <w:color w:val="000000" w:themeColor="text1"/>
                <w:sz w:val="20"/>
                <w:szCs w:val="20"/>
              </w:rPr>
            </w:pPr>
            <w:r w:rsidRPr="00E81F9C">
              <w:rPr>
                <w:rFonts w:ascii="Arial Narrow" w:hAnsi="Arial Narrow"/>
                <w:color w:val="000000" w:themeColor="text1"/>
                <w:sz w:val="20"/>
                <w:szCs w:val="20"/>
              </w:rPr>
              <w:t xml:space="preserve">2. Word Cloud Visualization of the Sub-Topic - ‘Signaling’ </w:t>
            </w:r>
          </w:p>
        </w:tc>
      </w:tr>
      <w:tr w:rsidR="00B75B6B" w:rsidRPr="00E81F9C" w:rsidTr="00186D1F">
        <w:trPr>
          <w:trHeight w:val="1895"/>
        </w:trPr>
        <w:tc>
          <w:tcPr>
            <w:tcW w:w="3114" w:type="dxa"/>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65408" behindDoc="0" locked="0" layoutInCell="1" allowOverlap="1" wp14:anchorId="3DF23DD0" wp14:editId="113A3A65">
                  <wp:simplePos x="0" y="0"/>
                  <wp:positionH relativeFrom="column">
                    <wp:posOffset>-13882</wp:posOffset>
                  </wp:positionH>
                  <wp:positionV relativeFrom="paragraph">
                    <wp:posOffset>85942</wp:posOffset>
                  </wp:positionV>
                  <wp:extent cx="1778188" cy="983848"/>
                  <wp:effectExtent l="0" t="0" r="0" b="0"/>
                  <wp:wrapNone/>
                  <wp:docPr id="7" name="Picture 8">
                    <a:extLst xmlns:a="http://schemas.openxmlformats.org/drawingml/2006/main">
                      <a:ext uri="{FF2B5EF4-FFF2-40B4-BE49-F238E27FC236}">
                        <a16:creationId xmlns:a16="http://schemas.microsoft.com/office/drawing/2014/main" id="{F5C127AE-EC0F-3C4D-BEAA-06903CDB3D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F5C127AE-EC0F-3C4D-BEAA-06903CDB3D23}"/>
                              </a:ext>
                            </a:extLst>
                          </pic:cNvPr>
                          <pic:cNvPicPr>
                            <a:picLocks noChangeAspect="1"/>
                          </pic:cNvPicPr>
                        </pic:nvPicPr>
                        <pic:blipFill rotWithShape="1">
                          <a:blip r:embed="rId8"/>
                          <a:srcRect t="4381"/>
                          <a:stretch/>
                        </pic:blipFill>
                        <pic:spPr>
                          <a:xfrm>
                            <a:off x="0" y="0"/>
                            <a:ext cx="1787149" cy="988806"/>
                          </a:xfrm>
                          <a:prstGeom prst="rect">
                            <a:avLst/>
                          </a:prstGeom>
                        </pic:spPr>
                      </pic:pic>
                    </a:graphicData>
                  </a:graphic>
                  <wp14:sizeRelH relativeFrom="margin">
                    <wp14:pctWidth>0</wp14:pctWidth>
                  </wp14:sizeRelH>
                  <wp14:sizeRelV relativeFrom="margin">
                    <wp14:pctHeight>0</wp14:pctHeight>
                  </wp14:sizeRelV>
                </wp:anchor>
              </w:drawing>
            </w:r>
          </w:p>
        </w:tc>
        <w:tc>
          <w:tcPr>
            <w:tcW w:w="3260" w:type="dxa"/>
            <w:gridSpan w:val="2"/>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62336" behindDoc="0" locked="0" layoutInCell="1" allowOverlap="1" wp14:anchorId="01DEE267" wp14:editId="5EA03540">
                  <wp:simplePos x="0" y="0"/>
                  <wp:positionH relativeFrom="column">
                    <wp:posOffset>-14429</wp:posOffset>
                  </wp:positionH>
                  <wp:positionV relativeFrom="paragraph">
                    <wp:posOffset>74367</wp:posOffset>
                  </wp:positionV>
                  <wp:extent cx="1989631" cy="995190"/>
                  <wp:effectExtent l="0" t="0" r="4445" b="0"/>
                  <wp:wrapNone/>
                  <wp:docPr id="12" name="Picture 11">
                    <a:extLst xmlns:a="http://schemas.openxmlformats.org/drawingml/2006/main">
                      <a:ext uri="{FF2B5EF4-FFF2-40B4-BE49-F238E27FC236}">
                        <a16:creationId xmlns:a16="http://schemas.microsoft.com/office/drawing/2014/main" id="{F5E7CE6D-A2F0-E144-999D-214666FB76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F5E7CE6D-A2F0-E144-999D-214666FB76FF}"/>
                              </a:ext>
                            </a:extLst>
                          </pic:cNvPr>
                          <pic:cNvPicPr>
                            <a:picLocks noChangeAspect="1"/>
                          </pic:cNvPicPr>
                        </pic:nvPicPr>
                        <pic:blipFill>
                          <a:blip r:embed="rId9"/>
                          <a:stretch>
                            <a:fillRect/>
                          </a:stretch>
                        </pic:blipFill>
                        <pic:spPr>
                          <a:xfrm>
                            <a:off x="0" y="0"/>
                            <a:ext cx="1997163" cy="998958"/>
                          </a:xfrm>
                          <a:prstGeom prst="rect">
                            <a:avLst/>
                          </a:prstGeom>
                        </pic:spPr>
                      </pic:pic>
                    </a:graphicData>
                  </a:graphic>
                  <wp14:sizeRelH relativeFrom="margin">
                    <wp14:pctWidth>0</wp14:pctWidth>
                  </wp14:sizeRelH>
                  <wp14:sizeRelV relativeFrom="margin">
                    <wp14:pctHeight>0</wp14:pctHeight>
                  </wp14:sizeRelV>
                </wp:anchor>
              </w:drawing>
            </w:r>
          </w:p>
        </w:tc>
        <w:tc>
          <w:tcPr>
            <w:tcW w:w="3402" w:type="dxa"/>
            <w:gridSpan w:val="2"/>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63360" behindDoc="0" locked="0" layoutInCell="1" allowOverlap="1" wp14:anchorId="4327BC0F" wp14:editId="666653D4">
                  <wp:simplePos x="0" y="0"/>
                  <wp:positionH relativeFrom="column">
                    <wp:posOffset>1341</wp:posOffset>
                  </wp:positionH>
                  <wp:positionV relativeFrom="paragraph">
                    <wp:posOffset>85941</wp:posOffset>
                  </wp:positionV>
                  <wp:extent cx="1983223" cy="983615"/>
                  <wp:effectExtent l="0" t="0" r="0" b="0"/>
                  <wp:wrapNone/>
                  <wp:docPr id="10" name="Picture 12">
                    <a:extLst xmlns:a="http://schemas.openxmlformats.org/drawingml/2006/main">
                      <a:ext uri="{FF2B5EF4-FFF2-40B4-BE49-F238E27FC236}">
                        <a16:creationId xmlns:a16="http://schemas.microsoft.com/office/drawing/2014/main" id="{48CCC85E-A77F-B442-8D39-6132481DA0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48CCC85E-A77F-B442-8D39-6132481DA0EF}"/>
                              </a:ext>
                            </a:extLst>
                          </pic:cNvPr>
                          <pic:cNvPicPr>
                            <a:picLocks noChangeAspect="1"/>
                          </pic:cNvPicPr>
                        </pic:nvPicPr>
                        <pic:blipFill>
                          <a:blip r:embed="rId10"/>
                          <a:stretch>
                            <a:fillRect/>
                          </a:stretch>
                        </pic:blipFill>
                        <pic:spPr>
                          <a:xfrm>
                            <a:off x="0" y="0"/>
                            <a:ext cx="1990372" cy="987161"/>
                          </a:xfrm>
                          <a:prstGeom prst="rect">
                            <a:avLst/>
                          </a:prstGeom>
                        </pic:spPr>
                      </pic:pic>
                    </a:graphicData>
                  </a:graphic>
                  <wp14:sizeRelH relativeFrom="margin">
                    <wp14:pctWidth>0</wp14:pctWidth>
                  </wp14:sizeRelH>
                  <wp14:sizeRelV relativeFrom="margin">
                    <wp14:pctHeight>0</wp14:pctHeight>
                  </wp14:sizeRelV>
                </wp:anchor>
              </w:drawing>
            </w:r>
          </w:p>
        </w:tc>
        <w:tc>
          <w:tcPr>
            <w:tcW w:w="3686" w:type="dxa"/>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64384" behindDoc="0" locked="0" layoutInCell="1" allowOverlap="1" wp14:anchorId="7EAAD7AF" wp14:editId="7B215573">
                  <wp:simplePos x="0" y="0"/>
                  <wp:positionH relativeFrom="column">
                    <wp:posOffset>-6036</wp:posOffset>
                  </wp:positionH>
                  <wp:positionV relativeFrom="paragraph">
                    <wp:posOffset>85942</wp:posOffset>
                  </wp:positionV>
                  <wp:extent cx="2150094" cy="1066378"/>
                  <wp:effectExtent l="0" t="0" r="0" b="635"/>
                  <wp:wrapNone/>
                  <wp:docPr id="11" name="Picture 13">
                    <a:extLst xmlns:a="http://schemas.openxmlformats.org/drawingml/2006/main">
                      <a:ext uri="{FF2B5EF4-FFF2-40B4-BE49-F238E27FC236}">
                        <a16:creationId xmlns:a16="http://schemas.microsoft.com/office/drawing/2014/main" id="{83380E92-014E-B247-96F9-4BB6215A77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83380E92-014E-B247-96F9-4BB6215A77B5}"/>
                              </a:ext>
                            </a:extLst>
                          </pic:cNvPr>
                          <pic:cNvPicPr>
                            <a:picLocks noChangeAspect="1"/>
                          </pic:cNvPicPr>
                        </pic:nvPicPr>
                        <pic:blipFill>
                          <a:blip r:embed="rId11"/>
                          <a:stretch>
                            <a:fillRect/>
                          </a:stretch>
                        </pic:blipFill>
                        <pic:spPr>
                          <a:xfrm>
                            <a:off x="0" y="0"/>
                            <a:ext cx="2152785" cy="1067713"/>
                          </a:xfrm>
                          <a:prstGeom prst="rect">
                            <a:avLst/>
                          </a:prstGeom>
                        </pic:spPr>
                      </pic:pic>
                    </a:graphicData>
                  </a:graphic>
                  <wp14:sizeRelH relativeFrom="margin">
                    <wp14:pctWidth>0</wp14:pctWidth>
                  </wp14:sizeRelH>
                  <wp14:sizeRelV relativeFrom="margin">
                    <wp14:pctHeight>0</wp14:pctHeight>
                  </wp14:sizeRelV>
                </wp:anchor>
              </w:drawing>
            </w:r>
          </w:p>
          <w:p w:rsidR="00B75B6B" w:rsidRPr="00E81F9C" w:rsidRDefault="00B75B6B" w:rsidP="00186D1F">
            <w:pPr>
              <w:spacing w:line="360" w:lineRule="auto"/>
              <w:rPr>
                <w:rFonts w:ascii="Arial Narrow" w:hAnsi="Arial Narrow"/>
                <w:color w:val="000000" w:themeColor="text1"/>
                <w:sz w:val="20"/>
                <w:szCs w:val="20"/>
              </w:rPr>
            </w:pPr>
          </w:p>
          <w:p w:rsidR="00B75B6B" w:rsidRPr="00E81F9C" w:rsidRDefault="00B75B6B" w:rsidP="00186D1F">
            <w:pPr>
              <w:spacing w:line="360" w:lineRule="auto"/>
              <w:rPr>
                <w:rFonts w:ascii="Arial Narrow" w:hAnsi="Arial Narrow"/>
                <w:color w:val="000000" w:themeColor="text1"/>
                <w:sz w:val="20"/>
                <w:szCs w:val="20"/>
              </w:rPr>
            </w:pPr>
          </w:p>
          <w:p w:rsidR="00B75B6B" w:rsidRPr="00E81F9C" w:rsidRDefault="00B75B6B" w:rsidP="00186D1F">
            <w:pPr>
              <w:spacing w:line="360" w:lineRule="auto"/>
              <w:rPr>
                <w:rFonts w:ascii="Arial Narrow" w:hAnsi="Arial Narrow"/>
                <w:color w:val="000000" w:themeColor="text1"/>
                <w:sz w:val="20"/>
                <w:szCs w:val="20"/>
              </w:rPr>
            </w:pPr>
          </w:p>
          <w:p w:rsidR="00B75B6B" w:rsidRPr="00E81F9C" w:rsidRDefault="00B75B6B" w:rsidP="00186D1F">
            <w:pPr>
              <w:spacing w:line="360" w:lineRule="auto"/>
              <w:rPr>
                <w:rFonts w:ascii="Arial Narrow" w:hAnsi="Arial Narrow"/>
                <w:color w:val="000000" w:themeColor="text1"/>
                <w:sz w:val="20"/>
                <w:szCs w:val="20"/>
              </w:rPr>
            </w:pPr>
          </w:p>
        </w:tc>
      </w:tr>
      <w:tr w:rsidR="00B75B6B" w:rsidRPr="00E81F9C" w:rsidTr="00186D1F">
        <w:tc>
          <w:tcPr>
            <w:tcW w:w="3114" w:type="dxa"/>
            <w:tcBorders>
              <w:bottom w:val="single" w:sz="4" w:space="0" w:color="auto"/>
            </w:tcBorders>
          </w:tcPr>
          <w:p w:rsidR="00B75B6B" w:rsidRPr="00E81F9C" w:rsidRDefault="00B75B6B" w:rsidP="00186D1F">
            <w:pPr>
              <w:spacing w:line="276"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Trust and Credibility</w:t>
            </w:r>
          </w:p>
        </w:tc>
        <w:tc>
          <w:tcPr>
            <w:tcW w:w="3260" w:type="dxa"/>
            <w:gridSpan w:val="2"/>
            <w:tcBorders>
              <w:bottom w:val="single" w:sz="4" w:space="0" w:color="auto"/>
            </w:tcBorders>
          </w:tcPr>
          <w:p w:rsidR="00B75B6B" w:rsidRPr="00E81F9C" w:rsidRDefault="00B75B6B" w:rsidP="00186D1F">
            <w:pPr>
              <w:spacing w:line="276"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Technological Affordance</w:t>
            </w:r>
          </w:p>
        </w:tc>
        <w:tc>
          <w:tcPr>
            <w:tcW w:w="3402" w:type="dxa"/>
            <w:gridSpan w:val="2"/>
            <w:tcBorders>
              <w:bottom w:val="single" w:sz="4" w:space="0" w:color="auto"/>
            </w:tcBorders>
          </w:tcPr>
          <w:p w:rsidR="00B75B6B" w:rsidRPr="00E81F9C" w:rsidRDefault="00B75B6B" w:rsidP="00186D1F">
            <w:pPr>
              <w:spacing w:line="276"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Peer Signaling</w:t>
            </w:r>
          </w:p>
        </w:tc>
        <w:tc>
          <w:tcPr>
            <w:tcW w:w="3686" w:type="dxa"/>
            <w:tcBorders>
              <w:bottom w:val="single" w:sz="4" w:space="0" w:color="auto"/>
            </w:tcBorders>
          </w:tcPr>
          <w:p w:rsidR="00B75B6B" w:rsidRPr="00E81F9C" w:rsidRDefault="00B75B6B" w:rsidP="00186D1F">
            <w:pPr>
              <w:spacing w:line="276"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Value-Based Motivation</w:t>
            </w:r>
          </w:p>
        </w:tc>
      </w:tr>
      <w:tr w:rsidR="00B75B6B" w:rsidRPr="00E81F9C" w:rsidTr="00186D1F">
        <w:tc>
          <w:tcPr>
            <w:tcW w:w="13462" w:type="dxa"/>
            <w:gridSpan w:val="6"/>
            <w:tcBorders>
              <w:left w:val="nil"/>
              <w:right w:val="nil"/>
            </w:tcBorders>
          </w:tcPr>
          <w:p w:rsidR="00B75B6B" w:rsidRPr="00E81F9C" w:rsidRDefault="00B75B6B" w:rsidP="00186D1F">
            <w:pPr>
              <w:spacing w:before="120" w:line="360" w:lineRule="auto"/>
              <w:rPr>
                <w:rFonts w:ascii="Arial Narrow" w:hAnsi="Arial Narrow"/>
                <w:color w:val="000000" w:themeColor="text1"/>
                <w:sz w:val="20"/>
                <w:szCs w:val="20"/>
              </w:rPr>
            </w:pPr>
            <w:r w:rsidRPr="00E81F9C">
              <w:rPr>
                <w:rFonts w:ascii="Arial Narrow" w:hAnsi="Arial Narrow"/>
                <w:color w:val="000000" w:themeColor="text1"/>
                <w:sz w:val="20"/>
                <w:szCs w:val="20"/>
              </w:rPr>
              <w:t>3. Word Cloud Visualization of the Sub-Topic - ‘Revisioning’</w:t>
            </w:r>
          </w:p>
        </w:tc>
      </w:tr>
      <w:tr w:rsidR="00B75B6B" w:rsidRPr="00E81F9C" w:rsidTr="00186D1F">
        <w:trPr>
          <w:trHeight w:val="1813"/>
        </w:trPr>
        <w:tc>
          <w:tcPr>
            <w:tcW w:w="3114" w:type="dxa"/>
            <w:tcBorders>
              <w:bottom w:val="single" w:sz="4" w:space="0" w:color="auto"/>
            </w:tcBorders>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66432" behindDoc="0" locked="0" layoutInCell="1" allowOverlap="1" wp14:anchorId="48D806CD" wp14:editId="2289C137">
                  <wp:simplePos x="0" y="0"/>
                  <wp:positionH relativeFrom="column">
                    <wp:posOffset>-13335</wp:posOffset>
                  </wp:positionH>
                  <wp:positionV relativeFrom="paragraph">
                    <wp:posOffset>116332</wp:posOffset>
                  </wp:positionV>
                  <wp:extent cx="1843261" cy="914400"/>
                  <wp:effectExtent l="0" t="0" r="0" b="0"/>
                  <wp:wrapNone/>
                  <wp:docPr id="16" name="Picture 7">
                    <a:extLst xmlns:a="http://schemas.openxmlformats.org/drawingml/2006/main">
                      <a:ext uri="{FF2B5EF4-FFF2-40B4-BE49-F238E27FC236}">
                        <a16:creationId xmlns:a16="http://schemas.microsoft.com/office/drawing/2014/main" id="{6F5BEF26-E085-A048-B38E-FACD6E73F5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6F5BEF26-E085-A048-B38E-FACD6E73F547}"/>
                              </a:ext>
                            </a:extLst>
                          </pic:cNvPr>
                          <pic:cNvPicPr>
                            <a:picLocks noChangeAspect="1"/>
                          </pic:cNvPicPr>
                        </pic:nvPicPr>
                        <pic:blipFill>
                          <a:blip r:embed="rId12"/>
                          <a:stretch>
                            <a:fillRect/>
                          </a:stretch>
                        </pic:blipFill>
                        <pic:spPr>
                          <a:xfrm>
                            <a:off x="0" y="0"/>
                            <a:ext cx="1843261" cy="914400"/>
                          </a:xfrm>
                          <a:prstGeom prst="rect">
                            <a:avLst/>
                          </a:prstGeom>
                        </pic:spPr>
                      </pic:pic>
                    </a:graphicData>
                  </a:graphic>
                  <wp14:sizeRelH relativeFrom="margin">
                    <wp14:pctWidth>0</wp14:pctWidth>
                  </wp14:sizeRelH>
                  <wp14:sizeRelV relativeFrom="margin">
                    <wp14:pctHeight>0</wp14:pctHeight>
                  </wp14:sizeRelV>
                </wp:anchor>
              </w:drawing>
            </w:r>
          </w:p>
          <w:p w:rsidR="00B75B6B" w:rsidRPr="00E81F9C" w:rsidRDefault="00B75B6B" w:rsidP="00186D1F">
            <w:pPr>
              <w:spacing w:line="360" w:lineRule="auto"/>
              <w:rPr>
                <w:rFonts w:ascii="Arial Narrow" w:hAnsi="Arial Narrow"/>
                <w:color w:val="000000" w:themeColor="text1"/>
                <w:sz w:val="20"/>
                <w:szCs w:val="20"/>
              </w:rPr>
            </w:pPr>
          </w:p>
          <w:p w:rsidR="00B75B6B" w:rsidRPr="00E81F9C" w:rsidRDefault="00B75B6B" w:rsidP="00186D1F">
            <w:pPr>
              <w:spacing w:line="360" w:lineRule="auto"/>
              <w:rPr>
                <w:rFonts w:ascii="Arial Narrow" w:hAnsi="Arial Narrow"/>
                <w:color w:val="000000" w:themeColor="text1"/>
                <w:sz w:val="20"/>
                <w:szCs w:val="20"/>
              </w:rPr>
            </w:pPr>
          </w:p>
          <w:p w:rsidR="00B75B6B" w:rsidRPr="00E81F9C" w:rsidRDefault="00B75B6B" w:rsidP="00186D1F">
            <w:pPr>
              <w:spacing w:line="360" w:lineRule="auto"/>
              <w:rPr>
                <w:rFonts w:ascii="Arial Narrow" w:hAnsi="Arial Narrow"/>
                <w:color w:val="000000" w:themeColor="text1"/>
                <w:sz w:val="20"/>
                <w:szCs w:val="20"/>
              </w:rPr>
            </w:pPr>
          </w:p>
          <w:p w:rsidR="00B75B6B" w:rsidRPr="00E81F9C" w:rsidRDefault="00B75B6B" w:rsidP="00186D1F">
            <w:pPr>
              <w:spacing w:line="360" w:lineRule="auto"/>
              <w:rPr>
                <w:rFonts w:ascii="Arial Narrow" w:hAnsi="Arial Narrow"/>
                <w:color w:val="000000" w:themeColor="text1"/>
                <w:sz w:val="20"/>
                <w:szCs w:val="20"/>
              </w:rPr>
            </w:pPr>
          </w:p>
        </w:tc>
        <w:tc>
          <w:tcPr>
            <w:tcW w:w="3260" w:type="dxa"/>
            <w:gridSpan w:val="2"/>
            <w:tcBorders>
              <w:bottom w:val="single" w:sz="4" w:space="0" w:color="auto"/>
            </w:tcBorders>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67456" behindDoc="0" locked="0" layoutInCell="1" allowOverlap="1" wp14:anchorId="19C60D2F" wp14:editId="5DF4925F">
                  <wp:simplePos x="0" y="0"/>
                  <wp:positionH relativeFrom="column">
                    <wp:posOffset>-23495</wp:posOffset>
                  </wp:positionH>
                  <wp:positionV relativeFrom="paragraph">
                    <wp:posOffset>77597</wp:posOffset>
                  </wp:positionV>
                  <wp:extent cx="1983693" cy="983848"/>
                  <wp:effectExtent l="0" t="0" r="0" b="0"/>
                  <wp:wrapNone/>
                  <wp:docPr id="17" name="Picture 8">
                    <a:extLst xmlns:a="http://schemas.openxmlformats.org/drawingml/2006/main">
                      <a:ext uri="{FF2B5EF4-FFF2-40B4-BE49-F238E27FC236}">
                        <a16:creationId xmlns:a16="http://schemas.microsoft.com/office/drawing/2014/main" id="{44D0DA3C-C8D3-3347-9C9E-9EBCE17F17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44D0DA3C-C8D3-3347-9C9E-9EBCE17F178A}"/>
                              </a:ext>
                            </a:extLst>
                          </pic:cNvPr>
                          <pic:cNvPicPr>
                            <a:picLocks noChangeAspect="1"/>
                          </pic:cNvPicPr>
                        </pic:nvPicPr>
                        <pic:blipFill>
                          <a:blip r:embed="rId13"/>
                          <a:stretch>
                            <a:fillRect/>
                          </a:stretch>
                        </pic:blipFill>
                        <pic:spPr>
                          <a:xfrm>
                            <a:off x="0" y="0"/>
                            <a:ext cx="1983693" cy="983848"/>
                          </a:xfrm>
                          <a:prstGeom prst="rect">
                            <a:avLst/>
                          </a:prstGeom>
                        </pic:spPr>
                      </pic:pic>
                    </a:graphicData>
                  </a:graphic>
                  <wp14:sizeRelH relativeFrom="margin">
                    <wp14:pctWidth>0</wp14:pctWidth>
                  </wp14:sizeRelH>
                  <wp14:sizeRelV relativeFrom="margin">
                    <wp14:pctHeight>0</wp14:pctHeight>
                  </wp14:sizeRelV>
                </wp:anchor>
              </w:drawing>
            </w:r>
          </w:p>
          <w:p w:rsidR="00B75B6B" w:rsidRPr="00E81F9C" w:rsidRDefault="00B75B6B" w:rsidP="00186D1F">
            <w:pPr>
              <w:spacing w:line="360" w:lineRule="auto"/>
              <w:rPr>
                <w:rFonts w:ascii="Arial Narrow" w:hAnsi="Arial Narrow"/>
                <w:color w:val="000000" w:themeColor="text1"/>
                <w:sz w:val="20"/>
                <w:szCs w:val="20"/>
              </w:rPr>
            </w:pPr>
          </w:p>
          <w:p w:rsidR="00B75B6B" w:rsidRPr="00E81F9C" w:rsidRDefault="00B75B6B" w:rsidP="00186D1F">
            <w:pPr>
              <w:spacing w:line="360" w:lineRule="auto"/>
              <w:rPr>
                <w:rFonts w:ascii="Arial Narrow" w:hAnsi="Arial Narrow"/>
                <w:color w:val="000000" w:themeColor="text1"/>
                <w:sz w:val="20"/>
                <w:szCs w:val="20"/>
              </w:rPr>
            </w:pPr>
          </w:p>
        </w:tc>
        <w:tc>
          <w:tcPr>
            <w:tcW w:w="3402" w:type="dxa"/>
            <w:gridSpan w:val="2"/>
            <w:tcBorders>
              <w:bottom w:val="single" w:sz="4" w:space="0" w:color="auto"/>
            </w:tcBorders>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68480" behindDoc="0" locked="0" layoutInCell="1" allowOverlap="1" wp14:anchorId="0AA03F99" wp14:editId="40B49870">
                  <wp:simplePos x="0" y="0"/>
                  <wp:positionH relativeFrom="column">
                    <wp:posOffset>-10160</wp:posOffset>
                  </wp:positionH>
                  <wp:positionV relativeFrom="paragraph">
                    <wp:posOffset>59817</wp:posOffset>
                  </wp:positionV>
                  <wp:extent cx="2007032" cy="995423"/>
                  <wp:effectExtent l="0" t="0" r="0" b="0"/>
                  <wp:wrapNone/>
                  <wp:docPr id="18" name="Picture 9">
                    <a:extLst xmlns:a="http://schemas.openxmlformats.org/drawingml/2006/main">
                      <a:ext uri="{FF2B5EF4-FFF2-40B4-BE49-F238E27FC236}">
                        <a16:creationId xmlns:a16="http://schemas.microsoft.com/office/drawing/2014/main" id="{709BEF72-4C5D-7E49-BF98-F903C2F8FC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09BEF72-4C5D-7E49-BF98-F903C2F8FC9A}"/>
                              </a:ext>
                            </a:extLst>
                          </pic:cNvPr>
                          <pic:cNvPicPr>
                            <a:picLocks noChangeAspect="1"/>
                          </pic:cNvPicPr>
                        </pic:nvPicPr>
                        <pic:blipFill>
                          <a:blip r:embed="rId14"/>
                          <a:stretch>
                            <a:fillRect/>
                          </a:stretch>
                        </pic:blipFill>
                        <pic:spPr>
                          <a:xfrm>
                            <a:off x="0" y="0"/>
                            <a:ext cx="2007032" cy="995423"/>
                          </a:xfrm>
                          <a:prstGeom prst="rect">
                            <a:avLst/>
                          </a:prstGeom>
                        </pic:spPr>
                      </pic:pic>
                    </a:graphicData>
                  </a:graphic>
                  <wp14:sizeRelH relativeFrom="margin">
                    <wp14:pctWidth>0</wp14:pctWidth>
                  </wp14:sizeRelH>
                  <wp14:sizeRelV relativeFrom="margin">
                    <wp14:pctHeight>0</wp14:pctHeight>
                  </wp14:sizeRelV>
                </wp:anchor>
              </w:drawing>
            </w:r>
          </w:p>
        </w:tc>
        <w:tc>
          <w:tcPr>
            <w:tcW w:w="3686" w:type="dxa"/>
            <w:tcBorders>
              <w:bottom w:val="single" w:sz="4" w:space="0" w:color="auto"/>
            </w:tcBorders>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69504" behindDoc="0" locked="0" layoutInCell="1" allowOverlap="1" wp14:anchorId="6B48E1F1" wp14:editId="6610D1E9">
                  <wp:simplePos x="0" y="0"/>
                  <wp:positionH relativeFrom="column">
                    <wp:posOffset>87630</wp:posOffset>
                  </wp:positionH>
                  <wp:positionV relativeFrom="paragraph">
                    <wp:posOffset>64897</wp:posOffset>
                  </wp:positionV>
                  <wp:extent cx="2104390" cy="1043305"/>
                  <wp:effectExtent l="0" t="0" r="3810" b="0"/>
                  <wp:wrapNone/>
                  <wp:docPr id="19" name="Picture 10">
                    <a:extLst xmlns:a="http://schemas.openxmlformats.org/drawingml/2006/main">
                      <a:ext uri="{FF2B5EF4-FFF2-40B4-BE49-F238E27FC236}">
                        <a16:creationId xmlns:a16="http://schemas.microsoft.com/office/drawing/2014/main" id="{CEB21CFA-536D-4744-A3C2-53211F1B77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EB21CFA-536D-4744-A3C2-53211F1B77EA}"/>
                              </a:ext>
                            </a:extLst>
                          </pic:cNvPr>
                          <pic:cNvPicPr>
                            <a:picLocks noChangeAspect="1"/>
                          </pic:cNvPicPr>
                        </pic:nvPicPr>
                        <pic:blipFill>
                          <a:blip r:embed="rId15"/>
                          <a:stretch>
                            <a:fillRect/>
                          </a:stretch>
                        </pic:blipFill>
                        <pic:spPr>
                          <a:xfrm>
                            <a:off x="0" y="0"/>
                            <a:ext cx="2104390" cy="1043305"/>
                          </a:xfrm>
                          <a:prstGeom prst="rect">
                            <a:avLst/>
                          </a:prstGeom>
                        </pic:spPr>
                      </pic:pic>
                    </a:graphicData>
                  </a:graphic>
                  <wp14:sizeRelH relativeFrom="margin">
                    <wp14:pctWidth>0</wp14:pctWidth>
                  </wp14:sizeRelH>
                  <wp14:sizeRelV relativeFrom="margin">
                    <wp14:pctHeight>0</wp14:pctHeight>
                  </wp14:sizeRelV>
                </wp:anchor>
              </w:drawing>
            </w:r>
          </w:p>
        </w:tc>
      </w:tr>
      <w:tr w:rsidR="00B75B6B" w:rsidRPr="00E81F9C" w:rsidTr="00186D1F">
        <w:tc>
          <w:tcPr>
            <w:tcW w:w="3114" w:type="dxa"/>
            <w:tcBorders>
              <w:bottom w:val="single" w:sz="4" w:space="0" w:color="auto"/>
            </w:tcBorders>
          </w:tcPr>
          <w:p w:rsidR="00B75B6B" w:rsidRPr="00E81F9C" w:rsidRDefault="00B75B6B" w:rsidP="00186D1F">
            <w:pPr>
              <w:spacing w:line="276"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Adaptive Structuration</w:t>
            </w:r>
          </w:p>
        </w:tc>
        <w:tc>
          <w:tcPr>
            <w:tcW w:w="3260" w:type="dxa"/>
            <w:gridSpan w:val="2"/>
            <w:tcBorders>
              <w:bottom w:val="single" w:sz="4" w:space="0" w:color="auto"/>
            </w:tcBorders>
          </w:tcPr>
          <w:p w:rsidR="00B75B6B" w:rsidRPr="00E81F9C" w:rsidRDefault="00B75B6B" w:rsidP="00186D1F">
            <w:pPr>
              <w:spacing w:line="276"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AI Mindfulness</w:t>
            </w:r>
          </w:p>
        </w:tc>
        <w:tc>
          <w:tcPr>
            <w:tcW w:w="3402" w:type="dxa"/>
            <w:gridSpan w:val="2"/>
            <w:tcBorders>
              <w:bottom w:val="single" w:sz="4" w:space="0" w:color="auto"/>
            </w:tcBorders>
          </w:tcPr>
          <w:p w:rsidR="00B75B6B" w:rsidRPr="00E81F9C" w:rsidRDefault="00B75B6B" w:rsidP="00186D1F">
            <w:pPr>
              <w:spacing w:line="276"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Task-Technology Fit</w:t>
            </w:r>
          </w:p>
        </w:tc>
        <w:tc>
          <w:tcPr>
            <w:tcW w:w="3686" w:type="dxa"/>
            <w:tcBorders>
              <w:bottom w:val="single" w:sz="4" w:space="0" w:color="auto"/>
            </w:tcBorders>
          </w:tcPr>
          <w:p w:rsidR="00B75B6B" w:rsidRPr="00E81F9C" w:rsidRDefault="00B75B6B" w:rsidP="00186D1F">
            <w:pPr>
              <w:spacing w:line="276"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Problem-Solution Reframing</w:t>
            </w:r>
          </w:p>
        </w:tc>
      </w:tr>
    </w:tbl>
    <w:p w:rsidR="00B75B6B" w:rsidRPr="00E81F9C" w:rsidRDefault="00B75B6B" w:rsidP="00B75B6B">
      <w:pPr>
        <w:spacing w:before="120" w:line="360" w:lineRule="auto"/>
        <w:rPr>
          <w:rFonts w:ascii="Arial Narrow" w:hAnsi="Arial Narrow"/>
          <w:b/>
          <w:color w:val="000000" w:themeColor="text1"/>
          <w:sz w:val="22"/>
          <w:szCs w:val="22"/>
        </w:rPr>
      </w:pPr>
    </w:p>
    <w:tbl>
      <w:tblPr>
        <w:tblStyle w:val="TableGrid"/>
        <w:tblW w:w="0" w:type="auto"/>
        <w:tblLook w:val="04A0" w:firstRow="1" w:lastRow="0" w:firstColumn="1" w:lastColumn="0" w:noHBand="0" w:noVBand="1"/>
      </w:tblPr>
      <w:tblGrid>
        <w:gridCol w:w="3114"/>
        <w:gridCol w:w="3260"/>
        <w:gridCol w:w="3402"/>
        <w:gridCol w:w="3686"/>
      </w:tblGrid>
      <w:tr w:rsidR="00B75B6B" w:rsidRPr="00E81F9C" w:rsidTr="00186D1F">
        <w:tc>
          <w:tcPr>
            <w:tcW w:w="13462" w:type="dxa"/>
            <w:gridSpan w:val="4"/>
            <w:tcBorders>
              <w:top w:val="nil"/>
              <w:left w:val="nil"/>
              <w:right w:val="nil"/>
            </w:tcBorders>
          </w:tcPr>
          <w:p w:rsidR="00B75B6B" w:rsidRPr="00E81F9C" w:rsidRDefault="00B75B6B" w:rsidP="00186D1F">
            <w:pPr>
              <w:spacing w:before="120" w:line="360" w:lineRule="auto"/>
              <w:rPr>
                <w:rFonts w:ascii="Arial Narrow" w:hAnsi="Arial Narrow"/>
                <w:color w:val="000000" w:themeColor="text1"/>
                <w:sz w:val="20"/>
                <w:szCs w:val="20"/>
              </w:rPr>
            </w:pPr>
            <w:r w:rsidRPr="00E81F9C">
              <w:rPr>
                <w:rFonts w:ascii="Arial Narrow" w:hAnsi="Arial Narrow"/>
                <w:color w:val="000000" w:themeColor="text1"/>
                <w:sz w:val="20"/>
                <w:szCs w:val="20"/>
              </w:rPr>
              <w:lastRenderedPageBreak/>
              <w:t xml:space="preserve">4. Word Cloud Visualization of the Sub-Topic  - ‘Energizing’ </w:t>
            </w:r>
          </w:p>
        </w:tc>
      </w:tr>
      <w:tr w:rsidR="00B75B6B" w:rsidRPr="00E81F9C" w:rsidTr="00186D1F">
        <w:tc>
          <w:tcPr>
            <w:tcW w:w="3114" w:type="dxa"/>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70528" behindDoc="0" locked="0" layoutInCell="1" allowOverlap="1" wp14:anchorId="2E51BF1F" wp14:editId="111DDC2F">
                  <wp:simplePos x="0" y="0"/>
                  <wp:positionH relativeFrom="column">
                    <wp:posOffset>-13883</wp:posOffset>
                  </wp:positionH>
                  <wp:positionV relativeFrom="paragraph">
                    <wp:posOffset>127675</wp:posOffset>
                  </wp:positionV>
                  <wp:extent cx="1875099" cy="929145"/>
                  <wp:effectExtent l="0" t="0" r="5080" b="0"/>
                  <wp:wrapNone/>
                  <wp:docPr id="25" name="Picture 9">
                    <a:extLst xmlns:a="http://schemas.openxmlformats.org/drawingml/2006/main">
                      <a:ext uri="{FF2B5EF4-FFF2-40B4-BE49-F238E27FC236}">
                        <a16:creationId xmlns:a16="http://schemas.microsoft.com/office/drawing/2014/main" id="{AFB92041-3DB1-C847-991C-24E92EF0D2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AFB92041-3DB1-C847-991C-24E92EF0D210}"/>
                              </a:ext>
                            </a:extLst>
                          </pic:cNvPr>
                          <pic:cNvPicPr>
                            <a:picLocks noChangeAspect="1"/>
                          </pic:cNvPicPr>
                        </pic:nvPicPr>
                        <pic:blipFill>
                          <a:blip r:embed="rId16"/>
                          <a:stretch>
                            <a:fillRect/>
                          </a:stretch>
                        </pic:blipFill>
                        <pic:spPr>
                          <a:xfrm>
                            <a:off x="0" y="0"/>
                            <a:ext cx="1889177" cy="936121"/>
                          </a:xfrm>
                          <a:prstGeom prst="rect">
                            <a:avLst/>
                          </a:prstGeom>
                        </pic:spPr>
                      </pic:pic>
                    </a:graphicData>
                  </a:graphic>
                  <wp14:sizeRelH relativeFrom="margin">
                    <wp14:pctWidth>0</wp14:pctWidth>
                  </wp14:sizeRelH>
                  <wp14:sizeRelV relativeFrom="margin">
                    <wp14:pctHeight>0</wp14:pctHeight>
                  </wp14:sizeRelV>
                </wp:anchor>
              </w:drawing>
            </w:r>
          </w:p>
          <w:p w:rsidR="00B75B6B" w:rsidRPr="00E81F9C" w:rsidRDefault="00B75B6B" w:rsidP="00186D1F">
            <w:pPr>
              <w:spacing w:line="360" w:lineRule="auto"/>
              <w:rPr>
                <w:rFonts w:ascii="Arial Narrow" w:hAnsi="Arial Narrow"/>
                <w:color w:val="000000" w:themeColor="text1"/>
                <w:sz w:val="20"/>
                <w:szCs w:val="20"/>
              </w:rPr>
            </w:pPr>
          </w:p>
          <w:p w:rsidR="00B75B6B" w:rsidRPr="00E81F9C" w:rsidRDefault="00B75B6B" w:rsidP="00186D1F">
            <w:pPr>
              <w:spacing w:line="360" w:lineRule="auto"/>
              <w:rPr>
                <w:rFonts w:ascii="Arial Narrow" w:hAnsi="Arial Narrow"/>
                <w:color w:val="000000" w:themeColor="text1"/>
                <w:sz w:val="20"/>
                <w:szCs w:val="20"/>
              </w:rPr>
            </w:pPr>
          </w:p>
          <w:p w:rsidR="00B75B6B" w:rsidRPr="00E81F9C" w:rsidRDefault="00B75B6B" w:rsidP="00186D1F">
            <w:pPr>
              <w:spacing w:line="360" w:lineRule="auto"/>
              <w:rPr>
                <w:rFonts w:ascii="Arial Narrow" w:hAnsi="Arial Narrow"/>
                <w:color w:val="000000" w:themeColor="text1"/>
                <w:sz w:val="20"/>
                <w:szCs w:val="20"/>
              </w:rPr>
            </w:pPr>
          </w:p>
        </w:tc>
        <w:tc>
          <w:tcPr>
            <w:tcW w:w="3260" w:type="dxa"/>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71552" behindDoc="0" locked="0" layoutInCell="1" allowOverlap="1" wp14:anchorId="4194BB56" wp14:editId="01E397EE">
                  <wp:simplePos x="0" y="0"/>
                  <wp:positionH relativeFrom="column">
                    <wp:posOffset>-58300</wp:posOffset>
                  </wp:positionH>
                  <wp:positionV relativeFrom="paragraph">
                    <wp:posOffset>69802</wp:posOffset>
                  </wp:positionV>
                  <wp:extent cx="1990845" cy="987395"/>
                  <wp:effectExtent l="0" t="0" r="3175" b="3810"/>
                  <wp:wrapNone/>
                  <wp:docPr id="26" name="Picture 10">
                    <a:extLst xmlns:a="http://schemas.openxmlformats.org/drawingml/2006/main">
                      <a:ext uri="{FF2B5EF4-FFF2-40B4-BE49-F238E27FC236}">
                        <a16:creationId xmlns:a16="http://schemas.microsoft.com/office/drawing/2014/main" id="{0E91932B-8E2F-1D44-9F17-57E4644FC0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E91932B-8E2F-1D44-9F17-57E4644FC0F0}"/>
                              </a:ext>
                            </a:extLst>
                          </pic:cNvPr>
                          <pic:cNvPicPr>
                            <a:picLocks noChangeAspect="1"/>
                          </pic:cNvPicPr>
                        </pic:nvPicPr>
                        <pic:blipFill>
                          <a:blip r:embed="rId17"/>
                          <a:stretch>
                            <a:fillRect/>
                          </a:stretch>
                        </pic:blipFill>
                        <pic:spPr>
                          <a:xfrm>
                            <a:off x="0" y="0"/>
                            <a:ext cx="2005292" cy="994560"/>
                          </a:xfrm>
                          <a:prstGeom prst="rect">
                            <a:avLst/>
                          </a:prstGeom>
                        </pic:spPr>
                      </pic:pic>
                    </a:graphicData>
                  </a:graphic>
                  <wp14:sizeRelH relativeFrom="margin">
                    <wp14:pctWidth>0</wp14:pctWidth>
                  </wp14:sizeRelH>
                  <wp14:sizeRelV relativeFrom="margin">
                    <wp14:pctHeight>0</wp14:pctHeight>
                  </wp14:sizeRelV>
                </wp:anchor>
              </w:drawing>
            </w:r>
          </w:p>
        </w:tc>
        <w:tc>
          <w:tcPr>
            <w:tcW w:w="3402" w:type="dxa"/>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72576" behindDoc="0" locked="0" layoutInCell="1" allowOverlap="1" wp14:anchorId="13483618" wp14:editId="544FE5C6">
                  <wp:simplePos x="0" y="0"/>
                  <wp:positionH relativeFrom="column">
                    <wp:posOffset>47640</wp:posOffset>
                  </wp:positionH>
                  <wp:positionV relativeFrom="paragraph">
                    <wp:posOffset>139250</wp:posOffset>
                  </wp:positionV>
                  <wp:extent cx="1849859" cy="917430"/>
                  <wp:effectExtent l="0" t="0" r="4445" b="0"/>
                  <wp:wrapNone/>
                  <wp:docPr id="27" name="Picture 11">
                    <a:extLst xmlns:a="http://schemas.openxmlformats.org/drawingml/2006/main">
                      <a:ext uri="{FF2B5EF4-FFF2-40B4-BE49-F238E27FC236}">
                        <a16:creationId xmlns:a16="http://schemas.microsoft.com/office/drawing/2014/main" id="{F607801D-23F2-AF4D-B1D3-15F554766D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F607801D-23F2-AF4D-B1D3-15F554766D31}"/>
                              </a:ext>
                            </a:extLst>
                          </pic:cNvPr>
                          <pic:cNvPicPr>
                            <a:picLocks noChangeAspect="1"/>
                          </pic:cNvPicPr>
                        </pic:nvPicPr>
                        <pic:blipFill rotWithShape="1">
                          <a:blip r:embed="rId18"/>
                          <a:srcRect/>
                          <a:stretch/>
                        </pic:blipFill>
                        <pic:spPr>
                          <a:xfrm>
                            <a:off x="0" y="0"/>
                            <a:ext cx="1859940" cy="922430"/>
                          </a:xfrm>
                          <a:prstGeom prst="rect">
                            <a:avLst/>
                          </a:prstGeom>
                        </pic:spPr>
                      </pic:pic>
                    </a:graphicData>
                  </a:graphic>
                  <wp14:sizeRelH relativeFrom="margin">
                    <wp14:pctWidth>0</wp14:pctWidth>
                  </wp14:sizeRelH>
                  <wp14:sizeRelV relativeFrom="margin">
                    <wp14:pctHeight>0</wp14:pctHeight>
                  </wp14:sizeRelV>
                </wp:anchor>
              </w:drawing>
            </w:r>
          </w:p>
          <w:p w:rsidR="00B75B6B" w:rsidRPr="00E81F9C" w:rsidRDefault="00B75B6B" w:rsidP="00186D1F">
            <w:pPr>
              <w:spacing w:line="360" w:lineRule="auto"/>
              <w:rPr>
                <w:rFonts w:ascii="Arial Narrow" w:hAnsi="Arial Narrow"/>
                <w:color w:val="000000" w:themeColor="text1"/>
                <w:sz w:val="20"/>
                <w:szCs w:val="20"/>
              </w:rPr>
            </w:pPr>
          </w:p>
          <w:p w:rsidR="00B75B6B" w:rsidRPr="00E81F9C" w:rsidRDefault="00B75B6B" w:rsidP="00186D1F">
            <w:pPr>
              <w:spacing w:line="360" w:lineRule="auto"/>
              <w:rPr>
                <w:rFonts w:ascii="Arial Narrow" w:hAnsi="Arial Narrow"/>
                <w:color w:val="000000" w:themeColor="text1"/>
                <w:sz w:val="20"/>
                <w:szCs w:val="20"/>
              </w:rPr>
            </w:pPr>
          </w:p>
          <w:p w:rsidR="00B75B6B" w:rsidRPr="00E81F9C" w:rsidRDefault="00B75B6B" w:rsidP="00186D1F">
            <w:pPr>
              <w:spacing w:line="360" w:lineRule="auto"/>
              <w:rPr>
                <w:rFonts w:ascii="Arial Narrow" w:hAnsi="Arial Narrow"/>
                <w:color w:val="000000" w:themeColor="text1"/>
                <w:sz w:val="20"/>
                <w:szCs w:val="20"/>
              </w:rPr>
            </w:pPr>
          </w:p>
          <w:p w:rsidR="00B75B6B" w:rsidRPr="00E81F9C" w:rsidRDefault="00B75B6B" w:rsidP="00186D1F">
            <w:pPr>
              <w:spacing w:line="360" w:lineRule="auto"/>
              <w:rPr>
                <w:rFonts w:ascii="Arial Narrow" w:hAnsi="Arial Narrow"/>
                <w:color w:val="000000" w:themeColor="text1"/>
                <w:sz w:val="20"/>
                <w:szCs w:val="20"/>
              </w:rPr>
            </w:pPr>
          </w:p>
        </w:tc>
        <w:tc>
          <w:tcPr>
            <w:tcW w:w="3686" w:type="dxa"/>
          </w:tcPr>
          <w:p w:rsidR="00B75B6B" w:rsidRPr="00E81F9C" w:rsidRDefault="00B75B6B" w:rsidP="00186D1F">
            <w:pPr>
              <w:spacing w:line="360" w:lineRule="auto"/>
              <w:rPr>
                <w:rFonts w:ascii="Arial Narrow" w:hAnsi="Arial Narrow"/>
                <w:color w:val="000000" w:themeColor="text1"/>
                <w:sz w:val="20"/>
                <w:szCs w:val="20"/>
              </w:rPr>
            </w:pPr>
            <w:r w:rsidRPr="00E81F9C">
              <w:rPr>
                <w:rFonts w:ascii="Arial Narrow" w:hAnsi="Arial Narrow"/>
                <w:noProof/>
                <w:color w:val="000000" w:themeColor="text1"/>
                <w:sz w:val="20"/>
                <w:szCs w:val="20"/>
                <w:lang w:eastAsia="en-IN"/>
              </w:rPr>
              <w:drawing>
                <wp:anchor distT="0" distB="0" distL="114300" distR="114300" simplePos="0" relativeHeight="251673600" behindDoc="0" locked="0" layoutInCell="1" allowOverlap="1" wp14:anchorId="182ED079" wp14:editId="570068E1">
                  <wp:simplePos x="0" y="0"/>
                  <wp:positionH relativeFrom="column">
                    <wp:posOffset>5080</wp:posOffset>
                  </wp:positionH>
                  <wp:positionV relativeFrom="paragraph">
                    <wp:posOffset>26154</wp:posOffset>
                  </wp:positionV>
                  <wp:extent cx="2077047" cy="1030147"/>
                  <wp:effectExtent l="0" t="0" r="6350" b="0"/>
                  <wp:wrapNone/>
                  <wp:docPr id="28" name="Picture 12">
                    <a:extLst xmlns:a="http://schemas.openxmlformats.org/drawingml/2006/main">
                      <a:ext uri="{FF2B5EF4-FFF2-40B4-BE49-F238E27FC236}">
                        <a16:creationId xmlns:a16="http://schemas.microsoft.com/office/drawing/2014/main" id="{42C01281-532A-A24A-8EE3-711D0F94B1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42C01281-532A-A24A-8EE3-711D0F94B166}"/>
                              </a:ext>
                            </a:extLst>
                          </pic:cNvPr>
                          <pic:cNvPicPr>
                            <a:picLocks noChangeAspect="1"/>
                          </pic:cNvPicPr>
                        </pic:nvPicPr>
                        <pic:blipFill>
                          <a:blip r:embed="rId19"/>
                          <a:stretch>
                            <a:fillRect/>
                          </a:stretch>
                        </pic:blipFill>
                        <pic:spPr>
                          <a:xfrm>
                            <a:off x="0" y="0"/>
                            <a:ext cx="2077047" cy="1030147"/>
                          </a:xfrm>
                          <a:prstGeom prst="rect">
                            <a:avLst/>
                          </a:prstGeom>
                        </pic:spPr>
                      </pic:pic>
                    </a:graphicData>
                  </a:graphic>
                  <wp14:sizeRelH relativeFrom="margin">
                    <wp14:pctWidth>0</wp14:pctWidth>
                  </wp14:sizeRelH>
                  <wp14:sizeRelV relativeFrom="margin">
                    <wp14:pctHeight>0</wp14:pctHeight>
                  </wp14:sizeRelV>
                </wp:anchor>
              </w:drawing>
            </w:r>
          </w:p>
        </w:tc>
      </w:tr>
      <w:tr w:rsidR="00B75B6B" w:rsidRPr="00E81F9C" w:rsidTr="00186D1F">
        <w:tc>
          <w:tcPr>
            <w:tcW w:w="3114" w:type="dxa"/>
          </w:tcPr>
          <w:p w:rsidR="00B75B6B" w:rsidRPr="00E81F9C" w:rsidRDefault="00B75B6B" w:rsidP="00186D1F">
            <w:pPr>
              <w:spacing w:line="360"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Affective Commitment</w:t>
            </w:r>
          </w:p>
        </w:tc>
        <w:tc>
          <w:tcPr>
            <w:tcW w:w="3260" w:type="dxa"/>
          </w:tcPr>
          <w:p w:rsidR="00B75B6B" w:rsidRPr="00E81F9C" w:rsidRDefault="00B75B6B" w:rsidP="00186D1F">
            <w:pPr>
              <w:spacing w:line="360"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Social Influence</w:t>
            </w:r>
          </w:p>
        </w:tc>
        <w:tc>
          <w:tcPr>
            <w:tcW w:w="3402" w:type="dxa"/>
          </w:tcPr>
          <w:p w:rsidR="00B75B6B" w:rsidRPr="00E81F9C" w:rsidRDefault="00B75B6B" w:rsidP="00186D1F">
            <w:pPr>
              <w:spacing w:line="360"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Innovative Design</w:t>
            </w:r>
          </w:p>
        </w:tc>
        <w:tc>
          <w:tcPr>
            <w:tcW w:w="3686" w:type="dxa"/>
          </w:tcPr>
          <w:p w:rsidR="00B75B6B" w:rsidRPr="00E81F9C" w:rsidRDefault="00B75B6B" w:rsidP="00186D1F">
            <w:pPr>
              <w:spacing w:line="360" w:lineRule="auto"/>
              <w:jc w:val="center"/>
              <w:rPr>
                <w:rFonts w:ascii="Arial Narrow" w:hAnsi="Arial Narrow"/>
                <w:color w:val="000000" w:themeColor="text1"/>
                <w:sz w:val="20"/>
                <w:szCs w:val="20"/>
              </w:rPr>
            </w:pPr>
            <w:r w:rsidRPr="00E81F9C">
              <w:rPr>
                <w:rFonts w:ascii="Arial Narrow" w:hAnsi="Arial Narrow"/>
                <w:color w:val="000000" w:themeColor="text1"/>
                <w:sz w:val="20"/>
                <w:szCs w:val="20"/>
              </w:rPr>
              <w:t>Information Quality</w:t>
            </w:r>
          </w:p>
        </w:tc>
      </w:tr>
    </w:tbl>
    <w:p w:rsidR="00B75B6B" w:rsidRPr="00E81F9C" w:rsidRDefault="00B75B6B" w:rsidP="00B75B6B">
      <w:pPr>
        <w:spacing w:after="160" w:line="360" w:lineRule="auto"/>
        <w:jc w:val="center"/>
        <w:rPr>
          <w:rFonts w:ascii="Arial Narrow" w:hAnsi="Arial Narrow"/>
          <w:color w:val="000000" w:themeColor="text1"/>
          <w:sz w:val="22"/>
          <w:szCs w:val="22"/>
        </w:rPr>
      </w:pPr>
      <w:r w:rsidRPr="00E81F9C">
        <w:rPr>
          <w:rFonts w:ascii="Arial Narrow" w:hAnsi="Arial Narrow"/>
          <w:b/>
          <w:color w:val="000000" w:themeColor="text1"/>
          <w:sz w:val="22"/>
          <w:szCs w:val="22"/>
        </w:rPr>
        <w:t>Figure A4:</w:t>
      </w:r>
      <w:r w:rsidRPr="00E81F9C">
        <w:rPr>
          <w:rFonts w:ascii="Arial Narrow" w:hAnsi="Arial Narrow"/>
          <w:color w:val="000000" w:themeColor="text1"/>
          <w:sz w:val="22"/>
          <w:szCs w:val="22"/>
        </w:rPr>
        <w:t xml:space="preserve"> Word cloud of keywords from topic modelling of each sub-topic mapped to theoretical factors</w:t>
      </w:r>
    </w:p>
    <w:p w:rsidR="00B75B6B" w:rsidRPr="00E81F9C" w:rsidRDefault="00B75B6B" w:rsidP="00B75B6B">
      <w:pPr>
        <w:rPr>
          <w:rFonts w:ascii="Arial Narrow" w:hAnsi="Arial Narrow"/>
          <w:color w:val="000000" w:themeColor="text1"/>
          <w:sz w:val="22"/>
          <w:szCs w:val="22"/>
        </w:rPr>
      </w:pPr>
      <w:r w:rsidRPr="00E81F9C">
        <w:rPr>
          <w:rFonts w:ascii="Arial Narrow" w:hAnsi="Arial Narrow"/>
          <w:color w:val="000000" w:themeColor="text1"/>
          <w:sz w:val="22"/>
          <w:szCs w:val="22"/>
        </w:rPr>
        <w:br w:type="page"/>
      </w:r>
    </w:p>
    <w:p w:rsidR="00B75B6B" w:rsidRPr="00E81F9C" w:rsidRDefault="00B75B6B" w:rsidP="00B75B6B">
      <w:pPr>
        <w:spacing w:after="160" w:line="360" w:lineRule="auto"/>
        <w:rPr>
          <w:rFonts w:ascii="Arial Narrow" w:hAnsi="Arial Narrow"/>
          <w:color w:val="000000" w:themeColor="text1"/>
          <w:sz w:val="22"/>
          <w:szCs w:val="22"/>
        </w:rPr>
      </w:pPr>
      <w:r w:rsidRPr="00E81F9C">
        <w:rPr>
          <w:rFonts w:ascii="Arial Narrow" w:hAnsi="Arial Narrow"/>
          <w:color w:val="000000" w:themeColor="text1"/>
          <w:sz w:val="22"/>
          <w:szCs w:val="22"/>
        </w:rPr>
        <w:lastRenderedPageBreak/>
        <w:t>Table A5: Mapping of the 3E Framework Stages to Sensemaking-Sensegiving Processes</w:t>
      </w:r>
    </w:p>
    <w:tbl>
      <w:tblPr>
        <w:tblW w:w="14170" w:type="dxa"/>
        <w:tblCellMar>
          <w:top w:w="28" w:type="dxa"/>
          <w:bottom w:w="28" w:type="dxa"/>
        </w:tblCellMar>
        <w:tblLook w:val="04A0" w:firstRow="1" w:lastRow="0" w:firstColumn="1" w:lastColumn="0" w:noHBand="0" w:noVBand="1"/>
      </w:tblPr>
      <w:tblGrid>
        <w:gridCol w:w="1413"/>
        <w:gridCol w:w="1984"/>
        <w:gridCol w:w="2410"/>
        <w:gridCol w:w="2268"/>
        <w:gridCol w:w="6095"/>
      </w:tblGrid>
      <w:tr w:rsidR="00B75B6B" w:rsidRPr="00E81F9C" w:rsidTr="00186D1F">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b/>
                <w:bCs/>
                <w:color w:val="000000" w:themeColor="text1"/>
                <w:sz w:val="20"/>
                <w:szCs w:val="20"/>
              </w:rPr>
            </w:pPr>
            <w:r w:rsidRPr="00E81F9C">
              <w:rPr>
                <w:rFonts w:ascii="Arial Narrow" w:hAnsi="Arial Narrow" w:cs="Calibri"/>
                <w:b/>
                <w:bCs/>
                <w:color w:val="000000" w:themeColor="text1"/>
                <w:sz w:val="20"/>
                <w:szCs w:val="20"/>
              </w:rPr>
              <w:t>3E Framework Stage</w:t>
            </w:r>
          </w:p>
        </w:tc>
        <w:tc>
          <w:tcPr>
            <w:tcW w:w="1984" w:type="dxa"/>
            <w:tcBorders>
              <w:top w:val="single" w:sz="4" w:space="0" w:color="auto"/>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b/>
                <w:bCs/>
                <w:color w:val="000000" w:themeColor="text1"/>
                <w:sz w:val="20"/>
                <w:szCs w:val="20"/>
              </w:rPr>
            </w:pPr>
            <w:r w:rsidRPr="00E81F9C">
              <w:rPr>
                <w:rFonts w:ascii="Arial Narrow" w:hAnsi="Arial Narrow" w:cs="Calibri"/>
                <w:b/>
                <w:bCs/>
                <w:color w:val="000000" w:themeColor="text1"/>
                <w:sz w:val="20"/>
                <w:szCs w:val="20"/>
              </w:rPr>
              <w:t>Sensemaking–Sensegiving Process</w:t>
            </w:r>
          </w:p>
        </w:tc>
        <w:tc>
          <w:tcPr>
            <w:tcW w:w="2410" w:type="dxa"/>
            <w:tcBorders>
              <w:top w:val="single" w:sz="4" w:space="0" w:color="auto"/>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b/>
                <w:bCs/>
                <w:color w:val="000000" w:themeColor="text1"/>
                <w:sz w:val="20"/>
                <w:szCs w:val="20"/>
              </w:rPr>
            </w:pPr>
            <w:r w:rsidRPr="00E81F9C">
              <w:rPr>
                <w:rFonts w:ascii="Arial Narrow" w:hAnsi="Arial Narrow" w:cs="Calibri"/>
                <w:b/>
                <w:bCs/>
                <w:color w:val="000000" w:themeColor="text1"/>
                <w:sz w:val="20"/>
                <w:szCs w:val="20"/>
              </w:rPr>
              <w:t>Core Constructs</w:t>
            </w:r>
          </w:p>
        </w:tc>
        <w:tc>
          <w:tcPr>
            <w:tcW w:w="2268" w:type="dxa"/>
            <w:tcBorders>
              <w:top w:val="single" w:sz="4" w:space="0" w:color="auto"/>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b/>
                <w:bCs/>
                <w:color w:val="000000" w:themeColor="text1"/>
                <w:sz w:val="20"/>
                <w:szCs w:val="20"/>
              </w:rPr>
            </w:pPr>
            <w:r w:rsidRPr="00E81F9C">
              <w:rPr>
                <w:rFonts w:ascii="Arial Narrow" w:hAnsi="Arial Narrow" w:cs="Calibri"/>
                <w:b/>
                <w:bCs/>
                <w:color w:val="000000" w:themeColor="text1"/>
                <w:sz w:val="20"/>
                <w:szCs w:val="20"/>
              </w:rPr>
              <w:t>Theoretical Lens</w:t>
            </w:r>
          </w:p>
        </w:tc>
        <w:tc>
          <w:tcPr>
            <w:tcW w:w="6095" w:type="dxa"/>
            <w:tcBorders>
              <w:top w:val="single" w:sz="4" w:space="0" w:color="auto"/>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b/>
                <w:bCs/>
                <w:color w:val="000000" w:themeColor="text1"/>
                <w:sz w:val="20"/>
                <w:szCs w:val="20"/>
              </w:rPr>
            </w:pPr>
            <w:r w:rsidRPr="00E81F9C">
              <w:rPr>
                <w:rFonts w:ascii="Arial Narrow" w:hAnsi="Arial Narrow" w:cs="Calibri"/>
                <w:b/>
                <w:bCs/>
                <w:color w:val="000000" w:themeColor="text1"/>
                <w:sz w:val="20"/>
                <w:szCs w:val="20"/>
              </w:rPr>
              <w:t>Expected Outcome</w:t>
            </w:r>
          </w:p>
        </w:tc>
      </w:tr>
      <w:tr w:rsidR="00B75B6B" w:rsidRPr="00E81F9C" w:rsidTr="00186D1F">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bCs/>
                <w:color w:val="000000" w:themeColor="text1"/>
                <w:sz w:val="20"/>
                <w:szCs w:val="20"/>
              </w:rPr>
            </w:pPr>
            <w:r w:rsidRPr="00E81F9C">
              <w:rPr>
                <w:rFonts w:ascii="Arial Narrow" w:hAnsi="Arial Narrow" w:cs="Calibri"/>
                <w:bCs/>
                <w:color w:val="000000" w:themeColor="text1"/>
                <w:sz w:val="20"/>
                <w:szCs w:val="20"/>
              </w:rPr>
              <w:t>Envision</w:t>
            </w:r>
          </w:p>
        </w:tc>
        <w:tc>
          <w:tcPr>
            <w:tcW w:w="1984"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Envision</w:t>
            </w:r>
          </w:p>
        </w:tc>
        <w:tc>
          <w:tcPr>
            <w:tcW w:w="2410"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Perceived Usefulness, Cognitive Framing, Task Characteristics</w:t>
            </w:r>
          </w:p>
        </w:tc>
        <w:tc>
          <w:tcPr>
            <w:tcW w:w="2268"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TAM, Sensemaking, TTF</w:t>
            </w:r>
          </w:p>
        </w:tc>
        <w:tc>
          <w:tcPr>
            <w:tcW w:w="6095"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 xml:space="preserve">Users cognitively frame GenAI as a purposeful tool aligned with their work task needs. Early sensemaking cultivates shared expectations and initiates a foundation for subsequent trust formation and peer sensegiving. </w:t>
            </w:r>
            <w:r w:rsidRPr="00E81F9C">
              <w:rPr>
                <w:rFonts w:ascii="Arial Narrow" w:hAnsi="Arial Narrow" w:cs="Calibri"/>
                <w:iCs/>
                <w:color w:val="000000" w:themeColor="text1"/>
                <w:sz w:val="20"/>
                <w:szCs w:val="20"/>
              </w:rPr>
              <w:t xml:space="preserve">(P1: Envision </w:t>
            </w:r>
            <w:r w:rsidRPr="00E81F9C">
              <w:rPr>
                <w:rFonts w:ascii="Arial" w:hAnsi="Arial" w:cs="Arial"/>
                <w:iCs/>
                <w:color w:val="000000" w:themeColor="text1"/>
                <w:sz w:val="20"/>
                <w:szCs w:val="20"/>
              </w:rPr>
              <w:t>→</w:t>
            </w:r>
            <w:r w:rsidRPr="00E81F9C">
              <w:rPr>
                <w:rFonts w:ascii="Arial Narrow" w:hAnsi="Arial Narrow" w:cs="Calibri"/>
                <w:iCs/>
                <w:color w:val="000000" w:themeColor="text1"/>
                <w:sz w:val="20"/>
                <w:szCs w:val="20"/>
              </w:rPr>
              <w:t xml:space="preserve"> Signaling)</w:t>
            </w:r>
          </w:p>
        </w:tc>
      </w:tr>
      <w:tr w:rsidR="00B75B6B" w:rsidRPr="00E81F9C" w:rsidTr="00186D1F">
        <w:trPr>
          <w:trHeight w:val="20"/>
        </w:trPr>
        <w:tc>
          <w:tcPr>
            <w:tcW w:w="1413" w:type="dxa"/>
            <w:vMerge w:val="restart"/>
            <w:tcBorders>
              <w:top w:val="nil"/>
              <w:left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bCs/>
                <w:color w:val="000000" w:themeColor="text1"/>
                <w:sz w:val="20"/>
                <w:szCs w:val="20"/>
              </w:rPr>
            </w:pPr>
            <w:r w:rsidRPr="00E81F9C">
              <w:rPr>
                <w:rFonts w:ascii="Arial Narrow" w:hAnsi="Arial Narrow" w:cs="Calibri"/>
                <w:bCs/>
                <w:color w:val="000000" w:themeColor="text1"/>
                <w:sz w:val="20"/>
                <w:szCs w:val="20"/>
              </w:rPr>
              <w:t>Evolve</w:t>
            </w:r>
          </w:p>
          <w:p w:rsidR="00B75B6B" w:rsidRPr="00E81F9C" w:rsidRDefault="00B75B6B" w:rsidP="00186D1F">
            <w:pPr>
              <w:rPr>
                <w:rFonts w:ascii="Arial Narrow" w:hAnsi="Arial Narrow" w:cs="Calibri"/>
                <w:bCs/>
                <w:color w:val="000000" w:themeColor="text1"/>
                <w:sz w:val="20"/>
                <w:szCs w:val="20"/>
              </w:rPr>
            </w:pPr>
            <w:r w:rsidRPr="00E81F9C">
              <w:rPr>
                <w:rFonts w:ascii="Arial Narrow" w:hAnsi="Arial Narrow" w:cs="Calibri"/>
                <w:color w:val="000000" w:themeColor="text1"/>
                <w:sz w:val="20"/>
                <w:szCs w:val="20"/>
              </w:rPr>
              <w:t> </w:t>
            </w:r>
          </w:p>
        </w:tc>
        <w:tc>
          <w:tcPr>
            <w:tcW w:w="1984"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Signaling</w:t>
            </w:r>
          </w:p>
        </w:tc>
        <w:tc>
          <w:tcPr>
            <w:tcW w:w="2410"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Trust and Credibility, Peer Signaling, Technological Affordance, Value-Based Motivation</w:t>
            </w:r>
          </w:p>
        </w:tc>
        <w:tc>
          <w:tcPr>
            <w:tcW w:w="2268"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IS Continuance Theory, Signaling, SIT, Technology Affordance Theory, VAM</w:t>
            </w:r>
          </w:p>
        </w:tc>
        <w:tc>
          <w:tcPr>
            <w:tcW w:w="6095"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 xml:space="preserve">Through trust-based communication and social signaling, users validate GenAI’s credibility and functional affordances. Collective interpretations evolve into shared norms that reinforce GenAI’s perceived reliability and usefulness. </w:t>
            </w:r>
            <w:r w:rsidRPr="00E81F9C">
              <w:rPr>
                <w:rFonts w:ascii="Arial Narrow" w:hAnsi="Arial Narrow" w:cs="Calibri"/>
                <w:iCs/>
                <w:color w:val="000000" w:themeColor="text1"/>
                <w:sz w:val="20"/>
                <w:szCs w:val="20"/>
              </w:rPr>
              <w:t xml:space="preserve">(P2a: Signaling </w:t>
            </w:r>
            <w:r w:rsidRPr="00E81F9C">
              <w:rPr>
                <w:rFonts w:ascii="Arial" w:hAnsi="Arial" w:cs="Arial"/>
                <w:iCs/>
                <w:color w:val="000000" w:themeColor="text1"/>
                <w:sz w:val="20"/>
                <w:szCs w:val="20"/>
              </w:rPr>
              <w:t>→</w:t>
            </w:r>
            <w:r w:rsidRPr="00E81F9C">
              <w:rPr>
                <w:rFonts w:ascii="Arial Narrow" w:hAnsi="Arial Narrow" w:cs="Calibri"/>
                <w:iCs/>
                <w:color w:val="000000" w:themeColor="text1"/>
                <w:sz w:val="20"/>
                <w:szCs w:val="20"/>
              </w:rPr>
              <w:t xml:space="preserve"> Revisioning, P2b: Signaling </w:t>
            </w:r>
            <w:r w:rsidRPr="00E81F9C">
              <w:rPr>
                <w:rFonts w:ascii="Arial" w:hAnsi="Arial" w:cs="Arial"/>
                <w:iCs/>
                <w:color w:val="000000" w:themeColor="text1"/>
                <w:sz w:val="20"/>
                <w:szCs w:val="20"/>
              </w:rPr>
              <w:t>→</w:t>
            </w:r>
            <w:r w:rsidRPr="00E81F9C">
              <w:rPr>
                <w:rFonts w:ascii="Arial Narrow" w:hAnsi="Arial Narrow" w:cs="Calibri"/>
                <w:iCs/>
                <w:color w:val="000000" w:themeColor="text1"/>
                <w:sz w:val="20"/>
                <w:szCs w:val="20"/>
              </w:rPr>
              <w:t xml:space="preserve"> User Engagement)</w:t>
            </w:r>
          </w:p>
        </w:tc>
      </w:tr>
      <w:tr w:rsidR="00B75B6B" w:rsidRPr="00E81F9C" w:rsidTr="00186D1F">
        <w:trPr>
          <w:trHeight w:val="20"/>
        </w:trPr>
        <w:tc>
          <w:tcPr>
            <w:tcW w:w="1413" w:type="dxa"/>
            <w:vMerge/>
            <w:tcBorders>
              <w:left w:val="single" w:sz="4" w:space="0" w:color="auto"/>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p>
        </w:tc>
        <w:tc>
          <w:tcPr>
            <w:tcW w:w="1984"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Revisioning</w:t>
            </w:r>
          </w:p>
        </w:tc>
        <w:tc>
          <w:tcPr>
            <w:tcW w:w="2410"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Adaptive Structuration, AI Mindfulness, Task–Technology Fit, Problem–Solution Reframing</w:t>
            </w:r>
          </w:p>
        </w:tc>
        <w:tc>
          <w:tcPr>
            <w:tcW w:w="2268"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AST, IT Mindfulness, TTF, Sensemaking Theory</w:t>
            </w:r>
          </w:p>
        </w:tc>
        <w:tc>
          <w:tcPr>
            <w:tcW w:w="6095"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 xml:space="preserve">Reflective engagement enables users to restructure workflows and mental models around GenAI affordances. This adaptive sensemaking enhances creative problem-solving and drives transformative innovation in task execution. </w:t>
            </w:r>
            <w:r w:rsidRPr="00E81F9C">
              <w:rPr>
                <w:rFonts w:ascii="Arial Narrow" w:hAnsi="Arial Narrow" w:cs="Calibri"/>
                <w:iCs/>
                <w:color w:val="000000" w:themeColor="text1"/>
                <w:sz w:val="20"/>
                <w:szCs w:val="20"/>
              </w:rPr>
              <w:t xml:space="preserve">(P3: Revisioning </w:t>
            </w:r>
            <w:r w:rsidRPr="00E81F9C">
              <w:rPr>
                <w:rFonts w:ascii="Arial" w:hAnsi="Arial" w:cs="Arial"/>
                <w:iCs/>
                <w:color w:val="000000" w:themeColor="text1"/>
                <w:sz w:val="20"/>
                <w:szCs w:val="20"/>
              </w:rPr>
              <w:t>→</w:t>
            </w:r>
            <w:r w:rsidRPr="00E81F9C">
              <w:rPr>
                <w:rFonts w:ascii="Arial Narrow" w:hAnsi="Arial Narrow" w:cs="Calibri"/>
                <w:iCs/>
                <w:color w:val="000000" w:themeColor="text1"/>
                <w:sz w:val="20"/>
                <w:szCs w:val="20"/>
              </w:rPr>
              <w:t xml:space="preserve"> Energizing)</w:t>
            </w:r>
          </w:p>
        </w:tc>
      </w:tr>
      <w:tr w:rsidR="00B75B6B" w:rsidRPr="00E81F9C" w:rsidTr="00186D1F">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bCs/>
                <w:color w:val="000000" w:themeColor="text1"/>
                <w:sz w:val="20"/>
                <w:szCs w:val="20"/>
              </w:rPr>
            </w:pPr>
            <w:r w:rsidRPr="00E81F9C">
              <w:rPr>
                <w:rFonts w:ascii="Arial Narrow" w:hAnsi="Arial Narrow" w:cs="Calibri"/>
                <w:bCs/>
                <w:color w:val="000000" w:themeColor="text1"/>
                <w:sz w:val="20"/>
                <w:szCs w:val="20"/>
              </w:rPr>
              <w:t>Engage</w:t>
            </w:r>
          </w:p>
        </w:tc>
        <w:tc>
          <w:tcPr>
            <w:tcW w:w="1984"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Energizing</w:t>
            </w:r>
          </w:p>
        </w:tc>
        <w:tc>
          <w:tcPr>
            <w:tcW w:w="2410"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Affective Commitment, Social Influence, Innovative Design, Information Quality</w:t>
            </w:r>
          </w:p>
        </w:tc>
        <w:tc>
          <w:tcPr>
            <w:tcW w:w="2268"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SIT, UTAUT2, Technology Affordance Theory, ISS</w:t>
            </w:r>
          </w:p>
        </w:tc>
        <w:tc>
          <w:tcPr>
            <w:tcW w:w="6095"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 xml:space="preserve">Emotional attachment and social validation foster sustained enthusiasm toward GenAI. Positive user experiences and high-quality interactions strengthen behavioral intention and institutional integration. </w:t>
            </w:r>
            <w:r w:rsidRPr="00E81F9C">
              <w:rPr>
                <w:rFonts w:ascii="Arial Narrow" w:hAnsi="Arial Narrow" w:cs="Calibri"/>
                <w:iCs/>
                <w:color w:val="000000" w:themeColor="text1"/>
                <w:sz w:val="20"/>
                <w:szCs w:val="20"/>
              </w:rPr>
              <w:t xml:space="preserve">(P4: Energizing </w:t>
            </w:r>
            <w:r w:rsidRPr="00E81F9C">
              <w:rPr>
                <w:rFonts w:ascii="Arial" w:hAnsi="Arial" w:cs="Arial"/>
                <w:iCs/>
                <w:color w:val="000000" w:themeColor="text1"/>
                <w:sz w:val="20"/>
                <w:szCs w:val="20"/>
              </w:rPr>
              <w:t>→</w:t>
            </w:r>
            <w:r w:rsidRPr="00E81F9C">
              <w:rPr>
                <w:rFonts w:ascii="Arial Narrow" w:hAnsi="Arial Narrow" w:cs="Calibri"/>
                <w:iCs/>
                <w:color w:val="000000" w:themeColor="text1"/>
                <w:sz w:val="20"/>
                <w:szCs w:val="20"/>
              </w:rPr>
              <w:t xml:space="preserve"> User Engagement)</w:t>
            </w:r>
          </w:p>
        </w:tc>
      </w:tr>
      <w:tr w:rsidR="00B75B6B" w:rsidRPr="00E81F9C" w:rsidTr="00186D1F">
        <w:trPr>
          <w:trHeight w:val="20"/>
        </w:trPr>
        <w:tc>
          <w:tcPr>
            <w:tcW w:w="1413" w:type="dxa"/>
            <w:tcBorders>
              <w:top w:val="nil"/>
              <w:left w:val="single" w:sz="4" w:space="0" w:color="auto"/>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bCs/>
                <w:color w:val="000000" w:themeColor="text1"/>
                <w:sz w:val="20"/>
                <w:szCs w:val="20"/>
              </w:rPr>
            </w:pPr>
            <w:r w:rsidRPr="00E81F9C">
              <w:rPr>
                <w:rFonts w:ascii="Arial Narrow" w:hAnsi="Arial Narrow" w:cs="Calibri"/>
                <w:bCs/>
                <w:color w:val="000000" w:themeColor="text1"/>
                <w:sz w:val="20"/>
                <w:szCs w:val="20"/>
              </w:rPr>
              <w:t>Feedback</w:t>
            </w:r>
          </w:p>
        </w:tc>
        <w:tc>
          <w:tcPr>
            <w:tcW w:w="1984"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Feedback and Reinforcement</w:t>
            </w:r>
          </w:p>
        </w:tc>
        <w:tc>
          <w:tcPr>
            <w:tcW w:w="2410"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w:t>
            </w:r>
          </w:p>
        </w:tc>
        <w:tc>
          <w:tcPr>
            <w:tcW w:w="2268"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Sensemaking Cycles</w:t>
            </w:r>
          </w:p>
        </w:tc>
        <w:tc>
          <w:tcPr>
            <w:tcW w:w="6095" w:type="dxa"/>
            <w:tcBorders>
              <w:top w:val="nil"/>
              <w:left w:val="nil"/>
              <w:bottom w:val="single" w:sz="4" w:space="0" w:color="auto"/>
              <w:right w:val="single" w:sz="4" w:space="0" w:color="auto"/>
            </w:tcBorders>
            <w:shd w:val="clear" w:color="auto" w:fill="auto"/>
            <w:hideMark/>
          </w:tcPr>
          <w:p w:rsidR="00B75B6B" w:rsidRPr="00E81F9C" w:rsidRDefault="00B75B6B" w:rsidP="00186D1F">
            <w:pPr>
              <w:rPr>
                <w:rFonts w:ascii="Arial Narrow" w:hAnsi="Arial Narrow" w:cs="Calibri"/>
                <w:color w:val="000000" w:themeColor="text1"/>
                <w:sz w:val="20"/>
                <w:szCs w:val="20"/>
              </w:rPr>
            </w:pPr>
            <w:r w:rsidRPr="00E81F9C">
              <w:rPr>
                <w:rFonts w:ascii="Arial Narrow" w:hAnsi="Arial Narrow" w:cs="Calibri"/>
                <w:color w:val="000000" w:themeColor="text1"/>
                <w:sz w:val="20"/>
                <w:szCs w:val="20"/>
              </w:rPr>
              <w:t xml:space="preserve">Iterative feedback consolidates experiential insights into organizational learning. This recursive cycle strengthens user–AI co-adaptation, informing new envisioning and reinforcing dynamic trust and affordance evolution. </w:t>
            </w:r>
            <w:r w:rsidRPr="00E81F9C">
              <w:rPr>
                <w:rFonts w:ascii="Arial Narrow" w:hAnsi="Arial Narrow" w:cs="Calibri"/>
                <w:iCs/>
                <w:color w:val="000000" w:themeColor="text1"/>
                <w:sz w:val="20"/>
                <w:szCs w:val="20"/>
              </w:rPr>
              <w:t xml:space="preserve">(P5a: User Engagement </w:t>
            </w:r>
            <w:r w:rsidRPr="00E81F9C">
              <w:rPr>
                <w:rFonts w:ascii="Arial" w:hAnsi="Arial" w:cs="Arial"/>
                <w:iCs/>
                <w:color w:val="000000" w:themeColor="text1"/>
                <w:sz w:val="20"/>
                <w:szCs w:val="20"/>
              </w:rPr>
              <w:t>→</w:t>
            </w:r>
            <w:r w:rsidRPr="00E81F9C">
              <w:rPr>
                <w:rFonts w:ascii="Arial Narrow" w:hAnsi="Arial Narrow" w:cs="Calibri"/>
                <w:iCs/>
                <w:color w:val="000000" w:themeColor="text1"/>
                <w:sz w:val="20"/>
                <w:szCs w:val="20"/>
              </w:rPr>
              <w:t xml:space="preserve"> Envisioning, P5b: User Engagement </w:t>
            </w:r>
            <w:r w:rsidRPr="00E81F9C">
              <w:rPr>
                <w:rFonts w:ascii="Arial" w:hAnsi="Arial" w:cs="Arial"/>
                <w:iCs/>
                <w:color w:val="000000" w:themeColor="text1"/>
                <w:sz w:val="20"/>
                <w:szCs w:val="20"/>
              </w:rPr>
              <w:t>→</w:t>
            </w:r>
            <w:r w:rsidRPr="00E81F9C">
              <w:rPr>
                <w:rFonts w:ascii="Arial Narrow" w:hAnsi="Arial Narrow" w:cs="Calibri"/>
                <w:iCs/>
                <w:color w:val="000000" w:themeColor="text1"/>
                <w:sz w:val="20"/>
                <w:szCs w:val="20"/>
              </w:rPr>
              <w:t xml:space="preserve"> Revisioning)</w:t>
            </w:r>
          </w:p>
        </w:tc>
      </w:tr>
    </w:tbl>
    <w:p w:rsidR="00B75B6B" w:rsidRPr="00E81F9C" w:rsidRDefault="00B75B6B" w:rsidP="00B75B6B">
      <w:pPr>
        <w:spacing w:after="160" w:line="276" w:lineRule="auto"/>
        <w:jc w:val="both"/>
        <w:rPr>
          <w:rFonts w:ascii="Arial Narrow" w:hAnsi="Arial Narrow"/>
          <w:color w:val="000000" w:themeColor="text1"/>
          <w:sz w:val="22"/>
          <w:szCs w:val="22"/>
          <w:lang w:val="en-US"/>
        </w:rPr>
      </w:pPr>
    </w:p>
    <w:p w:rsidR="00B75B6B" w:rsidRPr="00E81F9C" w:rsidRDefault="00B75B6B" w:rsidP="00B75B6B">
      <w:pPr>
        <w:rPr>
          <w:rFonts w:ascii="Arial Narrow" w:hAnsi="Arial Narrow"/>
          <w:color w:val="000000" w:themeColor="text1"/>
          <w:sz w:val="22"/>
          <w:szCs w:val="22"/>
          <w:lang w:val="en-US"/>
        </w:rPr>
      </w:pPr>
      <w:r w:rsidRPr="00E81F9C">
        <w:rPr>
          <w:rFonts w:ascii="Arial Narrow" w:hAnsi="Arial Narrow"/>
          <w:color w:val="000000" w:themeColor="text1"/>
          <w:sz w:val="22"/>
          <w:szCs w:val="22"/>
          <w:lang w:val="en-US"/>
        </w:rPr>
        <w:br w:type="page"/>
      </w:r>
    </w:p>
    <w:p w:rsidR="00B75B6B" w:rsidRPr="00E81F9C" w:rsidRDefault="00B75B6B" w:rsidP="00B75B6B">
      <w:pPr>
        <w:spacing w:after="160" w:line="276" w:lineRule="auto"/>
        <w:jc w:val="both"/>
        <w:rPr>
          <w:rFonts w:ascii="Arial Narrow" w:hAnsi="Arial Narrow"/>
          <w:color w:val="000000" w:themeColor="text1"/>
          <w:sz w:val="22"/>
          <w:szCs w:val="22"/>
          <w:lang w:val="en-US"/>
        </w:rPr>
      </w:pPr>
      <w:r w:rsidRPr="00E81F9C">
        <w:rPr>
          <w:rFonts w:ascii="Arial Narrow" w:hAnsi="Arial Narrow"/>
          <w:color w:val="000000" w:themeColor="text1"/>
          <w:sz w:val="22"/>
          <w:szCs w:val="22"/>
          <w:lang w:val="en-US"/>
        </w:rPr>
        <w:lastRenderedPageBreak/>
        <w:t>Table A6: Review of common models used for technology adoption in workplace along with their limitation</w:t>
      </w:r>
    </w:p>
    <w:tbl>
      <w:tblPr>
        <w:tblW w:w="13603" w:type="dxa"/>
        <w:tblCellMar>
          <w:top w:w="28" w:type="dxa"/>
        </w:tblCellMar>
        <w:tblLook w:val="04A0" w:firstRow="1" w:lastRow="0" w:firstColumn="1" w:lastColumn="0" w:noHBand="0" w:noVBand="1"/>
      </w:tblPr>
      <w:tblGrid>
        <w:gridCol w:w="1980"/>
        <w:gridCol w:w="1843"/>
        <w:gridCol w:w="5103"/>
        <w:gridCol w:w="4677"/>
      </w:tblGrid>
      <w:tr w:rsidR="00B75B6B" w:rsidRPr="00E81F9C" w:rsidTr="00186D1F">
        <w:trPr>
          <w:trHeight w:val="20"/>
          <w:tblHeader/>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
                <w:bCs/>
                <w:sz w:val="20"/>
                <w:szCs w:val="20"/>
              </w:rPr>
            </w:pPr>
            <w:r w:rsidRPr="006175BA">
              <w:rPr>
                <w:rFonts w:ascii="Arial Narrow" w:hAnsi="Arial Narrow" w:cs="Calibri"/>
                <w:b/>
                <w:bCs/>
                <w:sz w:val="20"/>
                <w:szCs w:val="20"/>
              </w:rPr>
              <w:t>Theory</w:t>
            </w:r>
          </w:p>
        </w:tc>
        <w:tc>
          <w:tcPr>
            <w:tcW w:w="1843" w:type="dxa"/>
            <w:tcBorders>
              <w:top w:val="single" w:sz="4" w:space="0" w:color="auto"/>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
                <w:sz w:val="20"/>
                <w:szCs w:val="20"/>
              </w:rPr>
            </w:pPr>
            <w:r w:rsidRPr="006175BA">
              <w:rPr>
                <w:rFonts w:ascii="Arial Narrow" w:hAnsi="Arial Narrow" w:cs="Calibri"/>
                <w:b/>
                <w:sz w:val="20"/>
                <w:szCs w:val="20"/>
              </w:rPr>
              <w:t>Source</w:t>
            </w:r>
          </w:p>
        </w:tc>
        <w:tc>
          <w:tcPr>
            <w:tcW w:w="5103" w:type="dxa"/>
            <w:tcBorders>
              <w:top w:val="single" w:sz="4" w:space="0" w:color="auto"/>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
                <w:bCs/>
                <w:sz w:val="20"/>
                <w:szCs w:val="20"/>
              </w:rPr>
            </w:pPr>
            <w:r w:rsidRPr="006175BA">
              <w:rPr>
                <w:rFonts w:ascii="Arial Narrow" w:hAnsi="Arial Narrow" w:cs="Calibri"/>
                <w:b/>
                <w:bCs/>
                <w:sz w:val="20"/>
                <w:szCs w:val="20"/>
              </w:rPr>
              <w:t>Workplace Relevance &amp; Key Findings</w:t>
            </w:r>
          </w:p>
        </w:tc>
        <w:tc>
          <w:tcPr>
            <w:tcW w:w="4677" w:type="dxa"/>
            <w:tcBorders>
              <w:top w:val="single" w:sz="4" w:space="0" w:color="auto"/>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
                <w:bCs/>
                <w:sz w:val="20"/>
                <w:szCs w:val="20"/>
              </w:rPr>
            </w:pPr>
            <w:r w:rsidRPr="006175BA">
              <w:rPr>
                <w:rFonts w:ascii="Arial Narrow" w:hAnsi="Arial Narrow" w:cs="Calibri"/>
                <w:b/>
                <w:bCs/>
                <w:sz w:val="20"/>
                <w:szCs w:val="20"/>
              </w:rPr>
              <w:t>Limitations for GenAI</w:t>
            </w:r>
          </w:p>
        </w:tc>
      </w:tr>
      <w:tr w:rsidR="00B75B6B" w:rsidRPr="00E81F9C" w:rsidTr="00186D1F">
        <w:trPr>
          <w:trHeight w:val="20"/>
        </w:trPr>
        <w:tc>
          <w:tcPr>
            <w:tcW w:w="1980" w:type="dxa"/>
            <w:tcBorders>
              <w:top w:val="nil"/>
              <w:left w:val="single" w:sz="4" w:space="0" w:color="auto"/>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Cs/>
                <w:sz w:val="20"/>
                <w:szCs w:val="20"/>
              </w:rPr>
            </w:pPr>
            <w:r w:rsidRPr="006175BA">
              <w:rPr>
                <w:rFonts w:ascii="Arial Narrow" w:hAnsi="Arial Narrow" w:cs="Calibri"/>
                <w:bCs/>
                <w:sz w:val="20"/>
                <w:szCs w:val="20"/>
              </w:rPr>
              <w:t>TAM / TAM2 / TAM3</w:t>
            </w:r>
          </w:p>
        </w:tc>
        <w:tc>
          <w:tcPr>
            <w:tcW w:w="184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{"citationItems":[{"id":"ITEM-1","itemData":{"DOI":"10.2307/249008","ISSN":"0276-7783","author":[{"dropping-particle":"","family":"Davis","given":"Fred D","non-dropping-particle":"","parse-names":false,"suffix":""}],"container-title":"MIS quarterly","id":"ITEM-1","issued":{"date-parts":[["1989"]]},"page":"319-340","publisher":"JSTOR","title":"Perceived usefulness, perceived ease of use, and user acceptance of information technology","type":"article-journal"},"uris":["http://www.mendeley.com/documents/?uuid=87086e8b-4d0f-3c68-9362-0347f833e544"]},{"id":"ITEM-2","itemData":{"DOI":"10.1111/j.1540-5915.2008.00192.x","ISSN":"00117315","abstract":"Prior research has provided valuable insights into how and why employees make a decision about the adoption and use of information technologies (ITs) in the workplace. From an organizational point of view, however, the more important issue is how managers make informed decisions about interventions that can lead to greater acceptance and effective utilization of IT. There is limited research in the IT implementation literature that deals with the role of interventions to aid such managerial decision making. Particularly, there is a need to understand how various interventions can influence the known determinants of IT adoption and use. To address this gap in the literature, we draw from the vast body of research on the technology acceptance model (TAM), particularly the work on the determinants of perceived usefulness and perceived ease of use, and: (i) develop a comprehensive nomological network (integrated model) of the determinants of individual level (IT) adoption and use; (ii) empirically test the proposed integrated model; and (iii) present a research agenda focused on potential pre- and postimplementation interventions that can enhance employees' adoption and use of IT. Our findings and research agenda have important implications for managerial decision making on IT implementation in organizations. © 2008, Decision Sciences Institute.","author":[{"dropping-particle":"","family":"Venkatesh","given":"Viswanath","non-dropping-particle":"","parse-names":false,"suffix":""},{"dropping-particle":"","family":"Bala","given":"Hillol","non-dropping-particle":"","parse-names":false,"suffix":""}],"container-title":"Decision Sciences","id":"ITEM-2","issue":"2","issued":{"date-parts":[["2008","5"]]},"page":"273-315","title":"Technology acceptance model 3 and a research agenda on interventions","type":"article-journal","volume":"39"},"uris":["http://www.mendeley.com/documents/?uuid=5aab200c-0c4a-3a1e-ac6c-213781fdea52"]},{"id":"ITEM-3","itemData":{"DOI":"10.1287/MNSC.46.2.186.11926","ISSN":"00251909","abstract":"The present research develops and tests a theoretical extension of the Technology Acceptance Model (TAM) that explains perceived usefulness and usage intentions in terms of social influence and cognitive instrumental processes. The extended model, referred to as TAM2, was tested using longitudinal data collected regarding four different systems at four organizations (N = 156), two involving voluntary usage and two involving mandatory usage. Model constructs were measured at three points in time at each organization: preimplementation, one month postimplementation, and three months postimplementation. The extended model was strongly supported for all four organizations at all three points of measurement, accounting for 40%-60% of the variance in usefulness perceptions and 34%-52% of the variance in usage intentions. Both social influence processes (subjective norm, voluntariness, and image) and cognitive instrumental processes (job relevance, output quality, result demonstrability, and perceived ease of use) significantly influenced user acceptance. These findings advance theory and contribute to the foundation for future research aimed at improving our understanding of user adoption behavior.","author":[{"dropping-particle":"","family":"Venkatesh","given":"Viswanath","non-dropping-particle":"","parse-names":false,"suffix":""},{"dropping-particle":"","family":"Davis","given":"Fred D.","non-dropping-particle":"","parse-names":false,"suffix":""}],"container-title":"Management Science","id":"ITEM-3","issue":"2","issued":{"date-parts":[["2000"]]},"page":"186-204","publisher":"Institute for Operations Research and the Management Sciences (INFORMS)","title":"A Theoretical Extension of the Technology Acceptance Model: Four Longitudinal Field Studies","type":"article-journal","volume":"46"},"uris":["http://www.mendeley.com/documents/?uuid=bca2f7af-9ea7-32c7-bd9c-989e33d61e7c"]}],"mendeley":{"formattedCitation":"(Davis, 1989; Venkatesh &amp; Bala, 2008; Venkatesh &amp; Davis, 2000)","manualFormatting":"Davis (1989); Venkatesh &amp; Bala, (2008); Venkatesh &amp; Davis (2000)","plainTextFormattedCitation":"(Davis, 1989; Venkatesh &amp; Bala, 2008; Venkatesh &amp; Davis, 2000)","previouslyFormattedCitation":"(Davis, 1989; Venkatesh &amp; Bala, 2008; Venkatesh &amp; Davis, 2000)"},"properties":{"noteIndex":0},"schema":"https://github.com/citation-style-language/schema/raw/master/csl-citation.json"}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Davis (</w:t>
            </w:r>
            <w:r w:rsidRPr="00A853E0">
              <w:rPr>
                <w:rFonts w:ascii="Arial Narrow" w:hAnsi="Arial Narrow" w:cs="Calibri"/>
                <w:noProof/>
                <w:sz w:val="20"/>
                <w:szCs w:val="20"/>
              </w:rPr>
              <w:t>1989</w:t>
            </w:r>
            <w:r>
              <w:rPr>
                <w:rFonts w:ascii="Arial Narrow" w:hAnsi="Arial Narrow" w:cs="Calibri"/>
                <w:noProof/>
                <w:sz w:val="20"/>
                <w:szCs w:val="20"/>
              </w:rPr>
              <w:t>)</w:t>
            </w:r>
            <w:r w:rsidRPr="00A853E0">
              <w:rPr>
                <w:rFonts w:ascii="Arial Narrow" w:hAnsi="Arial Narrow" w:cs="Calibri"/>
                <w:noProof/>
                <w:sz w:val="20"/>
                <w:szCs w:val="20"/>
              </w:rPr>
              <w:t xml:space="preserve">; Venkatesh &amp; Bala, </w:t>
            </w:r>
            <w:r>
              <w:rPr>
                <w:rFonts w:ascii="Arial Narrow" w:hAnsi="Arial Narrow" w:cs="Calibri"/>
                <w:noProof/>
                <w:sz w:val="20"/>
                <w:szCs w:val="20"/>
              </w:rPr>
              <w:t>(</w:t>
            </w:r>
            <w:r w:rsidRPr="00A853E0">
              <w:rPr>
                <w:rFonts w:ascii="Arial Narrow" w:hAnsi="Arial Narrow" w:cs="Calibri"/>
                <w:noProof/>
                <w:sz w:val="20"/>
                <w:szCs w:val="20"/>
              </w:rPr>
              <w:t>2008</w:t>
            </w:r>
            <w:r>
              <w:rPr>
                <w:rFonts w:ascii="Arial Narrow" w:hAnsi="Arial Narrow" w:cs="Calibri"/>
                <w:noProof/>
                <w:sz w:val="20"/>
                <w:szCs w:val="20"/>
              </w:rPr>
              <w:t>); Venkatesh &amp; Davis</w:t>
            </w:r>
            <w:r w:rsidRPr="00A853E0">
              <w:rPr>
                <w:rFonts w:ascii="Arial Narrow" w:hAnsi="Arial Narrow" w:cs="Calibri"/>
                <w:noProof/>
                <w:sz w:val="20"/>
                <w:szCs w:val="20"/>
              </w:rPr>
              <w:t xml:space="preserve"> </w:t>
            </w:r>
            <w:r>
              <w:rPr>
                <w:rFonts w:ascii="Arial Narrow" w:hAnsi="Arial Narrow" w:cs="Calibri"/>
                <w:noProof/>
                <w:sz w:val="20"/>
                <w:szCs w:val="20"/>
              </w:rPr>
              <w:t>(</w:t>
            </w:r>
            <w:r w:rsidRPr="00A853E0">
              <w:rPr>
                <w:rFonts w:ascii="Arial Narrow" w:hAnsi="Arial Narrow" w:cs="Calibri"/>
                <w:noProof/>
                <w:sz w:val="20"/>
                <w:szCs w:val="20"/>
              </w:rPr>
              <w:t>2000)</w:t>
            </w:r>
            <w:r>
              <w:rPr>
                <w:rFonts w:ascii="Arial Narrow" w:hAnsi="Arial Narrow" w:cs="Calibri"/>
                <w:sz w:val="20"/>
                <w:szCs w:val="20"/>
              </w:rPr>
              <w:fldChar w:fldCharType="end"/>
            </w:r>
          </w:p>
        </w:tc>
        <w:tc>
          <w:tcPr>
            <w:tcW w:w="510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Most cited framework for workplace adoption; explains how perceptions of usefulness and ease drive intention; extensions incorporate social and experiential moderators to capture richer adoption contexts.</w:t>
            </w:r>
          </w:p>
        </w:tc>
        <w:tc>
          <w:tcPr>
            <w:tcW w:w="4677"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Linear and rationalist; assumes stable predictors; underexplains dynamic, recursive, and ethical evaluations involved in GenAI use.</w:t>
            </w:r>
          </w:p>
        </w:tc>
      </w:tr>
      <w:tr w:rsidR="00B75B6B" w:rsidRPr="00E81F9C" w:rsidTr="00186D1F">
        <w:trPr>
          <w:trHeight w:val="20"/>
        </w:trPr>
        <w:tc>
          <w:tcPr>
            <w:tcW w:w="1980" w:type="dxa"/>
            <w:tcBorders>
              <w:top w:val="nil"/>
              <w:left w:val="single" w:sz="4" w:space="0" w:color="auto"/>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Cs/>
                <w:sz w:val="20"/>
                <w:szCs w:val="20"/>
              </w:rPr>
            </w:pPr>
            <w:r w:rsidRPr="006175BA">
              <w:rPr>
                <w:rFonts w:ascii="Arial Narrow" w:hAnsi="Arial Narrow" w:cs="Calibri"/>
                <w:bCs/>
                <w:sz w:val="20"/>
                <w:szCs w:val="20"/>
              </w:rPr>
              <w:t>UTAUT / UTAUT2</w:t>
            </w:r>
          </w:p>
        </w:tc>
        <w:tc>
          <w:tcPr>
            <w:tcW w:w="184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DOI":"10.2307/30036540","ISSN":"0276-7783","author":[{"dropping-particle":"","family":"Venkatesh","given":"Viswanath","non-dropping-particle":"","parse-names":false,"suffix":""},{"dropping-particle":"","family":"Morris","given":"Michael G","non-dropping-particle":"","parse-names":false,"suffix":""},{"dropping-particle":"","family":"Davis","given":"Gordon B","non-dropping-particle":"","parse-names":false,"suffix":""},{"dropping-particle":"","family":"Davis","given":"Fred D","non-dropping-particle":"","parse-names":false,"suffix":""}],"container-title":"MIS quarterly","id":"ITEM-1","issue":"3","issued":{"date-parts":[["2003"]]},"page":"425-478","publisher":"JSTOR","title":"User acceptance of information technology: Toward a unified view","type":"article-journal","volume":"27"},"uris":["http://www.mendeley.com/documents/?uuid=fe46d729-fea8-37e4-a5b2-a55dd71d4fcc"]},{"id":"ITEM-2","itemData":{"ISSN":"0276-7783","author":[{"dropping-particle":"","family":"Venkatesh","given":"Viswanath","non-dropping-particle":"","parse-names":false,"suffix":""},{"dropping-particle":"","family":"Thong","given":"James Y L","non-dropping-particle":"","parse-names":false,"suffix":""},{"dropping-particle":"","family":"Xu","given":"Xin","non-dropping-particle":"","parse-names":false,"suffix":""}],"container-title":"MIS quarterly","id":"ITEM-2","issued":{"date-parts":[["2012"]]},"page":"157-178","publisher":"JSTOR","title":"Consumer acceptance and use of information technology: extending the unified theory of acceptance and use of technology","type":"article-journal"},"uris":["http://www.mendeley.com/documents/?uuid=29c44829-0f14-319c-bee3-07be912a948c"]}],"mendeley":{"formattedCitation":"(Venkatesh et al., 2003, 2012)","manualFormatting":"Venkatesh et al. (2003, 2012)","plainTextFormattedCitation":"(Venkatesh et al., 2003, 2012)","previouslyFormattedCitation":"(Venkatesh et al., 2003, 2012)"},"properties":{"noteIndex":0},"schema":"https://github.com/citation-style-language/schema/raw/master/csl-citation.json"}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Venkatesh et al. (</w:t>
            </w:r>
            <w:r w:rsidRPr="00A853E0">
              <w:rPr>
                <w:rFonts w:ascii="Arial Narrow" w:hAnsi="Arial Narrow" w:cs="Calibri"/>
                <w:noProof/>
                <w:sz w:val="20"/>
                <w:szCs w:val="20"/>
              </w:rPr>
              <w:t>2003, 2012)</w:t>
            </w:r>
            <w:r>
              <w:rPr>
                <w:rFonts w:ascii="Arial Narrow" w:hAnsi="Arial Narrow" w:cs="Calibri"/>
                <w:sz w:val="20"/>
                <w:szCs w:val="20"/>
              </w:rPr>
              <w:fldChar w:fldCharType="end"/>
            </w:r>
          </w:p>
        </w:tc>
        <w:tc>
          <w:tcPr>
            <w:tcW w:w="510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High predictive power in workplace contexts; integrates organizational and social drivers; widely applied across enterprise systems.</w:t>
            </w:r>
          </w:p>
        </w:tc>
        <w:tc>
          <w:tcPr>
            <w:tcW w:w="4677"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Predictive focus limits its ability to capture emergent reinterpretations and evolving trust in generative outputs.</w:t>
            </w:r>
          </w:p>
        </w:tc>
      </w:tr>
      <w:tr w:rsidR="00B75B6B" w:rsidRPr="00E81F9C" w:rsidTr="00186D1F">
        <w:trPr>
          <w:trHeight w:val="20"/>
        </w:trPr>
        <w:tc>
          <w:tcPr>
            <w:tcW w:w="1980" w:type="dxa"/>
            <w:tcBorders>
              <w:top w:val="nil"/>
              <w:left w:val="single" w:sz="4" w:space="0" w:color="auto"/>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Cs/>
                <w:sz w:val="20"/>
                <w:szCs w:val="20"/>
              </w:rPr>
            </w:pPr>
            <w:r w:rsidRPr="006175BA">
              <w:rPr>
                <w:rFonts w:ascii="Arial Narrow" w:hAnsi="Arial Narrow" w:cs="Calibri"/>
                <w:bCs/>
                <w:sz w:val="20"/>
                <w:szCs w:val="20"/>
              </w:rPr>
              <w:t>Innovation Diffusion Theory (IDT)</w:t>
            </w:r>
          </w:p>
        </w:tc>
        <w:tc>
          <w:tcPr>
            <w:tcW w:w="184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 </w:t>
            </w: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{"citationItems":[{"id":"ITEM-1","itemData":{"DOI":"10.4018/978-1-4666-8156-9.CH016","ISBN":"9781466681576","abstract":"This chapter presents an overview of a key overarching theory of adoption of innovations, Rogers' Diffusion of Innovations Theory. A complex yet coherent set of concepts and models comprise the overall theory, which is summarized by the definition established by Rogers (2003): \"the process by which (1) an innovation (2) is communicated through certain channels (3) over time (4) among the members of a social system\" (p. 11, emphasis in the original). First, a brief background on Everett Rogers is provided, then a history of the development of the theory basis is presented. Next, the four core components of the theory, as well as the strengths and limitations of the theory are discussed. Finally, the relation between the diffusion of innovations theory and other technology adoption theories, specifically TAM and UTAUT are briefly described, with areas for possible further expansion identified.","author":[{"dropping-particle":"","family":"Miller","given":"Rebecca L.","non-dropping-particle":"","parse-names":false,"suffix":""}],"container-title":"Information Seeking Behavior and Technology Adoption: Theories and Trends","id":"ITEM-1","issued":{"date-parts":[["2015","1","1"]]},"number-of-pages":"261-274","publisher":"IGI Global Scientific Publishing","title":"Rogers' Innovation Diffusion Theory (1962, 1995)","type":"book"},"uris":["http://www.mendeley.com/documents/?uuid=a9b45d27-28c6-38e0-8a05-80f6592e1c57"]}],"mendeley":{"formattedCitation":"(Miller, 2015)","manualFormatting":"Miller (2015)","plainTextFormattedCitation":"(Miller, 2015)","previouslyFormattedCitation":"(Miller, 2015)"},"properties":{"noteIndex":0},"schema":"https://github.com/citation-style-language/schema/raw/master/csl-citation.json"}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Miller (</w:t>
            </w:r>
            <w:r w:rsidRPr="00A853E0">
              <w:rPr>
                <w:rFonts w:ascii="Arial Narrow" w:hAnsi="Arial Narrow" w:cs="Calibri"/>
                <w:noProof/>
                <w:sz w:val="20"/>
                <w:szCs w:val="20"/>
              </w:rPr>
              <w:t>2015)</w:t>
            </w:r>
            <w:r>
              <w:rPr>
                <w:rFonts w:ascii="Arial Narrow" w:hAnsi="Arial Narrow" w:cs="Calibri"/>
                <w:sz w:val="20"/>
                <w:szCs w:val="20"/>
              </w:rPr>
              <w:fldChar w:fldCharType="end"/>
            </w:r>
          </w:p>
        </w:tc>
        <w:tc>
          <w:tcPr>
            <w:tcW w:w="510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Explains diffusion attributes across adopters; identifies conditions accelerating organizational adoption.</w:t>
            </w:r>
          </w:p>
        </w:tc>
        <w:tc>
          <w:tcPr>
            <w:tcW w:w="4677"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Attribute/stage-based view overlooks continuous co-construction, ethical vigilance, and socio-emotional aspects of GenAI adoption.</w:t>
            </w:r>
          </w:p>
        </w:tc>
      </w:tr>
      <w:tr w:rsidR="00B75B6B" w:rsidRPr="00E81F9C" w:rsidTr="00186D1F">
        <w:trPr>
          <w:trHeight w:val="20"/>
        </w:trPr>
        <w:tc>
          <w:tcPr>
            <w:tcW w:w="1980" w:type="dxa"/>
            <w:tcBorders>
              <w:top w:val="nil"/>
              <w:left w:val="single" w:sz="4" w:space="0" w:color="auto"/>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Cs/>
                <w:sz w:val="20"/>
                <w:szCs w:val="20"/>
              </w:rPr>
            </w:pPr>
            <w:r w:rsidRPr="006175BA">
              <w:rPr>
                <w:rFonts w:ascii="Arial Narrow" w:hAnsi="Arial Narrow" w:cs="Calibri"/>
                <w:bCs/>
                <w:sz w:val="20"/>
                <w:szCs w:val="20"/>
              </w:rPr>
              <w:t>TTF</w:t>
            </w:r>
          </w:p>
        </w:tc>
        <w:tc>
          <w:tcPr>
            <w:tcW w:w="184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{"citationItems":[{"id":"ITEM-1","itemData":{"DOI":"10.2307/249689","ISSN":"02767783","abstract":"A key concern in Information Systems (IS) research has been to better understand the linkage between information systems and individual performance. The research reported in this study has two primary objectives: (1) to propose a comprehensive theoretical model that incorporates valuable insights from two comple mentary streams of research, and (2) to empirically test the core of the model. At the heart of the new model is the assertion that for an information technology to have a positive impact on individual performance, the technology: (1) must be utilized and (2) must be a good fit with the tasks it supports. This new model is moderately supported by an analysis of data from over 600 individuals in two companies. This research highlights the importance of the fit between technologies and users' tasks in achieving individual performance impacts from information technology. It also suggests that task-technology fit, when decomposed into its more detailed components, could be the basis for a strong diagnostic tool to evaluate whether information systems and services in a given organization are meeting user needs.","author":[{"dropping-particle":"","family":"Goodhue","given":"Dale L.","non-dropping-particle":"","parse-names":false,"suffix":""},{"dropping-particle":"","family":"Thompson","given":"Ronald L.","non-dropping-particle":"","parse-names":false,"suffix":""}],"container-title":"MIS Quarterly: Management Information Systems","id":"ITEM-1","issue":"2","issued":{"date-parts":[["1995"]]},"page":"213-233","publisher":"Management Information Systems Research Center","title":"Task-technology fit and individual performance","type":"article-journal","volume":"19"},"uris":["http://www.mendeley.com/documents/?uuid=76ab2c98-dd33-3be6-beb6-fd7d65aa0ebc"]}],"mendeley":{"formattedCitation":"(Goodhue &amp; Thompson, 1995)","manualFormatting":"Goodhue &amp; Thompson (1995)","plainTextFormattedCitation":"(Goodhue &amp; Thompson, 1995)","previouslyFormattedCitation":"(Goodhue &amp; Thompson, 1995)"},"properties":{"noteIndex":0},"schema":"https://github.com/citation-style-language/schema/raw/master/csl-citation.json"}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Goodhue &amp; Thompson</w:t>
            </w:r>
            <w:r w:rsidRPr="00A853E0">
              <w:rPr>
                <w:rFonts w:ascii="Arial Narrow" w:hAnsi="Arial Narrow" w:cs="Calibri"/>
                <w:noProof/>
                <w:sz w:val="20"/>
                <w:szCs w:val="20"/>
              </w:rPr>
              <w:t xml:space="preserve"> </w:t>
            </w:r>
            <w:r>
              <w:rPr>
                <w:rFonts w:ascii="Arial Narrow" w:hAnsi="Arial Narrow" w:cs="Calibri"/>
                <w:noProof/>
                <w:sz w:val="20"/>
                <w:szCs w:val="20"/>
              </w:rPr>
              <w:t>(</w:t>
            </w:r>
            <w:r w:rsidRPr="00A853E0">
              <w:rPr>
                <w:rFonts w:ascii="Arial Narrow" w:hAnsi="Arial Narrow" w:cs="Calibri"/>
                <w:noProof/>
                <w:sz w:val="20"/>
                <w:szCs w:val="20"/>
              </w:rPr>
              <w:t>1995)</w:t>
            </w:r>
            <w:r>
              <w:rPr>
                <w:rFonts w:ascii="Arial Narrow" w:hAnsi="Arial Narrow" w:cs="Calibri"/>
                <w:sz w:val="20"/>
                <w:szCs w:val="20"/>
              </w:rPr>
              <w:fldChar w:fldCharType="end"/>
            </w:r>
          </w:p>
        </w:tc>
        <w:tc>
          <w:tcPr>
            <w:tcW w:w="510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Shows adoption and performance improve when technology features align with job tasks; useful for enterprise system design.</w:t>
            </w:r>
          </w:p>
        </w:tc>
        <w:tc>
          <w:tcPr>
            <w:tcW w:w="4677"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Overemphasizes functional fit; less useful for emergent affordances, creativity, and iterative revisioning of GenAI outputs.</w:t>
            </w:r>
          </w:p>
        </w:tc>
      </w:tr>
      <w:tr w:rsidR="00B75B6B" w:rsidRPr="00E81F9C" w:rsidTr="00186D1F">
        <w:trPr>
          <w:trHeight w:val="20"/>
        </w:trPr>
        <w:tc>
          <w:tcPr>
            <w:tcW w:w="1980" w:type="dxa"/>
            <w:tcBorders>
              <w:top w:val="nil"/>
              <w:left w:val="single" w:sz="4" w:space="0" w:color="auto"/>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Cs/>
                <w:sz w:val="20"/>
                <w:szCs w:val="20"/>
              </w:rPr>
            </w:pPr>
            <w:r w:rsidRPr="006175BA">
              <w:rPr>
                <w:rFonts w:ascii="Arial Narrow" w:hAnsi="Arial Narrow" w:cs="Calibri"/>
                <w:bCs/>
                <w:sz w:val="20"/>
                <w:szCs w:val="20"/>
              </w:rPr>
              <w:t>ISS Model</w:t>
            </w:r>
          </w:p>
        </w:tc>
        <w:tc>
          <w:tcPr>
            <w:tcW w:w="184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 </w:t>
            </w:r>
            <w:r>
              <w:rPr>
                <w:rFonts w:ascii="Arial Narrow" w:hAnsi="Arial Narrow"/>
                <w:sz w:val="20"/>
                <w:szCs w:val="20"/>
              </w:rPr>
              <w:fldChar w:fldCharType="begin" w:fldLock="1"/>
            </w:r>
            <w:r>
              <w:rPr>
                <w:rFonts w:ascii="Arial Narrow" w:hAnsi="Arial Narrow"/>
                <w:sz w:val="20"/>
                <w:szCs w:val="20"/>
              </w:rPr>
              <w:instrText>ADDIN CSL_CITATION {"citationItems":[{"id":"ITEM-1","itemData":{"DOI":"10.1287/ISRE.3.1.60","ISSN":"15265536","abstract":"A large number of studies have been conducted during the last decade and a half attempting to identify those factors that contribute to information systems success. However, the dependent variable in these studies-I/S success -has been an elusive one to define. Different researchers have addressed different aspects of success, making comparisons difficult and the prospect of building a cumulative tradition for I/S research similarly elusive. To organize this diverse research, as well as to present a more integrated view of the concept of I/S success, a comprehensive taxonomy is introduced. This taxonomy posits six major dimensions or categories of I/S success-SYSTEM QUALITY, INFORMATION QUALITY, USE, USER SATISFACTION, INDIVIDUAL IMPACT, and ORGANIZATIONAL IMPACT. Using these dimensions, both conceptual and empirical studies are then reviewed (a total of 180 articles are cited) and organized according to the dimensions of the taxonomy. Finally, the many aspects of I/S success are drawn together into a descriptive model and its implications for future I/S research are discussed. Copyright © 1992. The Institute of Management Sciences.","author":[{"dropping-particle":"","family":"DeLone","given":"William H.","non-dropping-particle":"","parse-names":false,"suffix":""},{"dropping-particle":"","family":"McLean","given":"Ephraim R.","non-dropping-particle":"","parse-names":false,"suffix":""}],"container-title":"Information Systems Research","id":"ITEM-1","issue":"1","issued":{"date-parts":[["1992","3","1"]]},"page":"60-95","publisher":"INFORMS Inst.for Operations Res.and the Management Sciences","title":"Information systems success: The quest for the dependent variable","type":"article-journal","volume":"3"},"uris":["http://www.mendeley.com/documents/?uuid=c4e7d627-bff4-3d3f-8e2d-c4df74acd5a0"]},{"id":"ITEM-2","itemData":{"DOI":"10.1080/07421222.2003.11045748","ISSN":"07421222","abstract":"Ten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 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success.","author":[{"dropping-particle":"","family":"DeLone","given":"William H.","non-dropping-particle":"","parse-names":false,"suffix":""},{"dropping-particle":"","family":"McLean","given":"Ephraim R.","non-dropping-particle":"","parse-names":false,"suffix":""}],"container-title":"Journal of Management Information Systems","id":"ITEM-2","issue":"4","issued":{"date-parts":[["2003"]]},"page":"9-30","publisher":"M.E. Sharpe Inc.","title":"The DeLone and McLean model of information systems success: A ten-year update","type":"article-journal","volume":"19"},"uris":["http://www.mendeley.com/documents/?uuid=cb6f8ba7-1eb5-376e-9418-79d6ffd5084a"]}],"mendeley":{"formattedCitation":"(DeLone &amp; McLean, 1992, 2003)","manualFormatting":"DeLone &amp; McLean (1992, 2003)","plainTextFormattedCitation":"(DeLone &amp; McLean, 1992, 2003)","previouslyFormattedCitation":"(DeLone &amp; McLean, 1992, 2003)"},"properties":{"noteIndex":0},"schema":"https://github.com/citation-style-language/schema/raw/master/csl-citation.json"}</w:instrText>
            </w:r>
            <w:r>
              <w:rPr>
                <w:rFonts w:ascii="Arial Narrow" w:hAnsi="Arial Narrow"/>
                <w:sz w:val="20"/>
                <w:szCs w:val="20"/>
              </w:rPr>
              <w:fldChar w:fldCharType="separate"/>
            </w:r>
            <w:r>
              <w:rPr>
                <w:rFonts w:ascii="Arial Narrow" w:hAnsi="Arial Narrow"/>
                <w:noProof/>
                <w:sz w:val="20"/>
                <w:szCs w:val="20"/>
              </w:rPr>
              <w:t>DeLone &amp; McLean (</w:t>
            </w:r>
            <w:r w:rsidRPr="00A853E0">
              <w:rPr>
                <w:rFonts w:ascii="Arial Narrow" w:hAnsi="Arial Narrow"/>
                <w:noProof/>
                <w:sz w:val="20"/>
                <w:szCs w:val="20"/>
              </w:rPr>
              <w:t>1992, 2003)</w:t>
            </w:r>
            <w:r>
              <w:rPr>
                <w:rFonts w:ascii="Arial Narrow" w:hAnsi="Arial Narrow"/>
                <w:sz w:val="20"/>
                <w:szCs w:val="20"/>
              </w:rPr>
              <w:fldChar w:fldCharType="end"/>
            </w:r>
          </w:p>
        </w:tc>
        <w:tc>
          <w:tcPr>
            <w:tcW w:w="510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Provides a multidimensional assessment of IS success and user outcomes; connects quality to net workplace benefits.</w:t>
            </w:r>
          </w:p>
        </w:tc>
        <w:tc>
          <w:tcPr>
            <w:tcW w:w="4677"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Outcome-centric; neglects interpretive, iterative, and affective processes underlying GenAI sensemaking.</w:t>
            </w:r>
          </w:p>
        </w:tc>
      </w:tr>
      <w:tr w:rsidR="00B75B6B" w:rsidRPr="00E81F9C" w:rsidTr="00186D1F">
        <w:trPr>
          <w:trHeight w:val="20"/>
        </w:trPr>
        <w:tc>
          <w:tcPr>
            <w:tcW w:w="1980" w:type="dxa"/>
            <w:tcBorders>
              <w:top w:val="nil"/>
              <w:left w:val="single" w:sz="4" w:space="0" w:color="auto"/>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Cs/>
                <w:sz w:val="20"/>
                <w:szCs w:val="20"/>
              </w:rPr>
            </w:pPr>
            <w:r w:rsidRPr="006175BA">
              <w:rPr>
                <w:rFonts w:ascii="Arial Narrow" w:hAnsi="Arial Narrow" w:cs="Calibri"/>
                <w:bCs/>
                <w:sz w:val="20"/>
                <w:szCs w:val="20"/>
              </w:rPr>
              <w:t>AST</w:t>
            </w:r>
          </w:p>
        </w:tc>
        <w:tc>
          <w:tcPr>
            <w:tcW w:w="184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{"citationItems":[{"id":"ITEM-1","itemData":{"DOI":"10.1287/ORSC.5.2.121","ISSN":"1047-7039","abstract":"The past decade has brought advanced information technologies, which include electronic messaging systems, executive information systems, collaborative systems, group decision support systems, and ...","author":[{"dropping-particle":"","family":"DeSanctis","given":"Gerardine","non-dropping-particle":"","parse-names":false,"suffix":""},{"dropping-particle":"","family":"Poole","given":"Marshall Scott","non-dropping-particle":"","parse-names":false,"suffix":""}],"container-title":"Organization Science","id":"ITEM-1","issue":"2","issued":{"date-parts":[["1994","5","1"]]},"page":"121-147","publisher":" INFORMS ","title":"Capturing the Complexity in Advanced Technology Use: Adaptive Structuration Theory","type":"article-journal","volume":"5"},"uris":["http://www.mendeley.com/documents/?uuid=6a07bbb2-4d02-3d60-9110-16b98ecca3a9"]}],"mendeley":{"formattedCitation":"(DeSanctis &amp; Poole, 1994)","manualFormatting":"DeSanctis &amp; Poole (1994)","plainTextFormattedCitation":"(DeSanctis &amp; Poole, 1994)","previouslyFormattedCitation":"(DeSanctis &amp; Poole, 1994)"},"properties":{"noteIndex":0},"schema":"https://github.com/citation-style-language/schema/raw/master/csl-citation.json"}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DeSanctis &amp; Poole (</w:t>
            </w:r>
            <w:r w:rsidRPr="00A853E0">
              <w:rPr>
                <w:rFonts w:ascii="Arial Narrow" w:hAnsi="Arial Narrow" w:cs="Calibri"/>
                <w:noProof/>
                <w:sz w:val="20"/>
                <w:szCs w:val="20"/>
              </w:rPr>
              <w:t>1994)</w:t>
            </w:r>
            <w:r>
              <w:rPr>
                <w:rFonts w:ascii="Arial Narrow" w:hAnsi="Arial Narrow" w:cs="Calibri"/>
                <w:sz w:val="20"/>
                <w:szCs w:val="20"/>
              </w:rPr>
              <w:fldChar w:fldCharType="end"/>
            </w:r>
          </w:p>
        </w:tc>
        <w:tc>
          <w:tcPr>
            <w:tcW w:w="510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Explains how appropriation and social context shape technology outcomes; highlights emergent patterns in organizational settings.</w:t>
            </w:r>
          </w:p>
        </w:tc>
        <w:tc>
          <w:tcPr>
            <w:tcW w:w="4677"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Strong on social embedding, weaker on cognitive/ethical mindfulness, critical for GenAI interactions.</w:t>
            </w:r>
          </w:p>
        </w:tc>
      </w:tr>
      <w:tr w:rsidR="00B75B6B" w:rsidRPr="00E81F9C" w:rsidTr="00186D1F">
        <w:trPr>
          <w:trHeight w:val="20"/>
        </w:trPr>
        <w:tc>
          <w:tcPr>
            <w:tcW w:w="1980" w:type="dxa"/>
            <w:tcBorders>
              <w:top w:val="nil"/>
              <w:left w:val="single" w:sz="4" w:space="0" w:color="auto"/>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Cs/>
                <w:sz w:val="20"/>
                <w:szCs w:val="20"/>
              </w:rPr>
            </w:pPr>
            <w:r w:rsidRPr="006175BA">
              <w:rPr>
                <w:rFonts w:ascii="Arial Narrow" w:hAnsi="Arial Narrow" w:cs="Calibri"/>
                <w:bCs/>
                <w:sz w:val="20"/>
                <w:szCs w:val="20"/>
              </w:rPr>
              <w:t>Social Cognitive Theory (SCT)</w:t>
            </w:r>
          </w:p>
        </w:tc>
        <w:tc>
          <w:tcPr>
            <w:tcW w:w="184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{"citationItems":[{"id":"ITEM-1","itemData":{"author":[{"dropping-particle":"","family":"Bandura","given":"Albert","non-dropping-particle":"","parse-names":false,"suffix":""}],"container-title":"Englewood Cliffs, NJ","id":"ITEM-1","issue":"23-28","issued":{"date-parts":[["1986"]]},"title":"Social foundations of thought and action","type":"article-journal","volume":"1986"},"uris":["http://www.mendeley.com/documents/?uuid=89c671c4-a59d-33db-a2e4-316be0d01a43"]},{"id":"ITEM-2","itemData":{"ISSN":"0066-4308","author":[{"dropping-particle":"","family":"Bandura","given":"Albert","non-dropping-particle":"","parse-names":false,"suffix":""}],"container-title":"Annual review of psychology","id":"ITEM-2","issue":"1","issued":{"date-parts":[["2001"]]},"page":"1-26","publisher":"Annual Reviews 4139 El Camino Way, PO Box 10139, Palo Alto, CA 94303-0139, USA","title":"Social cognitive theory: An agentic perspective","type":"article-journal","volume":"52"},"uris":["http://www.mendeley.com/documents/?uuid=e851138a-8edd-3fd0-afe0-29a6b6b782c5"]},{"id":"ITEM-3","itemData":{"ISSN":"0363-7425","author":[{"dropping-particle":"","family":"Wood","given":"Robert","non-dropping-particle":"","parse-names":false,"suffix":""},{"dropping-particle":"","family":"Bandura","given":"Albert","non-dropping-particle":"","parse-names":false,"suffix":""}],"container-title":"Academy of management Review","id":"ITEM-3","issue":"3","issued":{"date-parts":[["1989"]]},"page":"361-384","publisher":"Academy of Management Briarcliff Manor, NY 10510","title":"Social cognitive theory of organizational management","type":"article-journal","volume":"14"},"uris":["http://www.mendeley.com/documents/?uuid=f3dfe4fb-35af-3aa2-8bcc-9af740c6ea6c"]}],"mendeley":{"formattedCitation":"(Bandura, 1986, 2001; Wood &amp; Bandura, 1989)","manualFormatting":"Bandura (1986, 2001); Wood &amp; Bandura (1989)","plainTextFormattedCitation":"(Bandura, 1986, 2001; Wood &amp; Bandura, 1989)","previouslyFormattedCitation":"(Bandura, 1986, 2001; Wood &amp; Bandura, 1989)"},"properties":{"noteIndex":0},"schema":"https://github.com/citation-style-language/schema/raw/master/csl-citation.json"}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Bandura</w:t>
            </w:r>
            <w:r w:rsidRPr="00A853E0">
              <w:rPr>
                <w:rFonts w:ascii="Arial Narrow" w:hAnsi="Arial Narrow" w:cs="Calibri"/>
                <w:noProof/>
                <w:sz w:val="20"/>
                <w:szCs w:val="20"/>
              </w:rPr>
              <w:t xml:space="preserve"> </w:t>
            </w:r>
            <w:r>
              <w:rPr>
                <w:rFonts w:ascii="Arial Narrow" w:hAnsi="Arial Narrow" w:cs="Calibri"/>
                <w:noProof/>
                <w:sz w:val="20"/>
                <w:szCs w:val="20"/>
              </w:rPr>
              <w:t>(</w:t>
            </w:r>
            <w:r w:rsidRPr="00A853E0">
              <w:rPr>
                <w:rFonts w:ascii="Arial Narrow" w:hAnsi="Arial Narrow" w:cs="Calibri"/>
                <w:noProof/>
                <w:sz w:val="20"/>
                <w:szCs w:val="20"/>
              </w:rPr>
              <w:t>1986, 2001</w:t>
            </w:r>
            <w:r>
              <w:rPr>
                <w:rFonts w:ascii="Arial Narrow" w:hAnsi="Arial Narrow" w:cs="Calibri"/>
                <w:noProof/>
                <w:sz w:val="20"/>
                <w:szCs w:val="20"/>
              </w:rPr>
              <w:t>); Wood &amp; Bandura (</w:t>
            </w:r>
            <w:r w:rsidRPr="00A853E0">
              <w:rPr>
                <w:rFonts w:ascii="Arial Narrow" w:hAnsi="Arial Narrow" w:cs="Calibri"/>
                <w:noProof/>
                <w:sz w:val="20"/>
                <w:szCs w:val="20"/>
              </w:rPr>
              <w:t>1989)</w:t>
            </w:r>
            <w:r>
              <w:rPr>
                <w:rFonts w:ascii="Arial Narrow" w:hAnsi="Arial Narrow" w:cs="Calibri"/>
                <w:sz w:val="20"/>
                <w:szCs w:val="20"/>
              </w:rPr>
              <w:fldChar w:fldCharType="end"/>
            </w:r>
          </w:p>
        </w:tc>
        <w:tc>
          <w:tcPr>
            <w:tcW w:w="510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Demonstrates how learning, efficacy, and social modeling drive workplace adoption and skill development.</w:t>
            </w:r>
          </w:p>
        </w:tc>
        <w:tc>
          <w:tcPr>
            <w:tcW w:w="4677"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Focuses on individual learning; underplays communal sensegiving, ethical scrutiny, and unpredictability of GenAI.</w:t>
            </w:r>
          </w:p>
        </w:tc>
      </w:tr>
      <w:tr w:rsidR="00B75B6B" w:rsidRPr="00E81F9C" w:rsidTr="00186D1F">
        <w:trPr>
          <w:trHeight w:val="20"/>
        </w:trPr>
        <w:tc>
          <w:tcPr>
            <w:tcW w:w="1980" w:type="dxa"/>
            <w:tcBorders>
              <w:top w:val="nil"/>
              <w:left w:val="single" w:sz="4" w:space="0" w:color="auto"/>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Cs/>
                <w:sz w:val="20"/>
                <w:szCs w:val="20"/>
              </w:rPr>
            </w:pPr>
            <w:r w:rsidRPr="006175BA">
              <w:rPr>
                <w:rFonts w:ascii="Arial Narrow" w:hAnsi="Arial Narrow" w:cs="Calibri"/>
                <w:bCs/>
                <w:sz w:val="20"/>
                <w:szCs w:val="20"/>
              </w:rPr>
              <w:t>Expectation-Confirmation Model (ECM)</w:t>
            </w:r>
          </w:p>
        </w:tc>
        <w:tc>
          <w:tcPr>
            <w:tcW w:w="184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 </w:t>
            </w: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{"citationItems":[{"id":"ITEM-1","itemData":{"ISSN":"0022-2437","author":[{"dropping-particle":"","family":"Oliver","given":"Richard L","non-dropping-particle":"","parse-names":false,"suffix":""}],"container-title":"Journal of marketing research","id":"ITEM-1","issue":"4","issued":{"date-parts":[["1980"]]},"page":"460-469","publisher":"SAGE Publications Sage CA: Los Angeles, CA","title":"A cognitive model of the antecedents and consequences of satisfaction decisions","type":"article-journal","volume":"17"},"uris":["http://www.mendeley.com/documents/?uuid=0924b5a4-c610-34a5-aa95-1cd0c17728cf"]}],"mendeley":{"formattedCitation":"(Oliver, 1980)","manualFormatting":"Oliver (1980)","plainTextFormattedCitation":"(Oliver, 1980)","previouslyFormattedCitation":"(Oliver, 1980)"},"properties":{"noteIndex":0},"schema":"https://github.com/citation-style-language/schema/raw/master/csl-citation.json"}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Oliver</w:t>
            </w:r>
            <w:r w:rsidRPr="00A853E0">
              <w:rPr>
                <w:rFonts w:ascii="Arial Narrow" w:hAnsi="Arial Narrow" w:cs="Calibri"/>
                <w:noProof/>
                <w:sz w:val="20"/>
                <w:szCs w:val="20"/>
              </w:rPr>
              <w:t xml:space="preserve"> </w:t>
            </w:r>
            <w:r>
              <w:rPr>
                <w:rFonts w:ascii="Arial Narrow" w:hAnsi="Arial Narrow" w:cs="Calibri"/>
                <w:noProof/>
                <w:sz w:val="20"/>
                <w:szCs w:val="20"/>
              </w:rPr>
              <w:t>(</w:t>
            </w:r>
            <w:r w:rsidRPr="00A853E0">
              <w:rPr>
                <w:rFonts w:ascii="Arial Narrow" w:hAnsi="Arial Narrow" w:cs="Calibri"/>
                <w:noProof/>
                <w:sz w:val="20"/>
                <w:szCs w:val="20"/>
              </w:rPr>
              <w:t>1980)</w:t>
            </w:r>
            <w:r>
              <w:rPr>
                <w:rFonts w:ascii="Arial Narrow" w:hAnsi="Arial Narrow" w:cs="Calibri"/>
                <w:sz w:val="20"/>
                <w:szCs w:val="20"/>
              </w:rPr>
              <w:fldChar w:fldCharType="end"/>
            </w:r>
          </w:p>
        </w:tc>
        <w:tc>
          <w:tcPr>
            <w:tcW w:w="510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Explains post-adoption satisfaction and continuance; applied to workplace IS continuance behavior.</w:t>
            </w:r>
          </w:p>
        </w:tc>
        <w:tc>
          <w:tcPr>
            <w:tcW w:w="4677"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Assumes static expectations; GenAI adoption involves ongoing revisioning and contextual adaptation.</w:t>
            </w:r>
          </w:p>
        </w:tc>
      </w:tr>
      <w:tr w:rsidR="00B75B6B" w:rsidRPr="00E81F9C" w:rsidTr="00186D1F">
        <w:trPr>
          <w:trHeight w:val="20"/>
        </w:trPr>
        <w:tc>
          <w:tcPr>
            <w:tcW w:w="1980" w:type="dxa"/>
            <w:tcBorders>
              <w:top w:val="nil"/>
              <w:left w:val="single" w:sz="4" w:space="0" w:color="auto"/>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Cs/>
                <w:sz w:val="20"/>
                <w:szCs w:val="20"/>
              </w:rPr>
            </w:pPr>
            <w:r w:rsidRPr="006175BA">
              <w:rPr>
                <w:rFonts w:ascii="Arial Narrow" w:hAnsi="Arial Narrow" w:cs="Calibri"/>
                <w:bCs/>
                <w:sz w:val="20"/>
                <w:szCs w:val="20"/>
              </w:rPr>
              <w:t>Information Systems Continuance Theory (ISCT)</w:t>
            </w:r>
          </w:p>
        </w:tc>
        <w:tc>
          <w:tcPr>
            <w:tcW w:w="184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 </w:t>
            </w: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{"citationItems":[{"id":"ITEM-1","itemData":{"DOI":"10.1080/08874417.2012.11645571","ISSN":"2380-2057","abstract":"This study examines the role of continuous trust (i.e., trust which develops over time as a result of continuing interactions) in determining a user's continuing intention to use Internet banking services. This study stands in contrast to the large majority of research concerning trust and IT adoption, in that it focuses on continuous trust (as opposed to initial trust) and on a user's continuing intention to use an information system as opposed to the initial adoption decision. Data were gathered from 210 Internet banking users in New Zealand. Continuous trust is shown to be a significant contributor to ongoing intention to use Internet banking.","author":[{"dropping-particle":"","family":"Hoehle","given":"Hartmut","non-dropping-particle":"","parse-names":false,"suffix":""},{"dropping-particle":"","family":"Huff","given":"Sid","non-dropping-particle":"","parse-names":false,"suffix":""},{"dropping-particle":"","family":"Goode","given":"Sigi","non-dropping-particle":"","parse-names":false,"suffix":""}],"container-title":"Journal of Computer Information Systems","id":"ITEM-1","issue":"4","issued":{"date-parts":[["2015"]]},"page":"1-9","title":"The Role of Continuous Trust in Information Systems Continuance","type":"article-journal","volume":"52"},"uris":["http://www.mendeley.com/documents/?uuid=da4be1d6-87f1-380a-816f-e5e79cf1d67d"]}],"mendeley":{"formattedCitation":"(Hoehle et al., 2015)","manualFormatting":"Hoehle et al. (2015)","plainTextFormattedCitation":"(Hoehle et al., 2015)","previouslyFormattedCitation":"(Hoehle et al., 2015)"},"properties":{"noteIndex":0},"schema":"https://github.com/citation-style-language/schema/raw/master/csl-citation.json"}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Hoehle et al.</w:t>
            </w:r>
            <w:r w:rsidRPr="00A853E0">
              <w:rPr>
                <w:rFonts w:ascii="Arial Narrow" w:hAnsi="Arial Narrow" w:cs="Calibri"/>
                <w:noProof/>
                <w:sz w:val="20"/>
                <w:szCs w:val="20"/>
              </w:rPr>
              <w:t xml:space="preserve"> </w:t>
            </w:r>
            <w:r>
              <w:rPr>
                <w:rFonts w:ascii="Arial Narrow" w:hAnsi="Arial Narrow" w:cs="Calibri"/>
                <w:noProof/>
                <w:sz w:val="20"/>
                <w:szCs w:val="20"/>
              </w:rPr>
              <w:t>(</w:t>
            </w:r>
            <w:r w:rsidRPr="00A853E0">
              <w:rPr>
                <w:rFonts w:ascii="Arial Narrow" w:hAnsi="Arial Narrow" w:cs="Calibri"/>
                <w:noProof/>
                <w:sz w:val="20"/>
                <w:szCs w:val="20"/>
              </w:rPr>
              <w:t>2015)</w:t>
            </w:r>
            <w:r>
              <w:rPr>
                <w:rFonts w:ascii="Arial Narrow" w:hAnsi="Arial Narrow" w:cs="Calibri"/>
                <w:sz w:val="20"/>
                <w:szCs w:val="20"/>
              </w:rPr>
              <w:fldChar w:fldCharType="end"/>
            </w:r>
          </w:p>
        </w:tc>
        <w:tc>
          <w:tcPr>
            <w:tcW w:w="510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Extends ECM to explain long-term use and user retention in enterprise contexts.</w:t>
            </w:r>
          </w:p>
        </w:tc>
        <w:tc>
          <w:tcPr>
            <w:tcW w:w="4677"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Overlooks iterative reinterpretation, affective attachment, and ethical vigilance central to GenAI use.</w:t>
            </w:r>
          </w:p>
        </w:tc>
      </w:tr>
      <w:tr w:rsidR="00B75B6B" w:rsidRPr="00E81F9C" w:rsidTr="00186D1F">
        <w:trPr>
          <w:trHeight w:val="20"/>
        </w:trPr>
        <w:tc>
          <w:tcPr>
            <w:tcW w:w="1980" w:type="dxa"/>
            <w:tcBorders>
              <w:top w:val="nil"/>
              <w:left w:val="single" w:sz="4" w:space="0" w:color="auto"/>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Cs/>
                <w:sz w:val="20"/>
                <w:szCs w:val="20"/>
              </w:rPr>
            </w:pPr>
            <w:r w:rsidRPr="006175BA">
              <w:rPr>
                <w:rFonts w:ascii="Arial Narrow" w:hAnsi="Arial Narrow" w:cs="Calibri"/>
                <w:bCs/>
                <w:sz w:val="20"/>
                <w:szCs w:val="20"/>
              </w:rPr>
              <w:t>Technology-Organization-Environment (TOE)</w:t>
            </w:r>
          </w:p>
        </w:tc>
        <w:tc>
          <w:tcPr>
            <w:tcW w:w="184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{"citationItems":[{"id":"ITEM-1","itemData":{"ISBN":"9780669203486","author":[{"dropping-particle":"","family":"Tornatzky","given":"Louis G.","non-dropping-particle":"","parse-names":false,"suffix":""},{"dropping-particle":"","family":"Fleischer","given":"Mitchell","non-dropping-particle":"","parse-names":false,"suffix":""},{"dropping-particle":"","family":"Chakrabarti","given":"Alok K.","non-dropping-particle":"","parse-names":false,"suffix":""}],"container-title":"(No Title)","id":"ITEM-1","issued":{"date-parts":[["1990"]]},"title":"The processes of technological innovation","type":"book"},"uris":["http://www.mendeley.com/documents/?uuid=6292e3cd-45fa-3326-b241-f4cd03078c5b"]}],"mendeley":{"formattedCitation":"(Tornatzky et al., 1990)","manualFormatting":"Tornatzky et al.(1990)","plainTextFormattedCitation":"(Tornatzky et al., 1990)","previouslyFormattedCitation":"(Tornatzky et al., 1990)"},"properties":{"noteIndex":0},"schema":"https://github.com/citation-style-language/schema/raw/master/csl-citation.json"}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Tornatzky et al.(</w:t>
            </w:r>
            <w:r w:rsidRPr="00A853E0">
              <w:rPr>
                <w:rFonts w:ascii="Arial Narrow" w:hAnsi="Arial Narrow" w:cs="Calibri"/>
                <w:noProof/>
                <w:sz w:val="20"/>
                <w:szCs w:val="20"/>
              </w:rPr>
              <w:t>1990)</w:t>
            </w:r>
            <w:r>
              <w:rPr>
                <w:rFonts w:ascii="Arial Narrow" w:hAnsi="Arial Narrow" w:cs="Calibri"/>
                <w:sz w:val="20"/>
                <w:szCs w:val="20"/>
              </w:rPr>
              <w:fldChar w:fldCharType="end"/>
            </w:r>
          </w:p>
        </w:tc>
        <w:tc>
          <w:tcPr>
            <w:tcW w:w="510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Explains organizational readiness and adoption decisions; useful for policy, governance, and strategic IS implementation.</w:t>
            </w:r>
          </w:p>
        </w:tc>
        <w:tc>
          <w:tcPr>
            <w:tcW w:w="4677"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Macro-level lens misses micro-level cognitive, emotional, and ethical dynamics of GenAI adoption.</w:t>
            </w:r>
          </w:p>
        </w:tc>
      </w:tr>
      <w:tr w:rsidR="00B75B6B" w:rsidRPr="00E81F9C" w:rsidTr="00186D1F">
        <w:trPr>
          <w:trHeight w:val="20"/>
        </w:trPr>
        <w:tc>
          <w:tcPr>
            <w:tcW w:w="1980" w:type="dxa"/>
            <w:tcBorders>
              <w:top w:val="nil"/>
              <w:left w:val="single" w:sz="4" w:space="0" w:color="auto"/>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Cs/>
                <w:sz w:val="20"/>
                <w:szCs w:val="20"/>
              </w:rPr>
            </w:pPr>
            <w:r w:rsidRPr="006175BA">
              <w:rPr>
                <w:rFonts w:ascii="Arial Narrow" w:hAnsi="Arial Narrow" w:cs="Calibri"/>
                <w:bCs/>
                <w:sz w:val="20"/>
                <w:szCs w:val="20"/>
              </w:rPr>
              <w:t>Technology Affordance Theory</w:t>
            </w:r>
          </w:p>
        </w:tc>
        <w:tc>
          <w:tcPr>
            <w:tcW w:w="184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Pr>
                <w:rFonts w:ascii="Arial Narrow" w:hAnsi="Arial Narrow" w:cs="Calibri"/>
                <w:sz w:val="20"/>
                <w:szCs w:val="20"/>
              </w:rPr>
              <w:fldChar w:fldCharType="begin" w:fldLock="1"/>
            </w:r>
            <w:r>
              <w:rPr>
                <w:rFonts w:ascii="Arial Narrow" w:hAnsi="Arial Narrow" w:cs="Calibri"/>
                <w:sz w:val="20"/>
                <w:szCs w:val="20"/>
              </w:rPr>
              <w:instrText>ADDIN CSL_CITATION {"citationItems":[{"id":"ITEM-1","itemData":{"DOI":"10.4324/9781032690483-16","ISBN":"9781032690483","abstract":"In this chapter, we provide an overview of affordance theory and provide guidance to IS researchers on how to use it properly and productively in their research. We start by examining the core features of Gibson’s original theory and considering some of the challenges we encounter when translating it from ecological psychology to IS. We then distill these observations into six principles for appropriately applying an affordance lens for IS research, after which we discuss three unresolved issues and our views on how these might be addressed. The chapter then comments on the critical realist underpinnings of affordance theory and how researchers who are not critical realists might utilize an affordance lens nonetheless. It concludes by identifying research opportunities enabled by the application of an affordance lens and the observation that by finally having a tool that allows us to include the IT artifact appropriately, our theories become of real value to practitioners.","author":[{"dropping-particle":"","family":"Strong","given":"Diane M.","non-dropping-particle":"","parse-names":false,"suffix":""},{"dropping-particle":"","family":"Treku","given":"Daniel N.","non-dropping-particle":"","parse-names":false,"suffix":""},{"dropping-particle":"","family":"Volkoff","given":"Olga","non-dropping-particle":"","parse-names":false,"suffix":""}],"container-title":"The Routledge Companion to Management Information Systems","id":"ITEM-1","issued":{"date-parts":[["2025","6","2"]]},"page":"164-178","publisher":"Routledge","title":"Affordance Theory and How to Use It in IS Research (Revised)","type":"article-journal"},"uris":["http://www.mendeley.com/documents/?uuid=b0bfa474-060a-3afd-99f7-c4c9d5736568"]}],"mendeley":{"formattedCitation":"(Strong et al., 2025)","manualFormatting":"Strong et al. (2025)","plainTextFormattedCitation":"(Strong et al., 2025)","previouslyFormattedCitation":"(Strong et al., 2025)"},"properties":{"noteIndex":0},"schema":"https://github.com/citation-style-language/schema/raw/master/csl-citation.json"}</w:instrText>
            </w:r>
            <w:r>
              <w:rPr>
                <w:rFonts w:ascii="Arial Narrow" w:hAnsi="Arial Narrow" w:cs="Calibri"/>
                <w:sz w:val="20"/>
                <w:szCs w:val="20"/>
              </w:rPr>
              <w:fldChar w:fldCharType="separate"/>
            </w:r>
            <w:r>
              <w:rPr>
                <w:rFonts w:ascii="Arial Narrow" w:hAnsi="Arial Narrow" w:cs="Calibri"/>
                <w:noProof/>
                <w:sz w:val="20"/>
                <w:szCs w:val="20"/>
              </w:rPr>
              <w:t>Strong et al.</w:t>
            </w:r>
            <w:r w:rsidRPr="00A853E0">
              <w:rPr>
                <w:rFonts w:ascii="Arial Narrow" w:hAnsi="Arial Narrow" w:cs="Calibri"/>
                <w:noProof/>
                <w:sz w:val="20"/>
                <w:szCs w:val="20"/>
              </w:rPr>
              <w:t xml:space="preserve"> </w:t>
            </w:r>
            <w:r>
              <w:rPr>
                <w:rFonts w:ascii="Arial Narrow" w:hAnsi="Arial Narrow" w:cs="Calibri"/>
                <w:noProof/>
                <w:sz w:val="20"/>
                <w:szCs w:val="20"/>
              </w:rPr>
              <w:t>(</w:t>
            </w:r>
            <w:r w:rsidRPr="00A853E0">
              <w:rPr>
                <w:rFonts w:ascii="Arial Narrow" w:hAnsi="Arial Narrow" w:cs="Calibri"/>
                <w:noProof/>
                <w:sz w:val="20"/>
                <w:szCs w:val="20"/>
              </w:rPr>
              <w:t>2025)</w:t>
            </w:r>
            <w:r>
              <w:rPr>
                <w:rFonts w:ascii="Arial Narrow" w:hAnsi="Arial Narrow" w:cs="Calibri"/>
                <w:sz w:val="20"/>
                <w:szCs w:val="20"/>
              </w:rPr>
              <w:fldChar w:fldCharType="end"/>
            </w:r>
          </w:p>
        </w:tc>
        <w:tc>
          <w:tcPr>
            <w:tcW w:w="5103"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Highlights how technology features enable or constrain actions; valuable for design and emergent uses.</w:t>
            </w:r>
          </w:p>
        </w:tc>
        <w:tc>
          <w:tcPr>
            <w:tcW w:w="4677" w:type="dxa"/>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Affordances alone are insufficient to explain socio-cognitive and ethical negotiations around GenAI use.</w:t>
            </w:r>
          </w:p>
        </w:tc>
      </w:tr>
      <w:tr w:rsidR="00B75B6B" w:rsidRPr="00E81F9C" w:rsidTr="00186D1F">
        <w:trPr>
          <w:trHeight w:val="20"/>
        </w:trPr>
        <w:tc>
          <w:tcPr>
            <w:tcW w:w="3823" w:type="dxa"/>
            <w:gridSpan w:val="2"/>
            <w:tcBorders>
              <w:top w:val="nil"/>
              <w:left w:val="single" w:sz="4" w:space="0" w:color="auto"/>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bCs/>
                <w:sz w:val="20"/>
                <w:szCs w:val="20"/>
              </w:rPr>
            </w:pPr>
            <w:r w:rsidRPr="006175BA">
              <w:rPr>
                <w:rFonts w:ascii="Arial Narrow" w:hAnsi="Arial Narrow" w:cs="Calibri"/>
                <w:bCs/>
                <w:sz w:val="20"/>
                <w:szCs w:val="20"/>
              </w:rPr>
              <w:t>This study: Proposed 3E Framework (Envision-Evolve-Engage)</w:t>
            </w:r>
          </w:p>
        </w:tc>
        <w:tc>
          <w:tcPr>
            <w:tcW w:w="9780" w:type="dxa"/>
            <w:gridSpan w:val="2"/>
            <w:tcBorders>
              <w:top w:val="nil"/>
              <w:left w:val="nil"/>
              <w:bottom w:val="single" w:sz="4" w:space="0" w:color="auto"/>
              <w:right w:val="single" w:sz="4" w:space="0" w:color="auto"/>
            </w:tcBorders>
            <w:shd w:val="clear" w:color="auto" w:fill="auto"/>
            <w:hideMark/>
          </w:tcPr>
          <w:p w:rsidR="00B75B6B" w:rsidRPr="006175BA" w:rsidRDefault="00B75B6B" w:rsidP="00B75B6B">
            <w:pPr>
              <w:rPr>
                <w:rFonts w:ascii="Arial Narrow" w:hAnsi="Arial Narrow" w:cs="Calibri"/>
                <w:sz w:val="20"/>
                <w:szCs w:val="20"/>
              </w:rPr>
            </w:pPr>
            <w:r w:rsidRPr="006175BA">
              <w:rPr>
                <w:rFonts w:ascii="Arial Narrow" w:hAnsi="Arial Narrow" w:cs="Calibri"/>
                <w:sz w:val="20"/>
                <w:szCs w:val="20"/>
              </w:rPr>
              <w:t>Conceptualizes adoption as iterative socio-cognitive cycles; integrates cognitive, emotional, and ethical dimensions; rooted in large-scale user evidence.</w:t>
            </w:r>
          </w:p>
        </w:tc>
      </w:tr>
    </w:tbl>
    <w:p w:rsidR="007138AF" w:rsidRDefault="007138AF" w:rsidP="007138AF">
      <w:bookmarkStart w:id="0" w:name="_GoBack"/>
      <w:bookmarkEnd w:id="0"/>
    </w:p>
    <w:p w:rsidR="00995011" w:rsidRDefault="007138AF">
      <w:pPr>
        <w:rPr>
          <w:rFonts w:ascii="Arial Narrow" w:hAnsi="Arial Narrow"/>
          <w:b/>
        </w:rPr>
      </w:pPr>
      <w:r w:rsidRPr="00B11B94">
        <w:rPr>
          <w:rFonts w:ascii="Arial Narrow" w:hAnsi="Arial Narrow"/>
          <w:b/>
        </w:rPr>
        <w:lastRenderedPageBreak/>
        <w:t xml:space="preserve">References for </w:t>
      </w:r>
      <w:r w:rsidR="00B11B94" w:rsidRPr="00B11B94">
        <w:rPr>
          <w:rFonts w:ascii="Arial Narrow" w:hAnsi="Arial Narrow"/>
          <w:b/>
        </w:rPr>
        <w:t xml:space="preserve">Supplementary </w:t>
      </w:r>
      <w:r w:rsidRPr="00B11B94">
        <w:rPr>
          <w:rFonts w:ascii="Arial Narrow" w:hAnsi="Arial Narrow"/>
          <w:b/>
        </w:rPr>
        <w:t>Material:</w:t>
      </w:r>
    </w:p>
    <w:p w:rsidR="00B11B94" w:rsidRPr="00B11B94" w:rsidRDefault="00B11B94">
      <w:pPr>
        <w:rPr>
          <w:rFonts w:ascii="Arial Narrow" w:hAnsi="Arial Narrow"/>
          <w:b/>
        </w:rPr>
      </w:pPr>
    </w:p>
    <w:p w:rsidR="0052057B" w:rsidRPr="0052057B" w:rsidRDefault="00B11B94" w:rsidP="0052057B">
      <w:pPr>
        <w:widowControl w:val="0"/>
        <w:autoSpaceDE w:val="0"/>
        <w:autoSpaceDN w:val="0"/>
        <w:adjustRightInd w:val="0"/>
        <w:ind w:left="480" w:hanging="480"/>
        <w:rPr>
          <w:rFonts w:ascii="Arial Narrow" w:hAnsi="Arial Narrow"/>
          <w:noProof/>
          <w:sz w:val="22"/>
        </w:rPr>
      </w:pPr>
      <w:r w:rsidRPr="00B11B94">
        <w:rPr>
          <w:rFonts w:ascii="Arial Narrow" w:hAnsi="Arial Narrow"/>
          <w:sz w:val="22"/>
          <w:szCs w:val="22"/>
        </w:rPr>
        <w:fldChar w:fldCharType="begin" w:fldLock="1"/>
      </w:r>
      <w:r w:rsidRPr="00B11B94">
        <w:rPr>
          <w:rFonts w:ascii="Arial Narrow" w:hAnsi="Arial Narrow"/>
          <w:sz w:val="22"/>
          <w:szCs w:val="22"/>
        </w:rPr>
        <w:instrText xml:space="preserve">ADDIN Mendeley Bibliography CSL_BIBLIOGRAPHY </w:instrText>
      </w:r>
      <w:r w:rsidRPr="00B11B94">
        <w:rPr>
          <w:rFonts w:ascii="Arial Narrow" w:hAnsi="Arial Narrow"/>
          <w:sz w:val="22"/>
          <w:szCs w:val="22"/>
        </w:rPr>
        <w:fldChar w:fldCharType="separate"/>
      </w:r>
      <w:r w:rsidR="0052057B" w:rsidRPr="0052057B">
        <w:rPr>
          <w:rFonts w:ascii="Arial Narrow" w:hAnsi="Arial Narrow"/>
          <w:noProof/>
          <w:sz w:val="22"/>
        </w:rPr>
        <w:t xml:space="preserve">Amankwah-Amoah, J., Abdalla, S., Mogaji, E., Elbanna, A., &amp; Dwivedi, Y. K. (2024). The impending disruption of creative industries by generative AI: Opportunities, challenges, and research agenda. </w:t>
      </w:r>
      <w:r w:rsidR="0052057B" w:rsidRPr="0052057B">
        <w:rPr>
          <w:rFonts w:ascii="Arial Narrow" w:hAnsi="Arial Narrow"/>
          <w:i/>
          <w:iCs/>
          <w:noProof/>
          <w:sz w:val="22"/>
        </w:rPr>
        <w:t>International Journal of Information Management</w:t>
      </w:r>
      <w:r w:rsidR="0052057B" w:rsidRPr="0052057B">
        <w:rPr>
          <w:rFonts w:ascii="Arial Narrow" w:hAnsi="Arial Narrow"/>
          <w:noProof/>
          <w:sz w:val="22"/>
        </w:rPr>
        <w:t xml:space="preserve">, </w:t>
      </w:r>
      <w:r w:rsidR="0052057B" w:rsidRPr="0052057B">
        <w:rPr>
          <w:rFonts w:ascii="Arial Narrow" w:hAnsi="Arial Narrow"/>
          <w:i/>
          <w:iCs/>
          <w:noProof/>
          <w:sz w:val="22"/>
        </w:rPr>
        <w:t>79</w:t>
      </w:r>
      <w:r w:rsidR="0052057B" w:rsidRPr="0052057B">
        <w:rPr>
          <w:rFonts w:ascii="Arial Narrow" w:hAnsi="Arial Narrow"/>
          <w:noProof/>
          <w:sz w:val="22"/>
        </w:rPr>
        <w:t>, 1–11.</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Bandura, A. (1986). Social foundations of thought and action. </w:t>
      </w:r>
      <w:r w:rsidRPr="0052057B">
        <w:rPr>
          <w:rFonts w:ascii="Arial Narrow" w:hAnsi="Arial Narrow"/>
          <w:i/>
          <w:iCs/>
          <w:noProof/>
          <w:sz w:val="22"/>
        </w:rPr>
        <w:t>Englewood Cliffs, NJ</w:t>
      </w:r>
      <w:r w:rsidRPr="0052057B">
        <w:rPr>
          <w:rFonts w:ascii="Arial Narrow" w:hAnsi="Arial Narrow"/>
          <w:noProof/>
          <w:sz w:val="22"/>
        </w:rPr>
        <w:t xml:space="preserve">, </w:t>
      </w:r>
      <w:r w:rsidRPr="0052057B">
        <w:rPr>
          <w:rFonts w:ascii="Arial Narrow" w:hAnsi="Arial Narrow"/>
          <w:i/>
          <w:iCs/>
          <w:noProof/>
          <w:sz w:val="22"/>
        </w:rPr>
        <w:t>1986</w:t>
      </w:r>
      <w:r w:rsidRPr="0052057B">
        <w:rPr>
          <w:rFonts w:ascii="Arial Narrow" w:hAnsi="Arial Narrow"/>
          <w:noProof/>
          <w:sz w:val="22"/>
        </w:rPr>
        <w:t>(23–28).</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Bandura, A. (2001). Social cognitive theory: An agentic perspective. </w:t>
      </w:r>
      <w:r w:rsidRPr="0052057B">
        <w:rPr>
          <w:rFonts w:ascii="Arial Narrow" w:hAnsi="Arial Narrow"/>
          <w:i/>
          <w:iCs/>
          <w:noProof/>
          <w:sz w:val="22"/>
        </w:rPr>
        <w:t>Annual Review of Psychology</w:t>
      </w:r>
      <w:r w:rsidRPr="0052057B">
        <w:rPr>
          <w:rFonts w:ascii="Arial Narrow" w:hAnsi="Arial Narrow"/>
          <w:noProof/>
          <w:sz w:val="22"/>
        </w:rPr>
        <w:t xml:space="preserve">, </w:t>
      </w:r>
      <w:r w:rsidRPr="0052057B">
        <w:rPr>
          <w:rFonts w:ascii="Arial Narrow" w:hAnsi="Arial Narrow"/>
          <w:i/>
          <w:iCs/>
          <w:noProof/>
          <w:sz w:val="22"/>
        </w:rPr>
        <w:t>52</w:t>
      </w:r>
      <w:r w:rsidRPr="0052057B">
        <w:rPr>
          <w:rFonts w:ascii="Arial Narrow" w:hAnsi="Arial Narrow"/>
          <w:noProof/>
          <w:sz w:val="22"/>
        </w:rPr>
        <w:t>(1), 1–26.</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Bankins, S., &amp; Formosa, P. (2023). The Ethical Implications of Artificial Intelligence (AI) For Meaningful Work. </w:t>
      </w:r>
      <w:r w:rsidRPr="0052057B">
        <w:rPr>
          <w:rFonts w:ascii="Arial Narrow" w:hAnsi="Arial Narrow"/>
          <w:i/>
          <w:iCs/>
          <w:noProof/>
          <w:sz w:val="22"/>
        </w:rPr>
        <w:t>Journal of Business Ethics</w:t>
      </w:r>
      <w:r w:rsidRPr="0052057B">
        <w:rPr>
          <w:rFonts w:ascii="Arial Narrow" w:hAnsi="Arial Narrow"/>
          <w:noProof/>
          <w:sz w:val="22"/>
        </w:rPr>
        <w:t xml:space="preserve">, </w:t>
      </w:r>
      <w:r w:rsidRPr="0052057B">
        <w:rPr>
          <w:rFonts w:ascii="Arial Narrow" w:hAnsi="Arial Narrow"/>
          <w:i/>
          <w:iCs/>
          <w:noProof/>
          <w:sz w:val="22"/>
        </w:rPr>
        <w:t>185</w:t>
      </w:r>
      <w:r w:rsidRPr="0052057B">
        <w:rPr>
          <w:rFonts w:ascii="Arial Narrow" w:hAnsi="Arial Narrow"/>
          <w:noProof/>
          <w:sz w:val="22"/>
        </w:rPr>
        <w:t>(4), 725–740. https://doi.org/10.1007/S10551-023-05339-7</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Bankins, S., Ocampo, A. C., Marrone, M., Restubog, S. L. D., &amp; Woo, S. E. (2024). A multilevel review of artificial intelligence in organizations: Implications for organizational behavior research and practice. </w:t>
      </w:r>
      <w:r w:rsidRPr="0052057B">
        <w:rPr>
          <w:rFonts w:ascii="Arial Narrow" w:hAnsi="Arial Narrow"/>
          <w:i/>
          <w:iCs/>
          <w:noProof/>
          <w:sz w:val="22"/>
        </w:rPr>
        <w:t>Journal of Organizational Behavior</w:t>
      </w:r>
      <w:r w:rsidRPr="0052057B">
        <w:rPr>
          <w:rFonts w:ascii="Arial Narrow" w:hAnsi="Arial Narrow"/>
          <w:noProof/>
          <w:sz w:val="22"/>
        </w:rPr>
        <w:t xml:space="preserve">, </w:t>
      </w:r>
      <w:r w:rsidRPr="0052057B">
        <w:rPr>
          <w:rFonts w:ascii="Arial Narrow" w:hAnsi="Arial Narrow"/>
          <w:i/>
          <w:iCs/>
          <w:noProof/>
          <w:sz w:val="22"/>
        </w:rPr>
        <w:t>45</w:t>
      </w:r>
      <w:r w:rsidRPr="0052057B">
        <w:rPr>
          <w:rFonts w:ascii="Arial Narrow" w:hAnsi="Arial Narrow"/>
          <w:noProof/>
          <w:sz w:val="22"/>
        </w:rPr>
        <w:t>(2), 159–182. https://doi.org/10.1002/JOB.2735</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Benbya, H., Strich, F., &amp; Tamm, T. (2024). Navigating Generative Artificial Intelligence Promises and Perils for Knowledge and Creative Work. </w:t>
      </w:r>
      <w:r w:rsidRPr="0052057B">
        <w:rPr>
          <w:rFonts w:ascii="Arial Narrow" w:hAnsi="Arial Narrow"/>
          <w:i/>
          <w:iCs/>
          <w:noProof/>
          <w:sz w:val="22"/>
        </w:rPr>
        <w:t>Journal of the Association for Information Systems</w:t>
      </w:r>
      <w:r w:rsidRPr="0052057B">
        <w:rPr>
          <w:rFonts w:ascii="Arial Narrow" w:hAnsi="Arial Narrow"/>
          <w:noProof/>
          <w:sz w:val="22"/>
        </w:rPr>
        <w:t xml:space="preserve">, </w:t>
      </w:r>
      <w:r w:rsidRPr="0052057B">
        <w:rPr>
          <w:rFonts w:ascii="Arial Narrow" w:hAnsi="Arial Narrow"/>
          <w:i/>
          <w:iCs/>
          <w:noProof/>
          <w:sz w:val="22"/>
        </w:rPr>
        <w:t>25</w:t>
      </w:r>
      <w:r w:rsidRPr="0052057B">
        <w:rPr>
          <w:rFonts w:ascii="Arial Narrow" w:hAnsi="Arial Narrow"/>
          <w:noProof/>
          <w:sz w:val="22"/>
        </w:rPr>
        <w:t>(1), 23–36. https://doi.org/10.17705/1jais.00861</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Braganza, A., Chen, W., Canhoto, A., &amp; Sap, S. (2021). Productive employment and decent work: The impact of AI adoption on psychological contracts, job engagement and employee trust. </w:t>
      </w:r>
      <w:r w:rsidRPr="0052057B">
        <w:rPr>
          <w:rFonts w:ascii="Arial Narrow" w:hAnsi="Arial Narrow"/>
          <w:i/>
          <w:iCs/>
          <w:noProof/>
          <w:sz w:val="22"/>
        </w:rPr>
        <w:t>Journal of Business Research</w:t>
      </w:r>
      <w:r w:rsidRPr="0052057B">
        <w:rPr>
          <w:rFonts w:ascii="Arial Narrow" w:hAnsi="Arial Narrow"/>
          <w:noProof/>
          <w:sz w:val="22"/>
        </w:rPr>
        <w:t xml:space="preserve">, </w:t>
      </w:r>
      <w:r w:rsidRPr="0052057B">
        <w:rPr>
          <w:rFonts w:ascii="Arial Narrow" w:hAnsi="Arial Narrow"/>
          <w:i/>
          <w:iCs/>
          <w:noProof/>
          <w:sz w:val="22"/>
        </w:rPr>
        <w:t>131</w:t>
      </w:r>
      <w:r w:rsidRPr="0052057B">
        <w:rPr>
          <w:rFonts w:ascii="Arial Narrow" w:hAnsi="Arial Narrow"/>
          <w:noProof/>
          <w:sz w:val="22"/>
        </w:rPr>
        <w:t>, 485–494. https://doi.org/10.1016/J.JBUSRES.2020.08.018</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Brynjolfsson, E., Li, D., &amp; Raymond, L. (2025). Generative AI at Work. </w:t>
      </w:r>
      <w:r w:rsidRPr="0052057B">
        <w:rPr>
          <w:rFonts w:ascii="Arial Narrow" w:hAnsi="Arial Narrow"/>
          <w:i/>
          <w:iCs/>
          <w:noProof/>
          <w:sz w:val="22"/>
        </w:rPr>
        <w:t>The Quarterly Journal of Economics</w:t>
      </w:r>
      <w:r w:rsidRPr="0052057B">
        <w:rPr>
          <w:rFonts w:ascii="Arial Narrow" w:hAnsi="Arial Narrow"/>
          <w:noProof/>
          <w:sz w:val="22"/>
        </w:rPr>
        <w:t xml:space="preserve">, </w:t>
      </w:r>
      <w:r w:rsidRPr="0052057B">
        <w:rPr>
          <w:rFonts w:ascii="Arial Narrow" w:hAnsi="Arial Narrow"/>
          <w:i/>
          <w:iCs/>
          <w:noProof/>
          <w:sz w:val="22"/>
        </w:rPr>
        <w:t>140</w:t>
      </w:r>
      <w:r w:rsidRPr="0052057B">
        <w:rPr>
          <w:rFonts w:ascii="Arial Narrow" w:hAnsi="Arial Narrow"/>
          <w:noProof/>
          <w:sz w:val="22"/>
        </w:rPr>
        <w:t>(2), 889–942. https://doi.org/10.1093/QJE/QJAE044</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Davis, F. D. (1989). Perceived usefulness, perceived ease of use, and user acceptance of information technology. </w:t>
      </w:r>
      <w:r w:rsidRPr="0052057B">
        <w:rPr>
          <w:rFonts w:ascii="Arial Narrow" w:hAnsi="Arial Narrow"/>
          <w:i/>
          <w:iCs/>
          <w:noProof/>
          <w:sz w:val="22"/>
        </w:rPr>
        <w:t>MIS Quarterly</w:t>
      </w:r>
      <w:r w:rsidRPr="0052057B">
        <w:rPr>
          <w:rFonts w:ascii="Arial Narrow" w:hAnsi="Arial Narrow"/>
          <w:noProof/>
          <w:sz w:val="22"/>
        </w:rPr>
        <w:t>, 319–340. https://doi.org/10.2307/249008</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DeLone, W. H., &amp; McLean, E. R. (1992). Information systems success: The quest for the dependent variable. </w:t>
      </w:r>
      <w:r w:rsidRPr="0052057B">
        <w:rPr>
          <w:rFonts w:ascii="Arial Narrow" w:hAnsi="Arial Narrow"/>
          <w:i/>
          <w:iCs/>
          <w:noProof/>
          <w:sz w:val="22"/>
        </w:rPr>
        <w:t>Information Systems Research</w:t>
      </w:r>
      <w:r w:rsidRPr="0052057B">
        <w:rPr>
          <w:rFonts w:ascii="Arial Narrow" w:hAnsi="Arial Narrow"/>
          <w:noProof/>
          <w:sz w:val="22"/>
        </w:rPr>
        <w:t xml:space="preserve">, </w:t>
      </w:r>
      <w:r w:rsidRPr="0052057B">
        <w:rPr>
          <w:rFonts w:ascii="Arial Narrow" w:hAnsi="Arial Narrow"/>
          <w:i/>
          <w:iCs/>
          <w:noProof/>
          <w:sz w:val="22"/>
        </w:rPr>
        <w:t>3</w:t>
      </w:r>
      <w:r w:rsidRPr="0052057B">
        <w:rPr>
          <w:rFonts w:ascii="Arial Narrow" w:hAnsi="Arial Narrow"/>
          <w:noProof/>
          <w:sz w:val="22"/>
        </w:rPr>
        <w:t>(1), 60–95. https://doi.org/10.1287/ISRE.3.1.60</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DeLone, W. H., &amp; McLean, E. R. (2003). The DeLone and McLean model of information systems success: A ten-year update. </w:t>
      </w:r>
      <w:r w:rsidRPr="0052057B">
        <w:rPr>
          <w:rFonts w:ascii="Arial Narrow" w:hAnsi="Arial Narrow"/>
          <w:i/>
          <w:iCs/>
          <w:noProof/>
          <w:sz w:val="22"/>
        </w:rPr>
        <w:t>Journal of Management Information Systems</w:t>
      </w:r>
      <w:r w:rsidRPr="0052057B">
        <w:rPr>
          <w:rFonts w:ascii="Arial Narrow" w:hAnsi="Arial Narrow"/>
          <w:noProof/>
          <w:sz w:val="22"/>
        </w:rPr>
        <w:t xml:space="preserve">, </w:t>
      </w:r>
      <w:r w:rsidRPr="0052057B">
        <w:rPr>
          <w:rFonts w:ascii="Arial Narrow" w:hAnsi="Arial Narrow"/>
          <w:i/>
          <w:iCs/>
          <w:noProof/>
          <w:sz w:val="22"/>
        </w:rPr>
        <w:t>19</w:t>
      </w:r>
      <w:r w:rsidRPr="0052057B">
        <w:rPr>
          <w:rFonts w:ascii="Arial Narrow" w:hAnsi="Arial Narrow"/>
          <w:noProof/>
          <w:sz w:val="22"/>
        </w:rPr>
        <w:t>(4), 9–30. https://doi.org/10.1080/07421222.2003.11045748</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DeSanctis, G., &amp; Poole, M. S. (1994). Capturing the Complexity in Advanced Technology Use: Adaptive Structuration Theory. </w:t>
      </w:r>
      <w:r w:rsidRPr="0052057B">
        <w:rPr>
          <w:rFonts w:ascii="Arial Narrow" w:hAnsi="Arial Narrow"/>
          <w:i/>
          <w:iCs/>
          <w:noProof/>
          <w:sz w:val="22"/>
        </w:rPr>
        <w:t>Organization Science</w:t>
      </w:r>
      <w:r w:rsidRPr="0052057B">
        <w:rPr>
          <w:rFonts w:ascii="Arial Narrow" w:hAnsi="Arial Narrow"/>
          <w:noProof/>
          <w:sz w:val="22"/>
        </w:rPr>
        <w:t xml:space="preserve">, </w:t>
      </w:r>
      <w:r w:rsidRPr="0052057B">
        <w:rPr>
          <w:rFonts w:ascii="Arial Narrow" w:hAnsi="Arial Narrow"/>
          <w:i/>
          <w:iCs/>
          <w:noProof/>
          <w:sz w:val="22"/>
        </w:rPr>
        <w:t>5</w:t>
      </w:r>
      <w:r w:rsidRPr="0052057B">
        <w:rPr>
          <w:rFonts w:ascii="Arial Narrow" w:hAnsi="Arial Narrow"/>
          <w:noProof/>
          <w:sz w:val="22"/>
        </w:rPr>
        <w:t>(2), 121–147. https://doi.org/10.1287/ORSC.5.2.121</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Dwivedi, Y. K., Pandey, N., Currie, W., &amp; Micu, A. (2024). Leveraging ChatGPT and other generative artificial intelligence (AI)-based applications in the hospitality and tourism industry: practices, challenges and research agenda. </w:t>
      </w:r>
      <w:r w:rsidRPr="0052057B">
        <w:rPr>
          <w:rFonts w:ascii="Arial Narrow" w:hAnsi="Arial Narrow"/>
          <w:i/>
          <w:iCs/>
          <w:noProof/>
          <w:sz w:val="22"/>
        </w:rPr>
        <w:t>International Journal of Contemporary Hospitality Management</w:t>
      </w:r>
      <w:r w:rsidRPr="0052057B">
        <w:rPr>
          <w:rFonts w:ascii="Arial Narrow" w:hAnsi="Arial Narrow"/>
          <w:noProof/>
          <w:sz w:val="22"/>
        </w:rPr>
        <w:t xml:space="preserve">, </w:t>
      </w:r>
      <w:r w:rsidRPr="0052057B">
        <w:rPr>
          <w:rFonts w:ascii="Arial Narrow" w:hAnsi="Arial Narrow"/>
          <w:i/>
          <w:iCs/>
          <w:noProof/>
          <w:sz w:val="22"/>
        </w:rPr>
        <w:t>36</w:t>
      </w:r>
      <w:r w:rsidRPr="0052057B">
        <w:rPr>
          <w:rFonts w:ascii="Arial Narrow" w:hAnsi="Arial Narrow"/>
          <w:noProof/>
          <w:sz w:val="22"/>
        </w:rPr>
        <w:t>(1), 1–12. https://doi.org/10.1108/IJCHM-05-2023-0686</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Fügener, A., Grahl, J., Gupta, A., &amp; Ketter, W. (2021). Will Humans-in-the-Loop Become Borgs?  Merits and Pitfalls of Working with AI (Open Access). </w:t>
      </w:r>
      <w:r w:rsidRPr="0052057B">
        <w:rPr>
          <w:rFonts w:ascii="Arial Narrow" w:hAnsi="Arial Narrow"/>
          <w:i/>
          <w:iCs/>
          <w:noProof/>
          <w:sz w:val="22"/>
        </w:rPr>
        <w:t>MIS Quarterly</w:t>
      </w:r>
      <w:r w:rsidRPr="0052057B">
        <w:rPr>
          <w:rFonts w:ascii="Arial Narrow" w:hAnsi="Arial Narrow"/>
          <w:noProof/>
          <w:sz w:val="22"/>
        </w:rPr>
        <w:t xml:space="preserve">, </w:t>
      </w:r>
      <w:r w:rsidRPr="0052057B">
        <w:rPr>
          <w:rFonts w:ascii="Arial Narrow" w:hAnsi="Arial Narrow"/>
          <w:i/>
          <w:iCs/>
          <w:noProof/>
          <w:sz w:val="22"/>
        </w:rPr>
        <w:t>45</w:t>
      </w:r>
      <w:r w:rsidRPr="0052057B">
        <w:rPr>
          <w:rFonts w:ascii="Arial Narrow" w:hAnsi="Arial Narrow"/>
          <w:noProof/>
          <w:sz w:val="22"/>
        </w:rPr>
        <w:t>(3b), 1527–1556. https://doi.org/10.25300/MISQ/2021/16553</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Goodhue, D. L., &amp; Thompson, R. L. (1995). Task-technology fit and individual performance. </w:t>
      </w:r>
      <w:r w:rsidRPr="0052057B">
        <w:rPr>
          <w:rFonts w:ascii="Arial Narrow" w:hAnsi="Arial Narrow"/>
          <w:i/>
          <w:iCs/>
          <w:noProof/>
          <w:sz w:val="22"/>
        </w:rPr>
        <w:t>MIS Quarterly: Management Information Systems</w:t>
      </w:r>
      <w:r w:rsidRPr="0052057B">
        <w:rPr>
          <w:rFonts w:ascii="Arial Narrow" w:hAnsi="Arial Narrow"/>
          <w:noProof/>
          <w:sz w:val="22"/>
        </w:rPr>
        <w:t xml:space="preserve">, </w:t>
      </w:r>
      <w:r w:rsidRPr="0052057B">
        <w:rPr>
          <w:rFonts w:ascii="Arial Narrow" w:hAnsi="Arial Narrow"/>
          <w:i/>
          <w:iCs/>
          <w:noProof/>
          <w:sz w:val="22"/>
        </w:rPr>
        <w:t>19</w:t>
      </w:r>
      <w:r w:rsidRPr="0052057B">
        <w:rPr>
          <w:rFonts w:ascii="Arial Narrow" w:hAnsi="Arial Narrow"/>
          <w:noProof/>
          <w:sz w:val="22"/>
        </w:rPr>
        <w:t>(2), 213–233. https://doi.org/10.2307/249689</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Hitsuwari, J., Ueda, Y., Yun, W., &amp; Nomura, M. (2023). Does human–AI collaboration lead to more creative art? Aesthetic evaluation of human-made and AI-generated haiku poetry. </w:t>
      </w:r>
      <w:r w:rsidRPr="0052057B">
        <w:rPr>
          <w:rFonts w:ascii="Arial Narrow" w:hAnsi="Arial Narrow"/>
          <w:i/>
          <w:iCs/>
          <w:noProof/>
          <w:sz w:val="22"/>
        </w:rPr>
        <w:t>Computers in Human Behavior</w:t>
      </w:r>
      <w:r w:rsidRPr="0052057B">
        <w:rPr>
          <w:rFonts w:ascii="Arial Narrow" w:hAnsi="Arial Narrow"/>
          <w:noProof/>
          <w:sz w:val="22"/>
        </w:rPr>
        <w:t xml:space="preserve">, </w:t>
      </w:r>
      <w:r w:rsidRPr="0052057B">
        <w:rPr>
          <w:rFonts w:ascii="Arial Narrow" w:hAnsi="Arial Narrow"/>
          <w:i/>
          <w:iCs/>
          <w:noProof/>
          <w:sz w:val="22"/>
        </w:rPr>
        <w:t>139</w:t>
      </w:r>
      <w:r w:rsidRPr="0052057B">
        <w:rPr>
          <w:rFonts w:ascii="Arial Narrow" w:hAnsi="Arial Narrow"/>
          <w:noProof/>
          <w:sz w:val="22"/>
        </w:rPr>
        <w:t>, 107502. https://doi.org/10.1016/J.CHB.2022.107502</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Hoehle, H., Huff, S., &amp; Goode, S. (2015). The Role of Continuous Trust in Information Systems Continuance. </w:t>
      </w:r>
      <w:r w:rsidRPr="0052057B">
        <w:rPr>
          <w:rFonts w:ascii="Arial Narrow" w:hAnsi="Arial Narrow"/>
          <w:i/>
          <w:iCs/>
          <w:noProof/>
          <w:sz w:val="22"/>
        </w:rPr>
        <w:t>Journal of Computer Information Systems</w:t>
      </w:r>
      <w:r w:rsidRPr="0052057B">
        <w:rPr>
          <w:rFonts w:ascii="Arial Narrow" w:hAnsi="Arial Narrow"/>
          <w:noProof/>
          <w:sz w:val="22"/>
        </w:rPr>
        <w:t xml:space="preserve">, </w:t>
      </w:r>
      <w:r w:rsidRPr="0052057B">
        <w:rPr>
          <w:rFonts w:ascii="Arial Narrow" w:hAnsi="Arial Narrow"/>
          <w:i/>
          <w:iCs/>
          <w:noProof/>
          <w:sz w:val="22"/>
        </w:rPr>
        <w:t>52</w:t>
      </w:r>
      <w:r w:rsidRPr="0052057B">
        <w:rPr>
          <w:rFonts w:ascii="Arial Narrow" w:hAnsi="Arial Narrow"/>
          <w:noProof/>
          <w:sz w:val="22"/>
        </w:rPr>
        <w:t>(4), 1–9. https://doi.org/10.1080/08874417.2012.11645571</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Huang, M.-H., Rust, R., &amp; Maksimovic, V. (2019). The feeling economy: Managing in the next generation of artificial intelligence (AI). </w:t>
      </w:r>
      <w:r w:rsidRPr="0052057B">
        <w:rPr>
          <w:rFonts w:ascii="Arial Narrow" w:hAnsi="Arial Narrow"/>
          <w:i/>
          <w:iCs/>
          <w:noProof/>
          <w:sz w:val="22"/>
        </w:rPr>
        <w:t>California Management Review</w:t>
      </w:r>
      <w:r w:rsidRPr="0052057B">
        <w:rPr>
          <w:rFonts w:ascii="Arial Narrow" w:hAnsi="Arial Narrow"/>
          <w:noProof/>
          <w:sz w:val="22"/>
        </w:rPr>
        <w:t xml:space="preserve">, </w:t>
      </w:r>
      <w:r w:rsidRPr="0052057B">
        <w:rPr>
          <w:rFonts w:ascii="Arial Narrow" w:hAnsi="Arial Narrow"/>
          <w:i/>
          <w:iCs/>
          <w:noProof/>
          <w:sz w:val="22"/>
        </w:rPr>
        <w:t>61</w:t>
      </w:r>
      <w:r w:rsidRPr="0052057B">
        <w:rPr>
          <w:rFonts w:ascii="Arial Narrow" w:hAnsi="Arial Narrow"/>
          <w:noProof/>
          <w:sz w:val="22"/>
        </w:rPr>
        <w:t>(4), 43–65.</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lastRenderedPageBreak/>
        <w:t xml:space="preserve">Hui, X., Reshef, O., &amp; Zhou, L. (2024). The Short-Term Effects of Generative Artificial Intelligence on Employment: Evidence from an Online Labor Market. </w:t>
      </w:r>
      <w:r w:rsidRPr="0052057B">
        <w:rPr>
          <w:rFonts w:ascii="Arial Narrow" w:hAnsi="Arial Narrow"/>
          <w:i/>
          <w:iCs/>
          <w:noProof/>
          <w:sz w:val="22"/>
        </w:rPr>
        <w:t>Organization Science</w:t>
      </w:r>
      <w:r w:rsidRPr="0052057B">
        <w:rPr>
          <w:rFonts w:ascii="Arial Narrow" w:hAnsi="Arial Narrow"/>
          <w:noProof/>
          <w:sz w:val="22"/>
        </w:rPr>
        <w:t xml:space="preserve">, </w:t>
      </w:r>
      <w:r w:rsidRPr="0052057B">
        <w:rPr>
          <w:rFonts w:ascii="Arial Narrow" w:hAnsi="Arial Narrow"/>
          <w:i/>
          <w:iCs/>
          <w:noProof/>
          <w:sz w:val="22"/>
        </w:rPr>
        <w:t>35</w:t>
      </w:r>
      <w:r w:rsidRPr="0052057B">
        <w:rPr>
          <w:rFonts w:ascii="Arial Narrow" w:hAnsi="Arial Narrow"/>
          <w:noProof/>
          <w:sz w:val="22"/>
        </w:rPr>
        <w:t>(6), 1977–1989. https://doi.org/10.1287/ORSC.2023.18441</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Jarrahi, M. H. (2018). Artificial intelligence and the future of work: Human-AI symbiosis in organizational decision making. </w:t>
      </w:r>
      <w:r w:rsidRPr="0052057B">
        <w:rPr>
          <w:rFonts w:ascii="Arial Narrow" w:hAnsi="Arial Narrow"/>
          <w:i/>
          <w:iCs/>
          <w:noProof/>
          <w:sz w:val="22"/>
        </w:rPr>
        <w:t>Business Horizons</w:t>
      </w:r>
      <w:r w:rsidRPr="0052057B">
        <w:rPr>
          <w:rFonts w:ascii="Arial Narrow" w:hAnsi="Arial Narrow"/>
          <w:noProof/>
          <w:sz w:val="22"/>
        </w:rPr>
        <w:t xml:space="preserve">, </w:t>
      </w:r>
      <w:r w:rsidRPr="0052057B">
        <w:rPr>
          <w:rFonts w:ascii="Arial Narrow" w:hAnsi="Arial Narrow"/>
          <w:i/>
          <w:iCs/>
          <w:noProof/>
          <w:sz w:val="22"/>
        </w:rPr>
        <w:t>61</w:t>
      </w:r>
      <w:r w:rsidRPr="0052057B">
        <w:rPr>
          <w:rFonts w:ascii="Arial Narrow" w:hAnsi="Arial Narrow"/>
          <w:noProof/>
          <w:sz w:val="22"/>
        </w:rPr>
        <w:t>(4), 577–586.</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Jia, N., Luo, X., Fang, Z., &amp; Liao, C. (2024). When and how artificial intelligence augments employee creativity. </w:t>
      </w:r>
      <w:r w:rsidRPr="0052057B">
        <w:rPr>
          <w:rFonts w:ascii="Arial Narrow" w:hAnsi="Arial Narrow"/>
          <w:i/>
          <w:iCs/>
          <w:noProof/>
          <w:sz w:val="22"/>
        </w:rPr>
        <w:t>Academy of Management Journal</w:t>
      </w:r>
      <w:r w:rsidRPr="0052057B">
        <w:rPr>
          <w:rFonts w:ascii="Arial Narrow" w:hAnsi="Arial Narrow"/>
          <w:noProof/>
          <w:sz w:val="22"/>
        </w:rPr>
        <w:t xml:space="preserve">, </w:t>
      </w:r>
      <w:r w:rsidRPr="0052057B">
        <w:rPr>
          <w:rFonts w:ascii="Arial Narrow" w:hAnsi="Arial Narrow"/>
          <w:i/>
          <w:iCs/>
          <w:noProof/>
          <w:sz w:val="22"/>
        </w:rPr>
        <w:t>67</w:t>
      </w:r>
      <w:r w:rsidRPr="0052057B">
        <w:rPr>
          <w:rFonts w:ascii="Arial Narrow" w:hAnsi="Arial Narrow"/>
          <w:noProof/>
          <w:sz w:val="22"/>
        </w:rPr>
        <w:t>(1), 5–32. https://doi.org/10.5465/AMJ.2022.0426</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Kemp, A. (2024). Competitive advantage through artificial intelligence: Toward a theory of situated AI. </w:t>
      </w:r>
      <w:r w:rsidRPr="0052057B">
        <w:rPr>
          <w:rFonts w:ascii="Arial Narrow" w:hAnsi="Arial Narrow"/>
          <w:i/>
          <w:iCs/>
          <w:noProof/>
          <w:sz w:val="22"/>
        </w:rPr>
        <w:t>Academy of Management Review</w:t>
      </w:r>
      <w:r w:rsidRPr="0052057B">
        <w:rPr>
          <w:rFonts w:ascii="Arial Narrow" w:hAnsi="Arial Narrow"/>
          <w:noProof/>
          <w:sz w:val="22"/>
        </w:rPr>
        <w:t xml:space="preserve">, </w:t>
      </w:r>
      <w:r w:rsidRPr="0052057B">
        <w:rPr>
          <w:rFonts w:ascii="Arial Narrow" w:hAnsi="Arial Narrow"/>
          <w:i/>
          <w:iCs/>
          <w:noProof/>
          <w:sz w:val="22"/>
        </w:rPr>
        <w:t>49</w:t>
      </w:r>
      <w:r w:rsidRPr="0052057B">
        <w:rPr>
          <w:rFonts w:ascii="Arial Narrow" w:hAnsi="Arial Narrow"/>
          <w:noProof/>
          <w:sz w:val="22"/>
        </w:rPr>
        <w:t>(3), 618–635. https://doi.org/10.5465/AMR.2020.0205</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Kolbjørnsrud, V. (2024). Designing the Intelligent Organization: Six Principles for Human-AI Collaboration. </w:t>
      </w:r>
      <w:r w:rsidRPr="0052057B">
        <w:rPr>
          <w:rFonts w:ascii="Arial Narrow" w:hAnsi="Arial Narrow"/>
          <w:i/>
          <w:iCs/>
          <w:noProof/>
          <w:sz w:val="22"/>
        </w:rPr>
        <w:t>California Management Review</w:t>
      </w:r>
      <w:r w:rsidRPr="0052057B">
        <w:rPr>
          <w:rFonts w:ascii="Arial Narrow" w:hAnsi="Arial Narrow"/>
          <w:noProof/>
          <w:sz w:val="22"/>
        </w:rPr>
        <w:t xml:space="preserve">, </w:t>
      </w:r>
      <w:r w:rsidRPr="0052057B">
        <w:rPr>
          <w:rFonts w:ascii="Arial Narrow" w:hAnsi="Arial Narrow"/>
          <w:i/>
          <w:iCs/>
          <w:noProof/>
          <w:sz w:val="22"/>
        </w:rPr>
        <w:t>66</w:t>
      </w:r>
      <w:r w:rsidRPr="0052057B">
        <w:rPr>
          <w:rFonts w:ascii="Arial Narrow" w:hAnsi="Arial Narrow"/>
          <w:noProof/>
          <w:sz w:val="22"/>
        </w:rPr>
        <w:t>(2), 44–64. https://doi.org/10.1177/00081256231211020</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Kong, H., Yin, Z., Chon, K., Yuan, Y., &amp; Yu, J. (2024). How does artificial intelligence (AI) enhance hospitality employee innovation? The roles of exploration, AI trust, and proactive personality. </w:t>
      </w:r>
      <w:r w:rsidRPr="0052057B">
        <w:rPr>
          <w:rFonts w:ascii="Arial Narrow" w:hAnsi="Arial Narrow"/>
          <w:i/>
          <w:iCs/>
          <w:noProof/>
          <w:sz w:val="22"/>
        </w:rPr>
        <w:t>Journal of Hospitality Marketing &amp; Management</w:t>
      </w:r>
      <w:r w:rsidRPr="0052057B">
        <w:rPr>
          <w:rFonts w:ascii="Arial Narrow" w:hAnsi="Arial Narrow"/>
          <w:noProof/>
          <w:sz w:val="22"/>
        </w:rPr>
        <w:t xml:space="preserve">, </w:t>
      </w:r>
      <w:r w:rsidRPr="0052057B">
        <w:rPr>
          <w:rFonts w:ascii="Arial Narrow" w:hAnsi="Arial Narrow"/>
          <w:i/>
          <w:iCs/>
          <w:noProof/>
          <w:sz w:val="22"/>
        </w:rPr>
        <w:t>33</w:t>
      </w:r>
      <w:r w:rsidRPr="0052057B">
        <w:rPr>
          <w:rFonts w:ascii="Arial Narrow" w:hAnsi="Arial Narrow"/>
          <w:noProof/>
          <w:sz w:val="22"/>
        </w:rPr>
        <w:t>(3), 261–287. https://doi.org/10.1080/19368623.2023.2258116</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Langer, M., &amp; Landers, R. N. (2021). The future of artificial intelligence at work: A review on effects of decision automation and augmentation on workers targeted by algorithms and third-party observers. </w:t>
      </w:r>
      <w:r w:rsidRPr="0052057B">
        <w:rPr>
          <w:rFonts w:ascii="Arial Narrow" w:hAnsi="Arial Narrow"/>
          <w:i/>
          <w:iCs/>
          <w:noProof/>
          <w:sz w:val="22"/>
        </w:rPr>
        <w:t>Computers in Human Behavior</w:t>
      </w:r>
      <w:r w:rsidRPr="0052057B">
        <w:rPr>
          <w:rFonts w:ascii="Arial Narrow" w:hAnsi="Arial Narrow"/>
          <w:noProof/>
          <w:sz w:val="22"/>
        </w:rPr>
        <w:t xml:space="preserve">, </w:t>
      </w:r>
      <w:r w:rsidRPr="0052057B">
        <w:rPr>
          <w:rFonts w:ascii="Arial Narrow" w:hAnsi="Arial Narrow"/>
          <w:i/>
          <w:iCs/>
          <w:noProof/>
          <w:sz w:val="22"/>
        </w:rPr>
        <w:t>123</w:t>
      </w:r>
      <w:r w:rsidRPr="0052057B">
        <w:rPr>
          <w:rFonts w:ascii="Arial Narrow" w:hAnsi="Arial Narrow"/>
          <w:noProof/>
          <w:sz w:val="22"/>
        </w:rPr>
        <w:t>, 106878. https://doi.org/10.1016/J.CHB.2021.106878</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Lebovitz, S., Levina, N., &amp; Lifshitz-Assaf, H. (2021). Is AI ground truth really true? The dangers of training and evaluating AI tools based on experts’ know-what. </w:t>
      </w:r>
      <w:r w:rsidRPr="0052057B">
        <w:rPr>
          <w:rFonts w:ascii="Arial Narrow" w:hAnsi="Arial Narrow"/>
          <w:i/>
          <w:iCs/>
          <w:noProof/>
          <w:sz w:val="22"/>
        </w:rPr>
        <w:t>MIS Quarterly</w:t>
      </w:r>
      <w:r w:rsidRPr="0052057B">
        <w:rPr>
          <w:rFonts w:ascii="Arial Narrow" w:hAnsi="Arial Narrow"/>
          <w:noProof/>
          <w:sz w:val="22"/>
        </w:rPr>
        <w:t xml:space="preserve">, </w:t>
      </w:r>
      <w:r w:rsidRPr="0052057B">
        <w:rPr>
          <w:rFonts w:ascii="Arial Narrow" w:hAnsi="Arial Narrow"/>
          <w:i/>
          <w:iCs/>
          <w:noProof/>
          <w:sz w:val="22"/>
        </w:rPr>
        <w:t>45</w:t>
      </w:r>
      <w:r w:rsidRPr="0052057B">
        <w:rPr>
          <w:rFonts w:ascii="Arial Narrow" w:hAnsi="Arial Narrow"/>
          <w:noProof/>
          <w:sz w:val="22"/>
        </w:rPr>
        <w:t>(3), 1501–1526. https://doi.org/10.25300/MISQ/2021/16564</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Miller, R. L. (2015). Rogers’ Innovation Diffusion Theory (1962, 1995). In </w:t>
      </w:r>
      <w:r w:rsidRPr="0052057B">
        <w:rPr>
          <w:rFonts w:ascii="Arial Narrow" w:hAnsi="Arial Narrow"/>
          <w:i/>
          <w:iCs/>
          <w:noProof/>
          <w:sz w:val="22"/>
        </w:rPr>
        <w:t>Information Seeking Behavior and Technology Adoption: Theories and Trends</w:t>
      </w:r>
      <w:r w:rsidRPr="0052057B">
        <w:rPr>
          <w:rFonts w:ascii="Arial Narrow" w:hAnsi="Arial Narrow"/>
          <w:noProof/>
          <w:sz w:val="22"/>
        </w:rPr>
        <w:t>. IGI Global Scientific Publishing. https://doi.org/10.4018/978-1-4666-8156-9.CH016</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Nguyen, M., Trinh, N., Mehrotra, A., &amp; Basahel, S. (2025). Generative AI in the workplace: how employee experiences influence work outcomes? </w:t>
      </w:r>
      <w:r w:rsidRPr="0052057B">
        <w:rPr>
          <w:rFonts w:ascii="Arial Narrow" w:hAnsi="Arial Narrow"/>
          <w:i/>
          <w:iCs/>
          <w:noProof/>
          <w:sz w:val="22"/>
        </w:rPr>
        <w:t>Journal of Enterprise Information Management</w:t>
      </w:r>
      <w:r w:rsidRPr="0052057B">
        <w:rPr>
          <w:rFonts w:ascii="Arial Narrow" w:hAnsi="Arial Narrow"/>
          <w:noProof/>
          <w:sz w:val="22"/>
        </w:rPr>
        <w:t xml:space="preserve">, </w:t>
      </w:r>
      <w:r w:rsidRPr="0052057B">
        <w:rPr>
          <w:rFonts w:ascii="Arial Narrow" w:hAnsi="Arial Narrow"/>
          <w:i/>
          <w:iCs/>
          <w:noProof/>
          <w:sz w:val="22"/>
        </w:rPr>
        <w:t>ahead</w:t>
      </w:r>
      <w:r w:rsidRPr="0052057B">
        <w:rPr>
          <w:rFonts w:ascii="Arial Narrow" w:hAnsi="Arial Narrow"/>
          <w:noProof/>
          <w:sz w:val="22"/>
        </w:rPr>
        <w:t>-</w:t>
      </w:r>
      <w:r w:rsidRPr="0052057B">
        <w:rPr>
          <w:rFonts w:ascii="Arial Narrow" w:hAnsi="Arial Narrow"/>
          <w:i/>
          <w:iCs/>
          <w:noProof/>
          <w:sz w:val="22"/>
        </w:rPr>
        <w:t>of</w:t>
      </w:r>
      <w:r w:rsidRPr="0052057B">
        <w:rPr>
          <w:rFonts w:ascii="Arial Narrow" w:hAnsi="Arial Narrow"/>
          <w:noProof/>
          <w:sz w:val="22"/>
        </w:rPr>
        <w:t>-</w:t>
      </w:r>
      <w:r w:rsidRPr="0052057B">
        <w:rPr>
          <w:rFonts w:ascii="Arial Narrow" w:hAnsi="Arial Narrow"/>
          <w:i/>
          <w:iCs/>
          <w:noProof/>
          <w:sz w:val="22"/>
        </w:rPr>
        <w:t>p</w:t>
      </w:r>
      <w:r w:rsidRPr="0052057B">
        <w:rPr>
          <w:rFonts w:ascii="Arial Narrow" w:hAnsi="Arial Narrow"/>
          <w:noProof/>
          <w:sz w:val="22"/>
        </w:rPr>
        <w:t>(ahead-of-print). https://doi.org/10.1108/JEIM-11-2024-0637</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Oliver, R. L. (1980). A cognitive model of the antecedents and consequences of satisfaction decisions. </w:t>
      </w:r>
      <w:r w:rsidRPr="0052057B">
        <w:rPr>
          <w:rFonts w:ascii="Arial Narrow" w:hAnsi="Arial Narrow"/>
          <w:i/>
          <w:iCs/>
          <w:noProof/>
          <w:sz w:val="22"/>
        </w:rPr>
        <w:t>Journal of Marketing Research</w:t>
      </w:r>
      <w:r w:rsidRPr="0052057B">
        <w:rPr>
          <w:rFonts w:ascii="Arial Narrow" w:hAnsi="Arial Narrow"/>
          <w:noProof/>
          <w:sz w:val="22"/>
        </w:rPr>
        <w:t xml:space="preserve">, </w:t>
      </w:r>
      <w:r w:rsidRPr="0052057B">
        <w:rPr>
          <w:rFonts w:ascii="Arial Narrow" w:hAnsi="Arial Narrow"/>
          <w:i/>
          <w:iCs/>
          <w:noProof/>
          <w:sz w:val="22"/>
        </w:rPr>
        <w:t>17</w:t>
      </w:r>
      <w:r w:rsidRPr="0052057B">
        <w:rPr>
          <w:rFonts w:ascii="Arial Narrow" w:hAnsi="Arial Narrow"/>
          <w:noProof/>
          <w:sz w:val="22"/>
        </w:rPr>
        <w:t>(4), 460–469.</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Ooi, K. B., Tan, G. W. H., Al-Emran, M., Al-Sharafi, M. A., Capatina, A., Chakraborty, A., Dwivedi, Y. K., Huang, T. L., Kar, A. K., Lee, V. H., Loh, X. M., Micu, A., Mikalef, P., Mogaji, E., Pandey, N., Raman, R., Rana, N. P., Sarker, P., Sharma, A., … Wong, L. W. (2023). The Potential of Generative Artificial Intelligence Across Disciplines: Perspectives and Future Directions. </w:t>
      </w:r>
      <w:r w:rsidRPr="0052057B">
        <w:rPr>
          <w:rFonts w:ascii="Arial Narrow" w:hAnsi="Arial Narrow"/>
          <w:i/>
          <w:iCs/>
          <w:noProof/>
          <w:sz w:val="22"/>
        </w:rPr>
        <w:t>Journal of Computer Information Systems</w:t>
      </w:r>
      <w:r w:rsidRPr="0052057B">
        <w:rPr>
          <w:rFonts w:ascii="Arial Narrow" w:hAnsi="Arial Narrow"/>
          <w:noProof/>
          <w:sz w:val="22"/>
        </w:rPr>
        <w:t xml:space="preserve">, </w:t>
      </w:r>
      <w:r w:rsidRPr="0052057B">
        <w:rPr>
          <w:rFonts w:ascii="Arial Narrow" w:hAnsi="Arial Narrow"/>
          <w:i/>
          <w:iCs/>
          <w:noProof/>
          <w:sz w:val="22"/>
        </w:rPr>
        <w:t>65</w:t>
      </w:r>
      <w:r w:rsidRPr="0052057B">
        <w:rPr>
          <w:rFonts w:ascii="Arial Narrow" w:hAnsi="Arial Narrow"/>
          <w:noProof/>
          <w:sz w:val="22"/>
        </w:rPr>
        <w:t>(1), 76–107. https://doi.org/10.1080/08874417.2023.2261010</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Peretz-Andersson, E., Tabares, S., Mikalef, P., &amp; Parida, V. (2024). Artificial intelligence implementation in manufacturing SMEs: A resource orchestration approach. </w:t>
      </w:r>
      <w:r w:rsidRPr="0052057B">
        <w:rPr>
          <w:rFonts w:ascii="Arial Narrow" w:hAnsi="Arial Narrow"/>
          <w:i/>
          <w:iCs/>
          <w:noProof/>
          <w:sz w:val="22"/>
        </w:rPr>
        <w:t>International Journal of Information Management</w:t>
      </w:r>
      <w:r w:rsidRPr="0052057B">
        <w:rPr>
          <w:rFonts w:ascii="Arial Narrow" w:hAnsi="Arial Narrow"/>
          <w:noProof/>
          <w:sz w:val="22"/>
        </w:rPr>
        <w:t xml:space="preserve">, </w:t>
      </w:r>
      <w:r w:rsidRPr="0052057B">
        <w:rPr>
          <w:rFonts w:ascii="Arial Narrow" w:hAnsi="Arial Narrow"/>
          <w:i/>
          <w:iCs/>
          <w:noProof/>
          <w:sz w:val="22"/>
        </w:rPr>
        <w:t>77</w:t>
      </w:r>
      <w:r w:rsidRPr="0052057B">
        <w:rPr>
          <w:rFonts w:ascii="Arial Narrow" w:hAnsi="Arial Narrow"/>
          <w:noProof/>
          <w:sz w:val="22"/>
        </w:rPr>
        <w:t>, 102781. https://doi.org/10.1016/J.IJINFOMGT.2024.102781</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Ramaul, L., Ritala, P., &amp; Ruokonen, M. (2024). Creational and conversational AI affordances: How the new breed of chatbots is revolutionizing knowledge industries. </w:t>
      </w:r>
      <w:r w:rsidRPr="0052057B">
        <w:rPr>
          <w:rFonts w:ascii="Arial Narrow" w:hAnsi="Arial Narrow"/>
          <w:i/>
          <w:iCs/>
          <w:noProof/>
          <w:sz w:val="22"/>
        </w:rPr>
        <w:t>Business Horizons</w:t>
      </w:r>
      <w:r w:rsidRPr="0052057B">
        <w:rPr>
          <w:rFonts w:ascii="Arial Narrow" w:hAnsi="Arial Narrow"/>
          <w:noProof/>
          <w:sz w:val="22"/>
        </w:rPr>
        <w:t xml:space="preserve">, </w:t>
      </w:r>
      <w:r w:rsidRPr="0052057B">
        <w:rPr>
          <w:rFonts w:ascii="Arial Narrow" w:hAnsi="Arial Narrow"/>
          <w:i/>
          <w:iCs/>
          <w:noProof/>
          <w:sz w:val="22"/>
        </w:rPr>
        <w:t>67</w:t>
      </w:r>
      <w:r w:rsidRPr="0052057B">
        <w:rPr>
          <w:rFonts w:ascii="Arial Narrow" w:hAnsi="Arial Narrow"/>
          <w:noProof/>
          <w:sz w:val="22"/>
        </w:rPr>
        <w:t>(5), 615–627. https://doi.org/10.1016/J.BUSHOR.2024.05.006</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Robertson, J., Ferreira, C., Botha, E., &amp; Oosthuizen, K. (2024). Game changers: A generative AI prompt protocol to enhance human-AI knowledge co-construction. </w:t>
      </w:r>
      <w:r w:rsidRPr="0052057B">
        <w:rPr>
          <w:rFonts w:ascii="Arial Narrow" w:hAnsi="Arial Narrow"/>
          <w:i/>
          <w:iCs/>
          <w:noProof/>
          <w:sz w:val="22"/>
        </w:rPr>
        <w:t>Business Horizons</w:t>
      </w:r>
      <w:r w:rsidRPr="0052057B">
        <w:rPr>
          <w:rFonts w:ascii="Arial Narrow" w:hAnsi="Arial Narrow"/>
          <w:noProof/>
          <w:sz w:val="22"/>
        </w:rPr>
        <w:t xml:space="preserve">, </w:t>
      </w:r>
      <w:r w:rsidRPr="0052057B">
        <w:rPr>
          <w:rFonts w:ascii="Arial Narrow" w:hAnsi="Arial Narrow"/>
          <w:i/>
          <w:iCs/>
          <w:noProof/>
          <w:sz w:val="22"/>
        </w:rPr>
        <w:t>67</w:t>
      </w:r>
      <w:r w:rsidRPr="0052057B">
        <w:rPr>
          <w:rFonts w:ascii="Arial Narrow" w:hAnsi="Arial Narrow"/>
          <w:noProof/>
          <w:sz w:val="22"/>
        </w:rPr>
        <w:t>(5), 499–510. https://doi.org/10.1016/J.BUSHOR.2024.04.008</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Siemon, D. (2022). Elaborating Team Roles for Artificial Intelligence-based Teammates in Human-AI Collaboration. </w:t>
      </w:r>
      <w:r w:rsidRPr="0052057B">
        <w:rPr>
          <w:rFonts w:ascii="Arial Narrow" w:hAnsi="Arial Narrow"/>
          <w:i/>
          <w:iCs/>
          <w:noProof/>
          <w:sz w:val="22"/>
        </w:rPr>
        <w:t>Group Decision and Negotiation</w:t>
      </w:r>
      <w:r w:rsidRPr="0052057B">
        <w:rPr>
          <w:rFonts w:ascii="Arial Narrow" w:hAnsi="Arial Narrow"/>
          <w:noProof/>
          <w:sz w:val="22"/>
        </w:rPr>
        <w:t xml:space="preserve">, </w:t>
      </w:r>
      <w:r w:rsidRPr="0052057B">
        <w:rPr>
          <w:rFonts w:ascii="Arial Narrow" w:hAnsi="Arial Narrow"/>
          <w:i/>
          <w:iCs/>
          <w:noProof/>
          <w:sz w:val="22"/>
        </w:rPr>
        <w:t>31</w:t>
      </w:r>
      <w:r w:rsidRPr="0052057B">
        <w:rPr>
          <w:rFonts w:ascii="Arial Narrow" w:hAnsi="Arial Narrow"/>
          <w:noProof/>
          <w:sz w:val="22"/>
        </w:rPr>
        <w:t>(5), 871–912. https://doi.org/10.1007/s10726-022-09792-z</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Sowa, K., Przegalinska, A., &amp; Ciechanowski, L. (2021). Cobots in knowledge work: Human – AI collaboration in managerial professions. </w:t>
      </w:r>
      <w:r w:rsidRPr="0052057B">
        <w:rPr>
          <w:rFonts w:ascii="Arial Narrow" w:hAnsi="Arial Narrow"/>
          <w:i/>
          <w:iCs/>
          <w:noProof/>
          <w:sz w:val="22"/>
        </w:rPr>
        <w:t>Journal of Business Research</w:t>
      </w:r>
      <w:r w:rsidRPr="0052057B">
        <w:rPr>
          <w:rFonts w:ascii="Arial Narrow" w:hAnsi="Arial Narrow"/>
          <w:noProof/>
          <w:sz w:val="22"/>
        </w:rPr>
        <w:t xml:space="preserve">, </w:t>
      </w:r>
      <w:r w:rsidRPr="0052057B">
        <w:rPr>
          <w:rFonts w:ascii="Arial Narrow" w:hAnsi="Arial Narrow"/>
          <w:i/>
          <w:iCs/>
          <w:noProof/>
          <w:sz w:val="22"/>
        </w:rPr>
        <w:t>125</w:t>
      </w:r>
      <w:r w:rsidRPr="0052057B">
        <w:rPr>
          <w:rFonts w:ascii="Arial Narrow" w:hAnsi="Arial Narrow"/>
          <w:noProof/>
          <w:sz w:val="22"/>
        </w:rPr>
        <w:t>, 135–142. https://doi.org/10.1016/J.JBUSRES.2020.11.038</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Strong, D. M., Treku, D. N., &amp; Volkoff, O. (2025). Affordance Theory and How to Use It in IS Research (Revised). </w:t>
      </w:r>
      <w:r w:rsidRPr="0052057B">
        <w:rPr>
          <w:rFonts w:ascii="Arial Narrow" w:hAnsi="Arial Narrow"/>
          <w:i/>
          <w:iCs/>
          <w:noProof/>
          <w:sz w:val="22"/>
        </w:rPr>
        <w:t>The Routledge Companion to Management Information Systems</w:t>
      </w:r>
      <w:r w:rsidRPr="0052057B">
        <w:rPr>
          <w:rFonts w:ascii="Arial Narrow" w:hAnsi="Arial Narrow"/>
          <w:noProof/>
          <w:sz w:val="22"/>
        </w:rPr>
        <w:t>, 164–178. https://doi.org/10.4324/9781032690483-16</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lastRenderedPageBreak/>
        <w:t xml:space="preserve">Teng, R., Zhou, S., Zheng, W., &amp; Ma, C. (2024). Artificial intelligence (AI) awareness and work withdrawal: evaluating chained mediation through negative work-related rumination and emotional exhaustion. </w:t>
      </w:r>
      <w:r w:rsidRPr="0052057B">
        <w:rPr>
          <w:rFonts w:ascii="Arial Narrow" w:hAnsi="Arial Narrow"/>
          <w:i/>
          <w:iCs/>
          <w:noProof/>
          <w:sz w:val="22"/>
        </w:rPr>
        <w:t>International Journal of Contemporary Hospitality Management</w:t>
      </w:r>
      <w:r w:rsidRPr="0052057B">
        <w:rPr>
          <w:rFonts w:ascii="Arial Narrow" w:hAnsi="Arial Narrow"/>
          <w:noProof/>
          <w:sz w:val="22"/>
        </w:rPr>
        <w:t xml:space="preserve">, </w:t>
      </w:r>
      <w:r w:rsidRPr="0052057B">
        <w:rPr>
          <w:rFonts w:ascii="Arial Narrow" w:hAnsi="Arial Narrow"/>
          <w:i/>
          <w:iCs/>
          <w:noProof/>
          <w:sz w:val="22"/>
        </w:rPr>
        <w:t>36</w:t>
      </w:r>
      <w:r w:rsidRPr="0052057B">
        <w:rPr>
          <w:rFonts w:ascii="Arial Narrow" w:hAnsi="Arial Narrow"/>
          <w:noProof/>
          <w:sz w:val="22"/>
        </w:rPr>
        <w:t>(7), 2311–2326. https://doi.org/10.1108/IJCHM-02-2023-0240</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Tornatzky, L. G., Fleischer, M., &amp; Chakrabarti, A. K. (1990). The processes of technological innovation. In </w:t>
      </w:r>
      <w:r w:rsidRPr="0052057B">
        <w:rPr>
          <w:rFonts w:ascii="Arial Narrow" w:hAnsi="Arial Narrow"/>
          <w:i/>
          <w:iCs/>
          <w:noProof/>
          <w:sz w:val="22"/>
        </w:rPr>
        <w:t>(No Title)</w:t>
      </w:r>
      <w:r w:rsidRPr="0052057B">
        <w:rPr>
          <w:rFonts w:ascii="Arial Narrow" w:hAnsi="Arial Narrow"/>
          <w:noProof/>
          <w:sz w:val="22"/>
        </w:rPr>
        <w:t>. https://cir.nii.ac.jp/crid/1971712334809816714</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Ulfert, A. S., Georganta, E., Centeio Jorge, C., Mehrotra, S., &amp; Tielman, M. (2024). Shaping a multidisciplinary understanding of team trust in human-AI teams: a theoretical framework. </w:t>
      </w:r>
      <w:r w:rsidRPr="0052057B">
        <w:rPr>
          <w:rFonts w:ascii="Arial Narrow" w:hAnsi="Arial Narrow"/>
          <w:i/>
          <w:iCs/>
          <w:noProof/>
          <w:sz w:val="22"/>
        </w:rPr>
        <w:t>European Journal of Work and Organizational Psychology</w:t>
      </w:r>
      <w:r w:rsidRPr="0052057B">
        <w:rPr>
          <w:rFonts w:ascii="Arial Narrow" w:hAnsi="Arial Narrow"/>
          <w:noProof/>
          <w:sz w:val="22"/>
        </w:rPr>
        <w:t xml:space="preserve">, </w:t>
      </w:r>
      <w:r w:rsidRPr="0052057B">
        <w:rPr>
          <w:rFonts w:ascii="Arial Narrow" w:hAnsi="Arial Narrow"/>
          <w:i/>
          <w:iCs/>
          <w:noProof/>
          <w:sz w:val="22"/>
        </w:rPr>
        <w:t>33</w:t>
      </w:r>
      <w:r w:rsidRPr="0052057B">
        <w:rPr>
          <w:rFonts w:ascii="Arial Narrow" w:hAnsi="Arial Narrow"/>
          <w:noProof/>
          <w:sz w:val="22"/>
        </w:rPr>
        <w:t>(2), 158–171. https://doi.org/10.1080/1359432X.2023.2200172</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Venkatesh, V., &amp; Bala, H. (2008). Technology acceptance model 3 and a research agenda on interventions. </w:t>
      </w:r>
      <w:r w:rsidRPr="0052057B">
        <w:rPr>
          <w:rFonts w:ascii="Arial Narrow" w:hAnsi="Arial Narrow"/>
          <w:i/>
          <w:iCs/>
          <w:noProof/>
          <w:sz w:val="22"/>
        </w:rPr>
        <w:t>Decision Sciences</w:t>
      </w:r>
      <w:r w:rsidRPr="0052057B">
        <w:rPr>
          <w:rFonts w:ascii="Arial Narrow" w:hAnsi="Arial Narrow"/>
          <w:noProof/>
          <w:sz w:val="22"/>
        </w:rPr>
        <w:t xml:space="preserve">, </w:t>
      </w:r>
      <w:r w:rsidRPr="0052057B">
        <w:rPr>
          <w:rFonts w:ascii="Arial Narrow" w:hAnsi="Arial Narrow"/>
          <w:i/>
          <w:iCs/>
          <w:noProof/>
          <w:sz w:val="22"/>
        </w:rPr>
        <w:t>39</w:t>
      </w:r>
      <w:r w:rsidRPr="0052057B">
        <w:rPr>
          <w:rFonts w:ascii="Arial Narrow" w:hAnsi="Arial Narrow"/>
          <w:noProof/>
          <w:sz w:val="22"/>
        </w:rPr>
        <w:t>(2), 273–315. https://doi.org/10.1111/j.1540-5915.2008.00192.x</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Venkatesh, V., &amp; Davis, F. D. (2000). A Theoretical Extension of the Technology Acceptance Model: Four Longitudinal Field Studies. </w:t>
      </w:r>
      <w:r w:rsidRPr="0052057B">
        <w:rPr>
          <w:rFonts w:ascii="Arial Narrow" w:hAnsi="Arial Narrow"/>
          <w:i/>
          <w:iCs/>
          <w:noProof/>
          <w:sz w:val="22"/>
        </w:rPr>
        <w:t>Management Science</w:t>
      </w:r>
      <w:r w:rsidRPr="0052057B">
        <w:rPr>
          <w:rFonts w:ascii="Arial Narrow" w:hAnsi="Arial Narrow"/>
          <w:noProof/>
          <w:sz w:val="22"/>
        </w:rPr>
        <w:t xml:space="preserve">, </w:t>
      </w:r>
      <w:r w:rsidRPr="0052057B">
        <w:rPr>
          <w:rFonts w:ascii="Arial Narrow" w:hAnsi="Arial Narrow"/>
          <w:i/>
          <w:iCs/>
          <w:noProof/>
          <w:sz w:val="22"/>
        </w:rPr>
        <w:t>46</w:t>
      </w:r>
      <w:r w:rsidRPr="0052057B">
        <w:rPr>
          <w:rFonts w:ascii="Arial Narrow" w:hAnsi="Arial Narrow"/>
          <w:noProof/>
          <w:sz w:val="22"/>
        </w:rPr>
        <w:t>(2), 186–204. https://doi.org/10.1287/MNSC.46.2.186.11926</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Venkatesh, V., Morris, M. G., Davis, G. B., &amp; Davis, F. D. (2003). User acceptance of information technology: Toward a unified view. </w:t>
      </w:r>
      <w:r w:rsidRPr="0052057B">
        <w:rPr>
          <w:rFonts w:ascii="Arial Narrow" w:hAnsi="Arial Narrow"/>
          <w:i/>
          <w:iCs/>
          <w:noProof/>
          <w:sz w:val="22"/>
        </w:rPr>
        <w:t>MIS Quarterly</w:t>
      </w:r>
      <w:r w:rsidRPr="0052057B">
        <w:rPr>
          <w:rFonts w:ascii="Arial Narrow" w:hAnsi="Arial Narrow"/>
          <w:noProof/>
          <w:sz w:val="22"/>
        </w:rPr>
        <w:t xml:space="preserve">, </w:t>
      </w:r>
      <w:r w:rsidRPr="0052057B">
        <w:rPr>
          <w:rFonts w:ascii="Arial Narrow" w:hAnsi="Arial Narrow"/>
          <w:i/>
          <w:iCs/>
          <w:noProof/>
          <w:sz w:val="22"/>
        </w:rPr>
        <w:t>27</w:t>
      </w:r>
      <w:r w:rsidRPr="0052057B">
        <w:rPr>
          <w:rFonts w:ascii="Arial Narrow" w:hAnsi="Arial Narrow"/>
          <w:noProof/>
          <w:sz w:val="22"/>
        </w:rPr>
        <w:t>(3), 425–478. https://doi.org/10.2307/30036540</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Venkatesh, V., Thong, J. Y. L., &amp; Xu, X. (2012). Consumer acceptance and use of information technology: extending the unified theory of acceptance and use of technology. </w:t>
      </w:r>
      <w:r w:rsidRPr="0052057B">
        <w:rPr>
          <w:rFonts w:ascii="Arial Narrow" w:hAnsi="Arial Narrow"/>
          <w:i/>
          <w:iCs/>
          <w:noProof/>
          <w:sz w:val="22"/>
        </w:rPr>
        <w:t>MIS Quarterly</w:t>
      </w:r>
      <w:r w:rsidRPr="0052057B">
        <w:rPr>
          <w:rFonts w:ascii="Arial Narrow" w:hAnsi="Arial Narrow"/>
          <w:noProof/>
          <w:sz w:val="22"/>
        </w:rPr>
        <w:t>, 157–178.</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Wang, W., Gao, G., &amp; Agarwal, R. (2024). Friend or Foe? Teaming Between Artificial Intelligence and Workers with Variation in Experience. </w:t>
      </w:r>
      <w:r w:rsidRPr="0052057B">
        <w:rPr>
          <w:rFonts w:ascii="Arial Narrow" w:hAnsi="Arial Narrow"/>
          <w:i/>
          <w:iCs/>
          <w:noProof/>
          <w:sz w:val="22"/>
        </w:rPr>
        <w:t>Management Science</w:t>
      </w:r>
      <w:r w:rsidRPr="0052057B">
        <w:rPr>
          <w:rFonts w:ascii="Arial Narrow" w:hAnsi="Arial Narrow"/>
          <w:noProof/>
          <w:sz w:val="22"/>
        </w:rPr>
        <w:t xml:space="preserve">, </w:t>
      </w:r>
      <w:r w:rsidRPr="0052057B">
        <w:rPr>
          <w:rFonts w:ascii="Arial Narrow" w:hAnsi="Arial Narrow"/>
          <w:i/>
          <w:iCs/>
          <w:noProof/>
          <w:sz w:val="22"/>
        </w:rPr>
        <w:t>70</w:t>
      </w:r>
      <w:r w:rsidRPr="0052057B">
        <w:rPr>
          <w:rFonts w:ascii="Arial Narrow" w:hAnsi="Arial Narrow"/>
          <w:noProof/>
          <w:sz w:val="22"/>
        </w:rPr>
        <w:t>(9), 5753–5775. https://doi.org/10.1287/mnsc.2021.00588</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Webber, S. S. (2024). Paradox of artificial intelligence as teammate. </w:t>
      </w:r>
      <w:r w:rsidRPr="0052057B">
        <w:rPr>
          <w:rFonts w:ascii="Arial Narrow" w:hAnsi="Arial Narrow"/>
          <w:i/>
          <w:iCs/>
          <w:noProof/>
          <w:sz w:val="22"/>
        </w:rPr>
        <w:t>Organizational Dynamics</w:t>
      </w:r>
      <w:r w:rsidRPr="0052057B">
        <w:rPr>
          <w:rFonts w:ascii="Arial Narrow" w:hAnsi="Arial Narrow"/>
          <w:noProof/>
          <w:sz w:val="22"/>
        </w:rPr>
        <w:t>, 101116. https://doi.org/10.1016/J.ORGDYN.2024.101116</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Wood, R., &amp; Bandura, A. (1989). Social cognitive theory of organizational management. </w:t>
      </w:r>
      <w:r w:rsidRPr="0052057B">
        <w:rPr>
          <w:rFonts w:ascii="Arial Narrow" w:hAnsi="Arial Narrow"/>
          <w:i/>
          <w:iCs/>
          <w:noProof/>
          <w:sz w:val="22"/>
        </w:rPr>
        <w:t>Academy of Management Review</w:t>
      </w:r>
      <w:r w:rsidRPr="0052057B">
        <w:rPr>
          <w:rFonts w:ascii="Arial Narrow" w:hAnsi="Arial Narrow"/>
          <w:noProof/>
          <w:sz w:val="22"/>
        </w:rPr>
        <w:t xml:space="preserve">, </w:t>
      </w:r>
      <w:r w:rsidRPr="0052057B">
        <w:rPr>
          <w:rFonts w:ascii="Arial Narrow" w:hAnsi="Arial Narrow"/>
          <w:i/>
          <w:iCs/>
          <w:noProof/>
          <w:sz w:val="22"/>
        </w:rPr>
        <w:t>14</w:t>
      </w:r>
      <w:r w:rsidRPr="0052057B">
        <w:rPr>
          <w:rFonts w:ascii="Arial Narrow" w:hAnsi="Arial Narrow"/>
          <w:noProof/>
          <w:sz w:val="22"/>
        </w:rPr>
        <w:t>(3), 361–384.</w:t>
      </w:r>
    </w:p>
    <w:p w:rsidR="0052057B" w:rsidRPr="0052057B" w:rsidRDefault="0052057B" w:rsidP="0052057B">
      <w:pPr>
        <w:widowControl w:val="0"/>
        <w:autoSpaceDE w:val="0"/>
        <w:autoSpaceDN w:val="0"/>
        <w:adjustRightInd w:val="0"/>
        <w:ind w:left="480" w:hanging="480"/>
        <w:rPr>
          <w:rFonts w:ascii="Arial Narrow" w:hAnsi="Arial Narrow"/>
          <w:noProof/>
          <w:sz w:val="22"/>
        </w:rPr>
      </w:pPr>
      <w:r w:rsidRPr="0052057B">
        <w:rPr>
          <w:rFonts w:ascii="Arial Narrow" w:hAnsi="Arial Narrow"/>
          <w:noProof/>
          <w:sz w:val="22"/>
        </w:rPr>
        <w:t xml:space="preserve">Yin, M., Jiang, S., &amp; Niu, X. (2024). Can AI really help? The double-edged sword effect of AI assistant on employees’ innovation behavior. </w:t>
      </w:r>
      <w:r w:rsidRPr="0052057B">
        <w:rPr>
          <w:rFonts w:ascii="Arial Narrow" w:hAnsi="Arial Narrow"/>
          <w:i/>
          <w:iCs/>
          <w:noProof/>
          <w:sz w:val="22"/>
        </w:rPr>
        <w:t>Computers in Human Behavior</w:t>
      </w:r>
      <w:r w:rsidRPr="0052057B">
        <w:rPr>
          <w:rFonts w:ascii="Arial Narrow" w:hAnsi="Arial Narrow"/>
          <w:noProof/>
          <w:sz w:val="22"/>
        </w:rPr>
        <w:t xml:space="preserve">, </w:t>
      </w:r>
      <w:r w:rsidRPr="0052057B">
        <w:rPr>
          <w:rFonts w:ascii="Arial Narrow" w:hAnsi="Arial Narrow"/>
          <w:i/>
          <w:iCs/>
          <w:noProof/>
          <w:sz w:val="22"/>
        </w:rPr>
        <w:t>150</w:t>
      </w:r>
      <w:r w:rsidRPr="0052057B">
        <w:rPr>
          <w:rFonts w:ascii="Arial Narrow" w:hAnsi="Arial Narrow"/>
          <w:noProof/>
          <w:sz w:val="22"/>
        </w:rPr>
        <w:t>, 107987. https://doi.org/10.1016/J.CHB.2023.107987</w:t>
      </w:r>
    </w:p>
    <w:p w:rsidR="007138AF" w:rsidRPr="00B11B94" w:rsidRDefault="00B11B94">
      <w:pPr>
        <w:rPr>
          <w:rFonts w:ascii="Arial Narrow" w:hAnsi="Arial Narrow"/>
          <w:sz w:val="22"/>
          <w:szCs w:val="22"/>
        </w:rPr>
      </w:pPr>
      <w:r w:rsidRPr="00B11B94">
        <w:rPr>
          <w:rFonts w:ascii="Arial Narrow" w:hAnsi="Arial Narrow"/>
          <w:sz w:val="22"/>
          <w:szCs w:val="22"/>
        </w:rPr>
        <w:fldChar w:fldCharType="end"/>
      </w:r>
    </w:p>
    <w:sectPr w:rsidR="007138AF" w:rsidRPr="00B11B94" w:rsidSect="00B75B6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B6B"/>
    <w:rsid w:val="0052057B"/>
    <w:rsid w:val="007138AF"/>
    <w:rsid w:val="008F1268"/>
    <w:rsid w:val="00995011"/>
    <w:rsid w:val="00A64436"/>
    <w:rsid w:val="00B11B94"/>
    <w:rsid w:val="00B75B6B"/>
    <w:rsid w:val="00C55AA1"/>
    <w:rsid w:val="00E7527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9E14A"/>
  <w15:chartTrackingRefBased/>
  <w15:docId w15:val="{E1DEFDFC-BDE1-4A4B-937D-3BBADEFD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B6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B75B6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5B6B"/>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B75B6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DEDE8-3082-4682-BEF3-9192740BF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18775</Words>
  <Characters>107023</Characters>
  <Application>Microsoft Office Word</Application>
  <DocSecurity>0</DocSecurity>
  <Lines>891</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dc:creator>
  <cp:keywords/>
  <dc:description/>
  <cp:lastModifiedBy>Rahul</cp:lastModifiedBy>
  <cp:revision>7</cp:revision>
  <dcterms:created xsi:type="dcterms:W3CDTF">2025-12-14T09:38:00Z</dcterms:created>
  <dcterms:modified xsi:type="dcterms:W3CDTF">2025-12-14T09:46:00Z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5a7038fd-cfe1-4d84-8883-efdbc5023346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 (in-text citations)</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66976b67-4db0-324e-a443-5c00e2803771</vt:lpwstr>
  </property>
  <property fmtid="{D5CDD505-2E9C-101B-9397-08002B2CF9AE}" pid="25" name="Mendeley Citation Style_1">
    <vt:lpwstr>http://www.zotero.org/styles/apa</vt:lpwstr>
  </property>
</Properties>
</file>