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30A16" w14:textId="77777777" w:rsidR="00651865" w:rsidRPr="00EB11FE" w:rsidRDefault="00651865" w:rsidP="00651865">
      <w:pPr>
        <w:rPr>
          <w:rFonts w:ascii="Times New Roman" w:hAnsi="Times New Roman" w:cs="Times New Roman"/>
          <w:b/>
          <w:bCs/>
          <w:sz w:val="20"/>
          <w:szCs w:val="20"/>
        </w:rPr>
      </w:pPr>
      <w:r w:rsidRPr="00EB11FE">
        <w:rPr>
          <w:rFonts w:ascii="Times New Roman" w:hAnsi="Times New Roman" w:cs="Times New Roman"/>
          <w:b/>
          <w:bCs/>
          <w:sz w:val="20"/>
          <w:szCs w:val="20"/>
        </w:rPr>
        <w:t>Online Supplementary Material</w:t>
      </w:r>
    </w:p>
    <w:p w14:paraId="4849A89D" w14:textId="636EAD07" w:rsidR="007E40FF" w:rsidRPr="00EB11FE" w:rsidRDefault="007E40FF" w:rsidP="007E40FF">
      <w:pPr>
        <w:rPr>
          <w:rFonts w:ascii="Times New Roman" w:hAnsi="Times New Roman" w:cs="Times New Roman"/>
          <w:b/>
          <w:bCs/>
          <w:sz w:val="20"/>
          <w:szCs w:val="20"/>
        </w:rPr>
      </w:pPr>
      <w:r w:rsidRPr="00EB11FE">
        <w:rPr>
          <w:rFonts w:ascii="Times New Roman" w:hAnsi="Times New Roman" w:cs="Times New Roman"/>
          <w:b/>
          <w:bCs/>
          <w:sz w:val="20"/>
          <w:szCs w:val="20"/>
        </w:rPr>
        <w:t>Keyword Specifications for Dual-Filter Extraction</w:t>
      </w:r>
    </w:p>
    <w:p w14:paraId="2AB076C5" w14:textId="77777777" w:rsidR="007E40FF" w:rsidRPr="00EB11FE" w:rsidRDefault="007E40FF" w:rsidP="007E40FF">
      <w:pPr>
        <w:rPr>
          <w:rFonts w:ascii="Times New Roman" w:hAnsi="Times New Roman" w:cs="Times New Roman"/>
          <w:b/>
          <w:bCs/>
          <w:sz w:val="20"/>
          <w:szCs w:val="20"/>
        </w:rPr>
      </w:pPr>
      <w:r w:rsidRPr="00EB11FE">
        <w:rPr>
          <w:rFonts w:ascii="Times New Roman" w:hAnsi="Times New Roman" w:cs="Times New Roman"/>
          <w:b/>
          <w:bCs/>
          <w:sz w:val="20"/>
          <w:szCs w:val="20"/>
        </w:rPr>
        <w:t>Filter 1: AI-Related Keywords</w:t>
      </w:r>
    </w:p>
    <w:p w14:paraId="07360791" w14:textId="4A57F074" w:rsidR="00651865" w:rsidRPr="00EB11FE" w:rsidRDefault="00651865" w:rsidP="007E40FF">
      <w:pPr>
        <w:rPr>
          <w:rFonts w:ascii="Times New Roman" w:hAnsi="Times New Roman" w:cs="Times New Roman"/>
          <w:sz w:val="20"/>
          <w:szCs w:val="20"/>
        </w:rPr>
      </w:pPr>
      <w:r w:rsidRPr="00EB11FE">
        <w:rPr>
          <w:rFonts w:ascii="Times New Roman" w:eastAsia="Times New Roman" w:hAnsi="Times New Roman" w:cs="Times New Roman"/>
          <w:sz w:val="20"/>
          <w:szCs w:val="20"/>
        </w:rPr>
        <w:t>artificial intelligence, AI, ML, machine learning, deep learning, neural networks, transformers, generative AI, gen AI, foundation models, language models, large language models, LLMs, NLP, natural language processing, computer vision, speech recognition, algorithm, automated decision-making, predictive analytics, predictive modeling, intelligent automation, chatbots, deepfakes, data science, AI-powered, AI-based, AI-driven, AI-enabled, machine learning-powered, machine learning-based</w:t>
      </w:r>
      <w:r w:rsidR="00B21442" w:rsidRPr="00EB11FE">
        <w:rPr>
          <w:rFonts w:ascii="Times New Roman" w:eastAsia="Times New Roman" w:hAnsi="Times New Roman" w:cs="Times New Roman"/>
          <w:sz w:val="20"/>
          <w:szCs w:val="20"/>
        </w:rPr>
        <w:t xml:space="preserve">, machine learning-driven, machine leaning-enabled. </w:t>
      </w:r>
    </w:p>
    <w:p w14:paraId="3EA2D0EE" w14:textId="77777777" w:rsidR="00651865" w:rsidRPr="00EB11FE" w:rsidRDefault="00651865" w:rsidP="00651865">
      <w:pPr>
        <w:rPr>
          <w:rFonts w:ascii="Times New Roman" w:hAnsi="Times New Roman" w:cs="Times New Roman"/>
          <w:b/>
          <w:bCs/>
          <w:sz w:val="20"/>
          <w:szCs w:val="20"/>
        </w:rPr>
      </w:pPr>
    </w:p>
    <w:p w14:paraId="05F6011B" w14:textId="77777777" w:rsidR="000C459E" w:rsidRPr="00EB11FE" w:rsidRDefault="000C459E" w:rsidP="000C459E">
      <w:pPr>
        <w:rPr>
          <w:rFonts w:ascii="Times New Roman" w:hAnsi="Times New Roman" w:cs="Times New Roman"/>
          <w:b/>
          <w:bCs/>
          <w:sz w:val="20"/>
          <w:szCs w:val="20"/>
        </w:rPr>
      </w:pPr>
      <w:r w:rsidRPr="00EB11FE">
        <w:rPr>
          <w:rFonts w:ascii="Times New Roman" w:hAnsi="Times New Roman" w:cs="Times New Roman"/>
          <w:b/>
          <w:bCs/>
          <w:sz w:val="20"/>
          <w:szCs w:val="20"/>
        </w:rPr>
        <w:t>Filter 2: Governance-Related Keywords</w:t>
      </w:r>
    </w:p>
    <w:p w14:paraId="59827E98" w14:textId="0E6E0227" w:rsidR="00651865" w:rsidRPr="00EB11FE" w:rsidRDefault="000C459E" w:rsidP="000C459E">
      <w:pPr>
        <w:rPr>
          <w:rFonts w:ascii="Times New Roman" w:hAnsi="Times New Roman" w:cs="Times New Roman"/>
          <w:b/>
          <w:bCs/>
          <w:sz w:val="20"/>
          <w:szCs w:val="20"/>
        </w:rPr>
      </w:pPr>
      <w:r w:rsidRPr="00EB11FE">
        <w:rPr>
          <w:rFonts w:ascii="Times New Roman" w:hAnsi="Times New Roman" w:cs="Times New Roman"/>
          <w:b/>
          <w:bCs/>
          <w:sz w:val="20"/>
          <w:szCs w:val="20"/>
        </w:rPr>
        <w:t xml:space="preserve">Internal Governance </w:t>
      </w:r>
    </w:p>
    <w:p w14:paraId="75545093" w14:textId="07E91FFE" w:rsidR="003C231D" w:rsidRPr="00EB11FE" w:rsidRDefault="00B21442" w:rsidP="000D03E2">
      <w:pPr>
        <w:rPr>
          <w:rFonts w:ascii="Times New Roman" w:hAnsi="Times New Roman" w:cs="Times New Roman"/>
          <w:sz w:val="20"/>
          <w:szCs w:val="20"/>
        </w:rPr>
      </w:pPr>
      <w:r w:rsidRPr="00EB11FE">
        <w:rPr>
          <w:rFonts w:ascii="Times New Roman" w:eastAsia="Times New Roman" w:hAnsi="Times New Roman" w:cs="Times New Roman"/>
          <w:sz w:val="20"/>
          <w:szCs w:val="20"/>
        </w:rPr>
        <w:t>governance, oversight, supervision, board of directors, board oversight, risk management, operational risk, internal controls, control framework, monitoring, validation, testing, auditing, reviewing, assessment, ethical, responsible AI, responsible use, fairness, bias, discrimination, transparency, accountability, human oversight, human in the loop, cybersecurity, data protection, data security, data governance, privacy, security measures, security controls, policies and procedures, framework, standards, guidelines, safeguards, model validation, model governance</w:t>
      </w:r>
    </w:p>
    <w:p w14:paraId="0AC59653" w14:textId="2C27B2BB" w:rsidR="00651865" w:rsidRPr="00EB11FE" w:rsidRDefault="003C231D" w:rsidP="00651865">
      <w:pPr>
        <w:rPr>
          <w:rFonts w:ascii="Times New Roman" w:hAnsi="Times New Roman" w:cs="Times New Roman"/>
          <w:b/>
          <w:bCs/>
          <w:sz w:val="20"/>
          <w:szCs w:val="20"/>
        </w:rPr>
      </w:pPr>
      <w:r w:rsidRPr="00EB11FE">
        <w:rPr>
          <w:rFonts w:ascii="Times New Roman" w:hAnsi="Times New Roman" w:cs="Times New Roman"/>
          <w:b/>
          <w:bCs/>
          <w:sz w:val="20"/>
          <w:szCs w:val="20"/>
        </w:rPr>
        <w:t>Institutional governance</w:t>
      </w:r>
    </w:p>
    <w:p w14:paraId="288FB380" w14:textId="77777777" w:rsidR="003C231D" w:rsidRPr="00EB11FE" w:rsidRDefault="003C231D" w:rsidP="003C231D">
      <w:pPr>
        <w:rPr>
          <w:rFonts w:ascii="Times New Roman" w:hAnsi="Times New Roman" w:cs="Times New Roman"/>
          <w:sz w:val="20"/>
          <w:szCs w:val="20"/>
        </w:rPr>
      </w:pPr>
      <w:r w:rsidRPr="00EB11FE">
        <w:rPr>
          <w:rFonts w:ascii="Times New Roman" w:eastAsia="Times New Roman" w:hAnsi="Times New Roman" w:cs="Times New Roman"/>
          <w:sz w:val="20"/>
          <w:szCs w:val="20"/>
        </w:rPr>
        <w:t>regulation, regulatory, compliance, comply with, legal requirement, legal obligation, legal framework, law, legislation, statute, mandate, GDPR, CCPA, EU AI Act, NIST, DORA, regulators, supervisory authority, enforcement action, regulatory scrutiny, penalty, fine, sanction</w:t>
      </w:r>
    </w:p>
    <w:p w14:paraId="65102AD1" w14:textId="26321EA4" w:rsidR="00651865" w:rsidRPr="00EB11FE" w:rsidRDefault="00430B58" w:rsidP="00651865">
      <w:pPr>
        <w:rPr>
          <w:rFonts w:ascii="Times New Roman" w:hAnsi="Times New Roman" w:cs="Times New Roman"/>
          <w:b/>
          <w:bCs/>
          <w:sz w:val="20"/>
          <w:szCs w:val="20"/>
        </w:rPr>
      </w:pPr>
      <w:r w:rsidRPr="00EB11FE">
        <w:rPr>
          <w:rFonts w:ascii="Times New Roman" w:hAnsi="Times New Roman" w:cs="Times New Roman"/>
          <w:b/>
          <w:bCs/>
          <w:sz w:val="20"/>
          <w:szCs w:val="20"/>
        </w:rPr>
        <w:t>AI Unpredictability</w:t>
      </w:r>
    </w:p>
    <w:p w14:paraId="0EBB4D79" w14:textId="77777777" w:rsidR="003C231D" w:rsidRPr="00EB11FE" w:rsidRDefault="003C231D" w:rsidP="003C231D">
      <w:pPr>
        <w:rPr>
          <w:rFonts w:ascii="Times New Roman" w:hAnsi="Times New Roman" w:cs="Times New Roman"/>
          <w:sz w:val="20"/>
          <w:szCs w:val="20"/>
        </w:rPr>
      </w:pPr>
      <w:r w:rsidRPr="00EB11FE">
        <w:rPr>
          <w:rFonts w:ascii="Times New Roman" w:eastAsia="Times New Roman" w:hAnsi="Times New Roman" w:cs="Times New Roman"/>
          <w:sz w:val="20"/>
          <w:szCs w:val="20"/>
        </w:rPr>
        <w:t>black box, unpredictable, unpredictability, explainability, interpretability, loss of control, emergent behavior, emergent property, emergent risk, opaque, cannot predict, unable to predict, cannot explain, cannot understand, difficult to explain, difficult to understand, difficult to interpret, challenging to understand, lack of transparency, lack of understanding, lack of explainability, limited understanding, limited visibility, unintended consequences, unexpected outcome, unforeseen, uncertainty, uncertainties, inherent limitations, inherent risk, may fail, may not be effective, may not perform, complexity, inadvertent, undetected error, undetected flaw, undetected bias, erroneous, flaws, hallucination, model drift, adversarial attack, limitations of the technology, limitations of the model, evolving rapidly, not fully understood, data quality, data limitations, model limitations, model uncertainty, inaccuracy, error</w:t>
      </w:r>
    </w:p>
    <w:p w14:paraId="4E4BE24A" w14:textId="77777777" w:rsidR="000D03E2" w:rsidRPr="00EB11FE" w:rsidRDefault="000D03E2" w:rsidP="000D03E2">
      <w:pPr>
        <w:rPr>
          <w:rFonts w:ascii="Times New Roman" w:hAnsi="Times New Roman" w:cs="Times New Roman"/>
          <w:b/>
          <w:bCs/>
          <w:sz w:val="20"/>
          <w:szCs w:val="20"/>
        </w:rPr>
      </w:pPr>
      <w:r w:rsidRPr="00EB11FE">
        <w:rPr>
          <w:rFonts w:ascii="Times New Roman" w:hAnsi="Times New Roman" w:cs="Times New Roman"/>
          <w:b/>
          <w:bCs/>
          <w:sz w:val="20"/>
          <w:szCs w:val="20"/>
        </w:rPr>
        <w:t>General risk framing</w:t>
      </w:r>
    </w:p>
    <w:p w14:paraId="11584EEB" w14:textId="77777777" w:rsidR="00EB11FE" w:rsidRPr="00EB11FE" w:rsidRDefault="00EB11FE" w:rsidP="00EB11FE">
      <w:pPr>
        <w:rPr>
          <w:sz w:val="20"/>
          <w:szCs w:val="20"/>
        </w:rPr>
      </w:pPr>
      <w:r w:rsidRPr="00EB11FE">
        <w:rPr>
          <w:rFonts w:ascii="Times New Roman" w:eastAsia="Times New Roman" w:hAnsi="Times New Roman" w:cs="Times New Roman"/>
          <w:sz w:val="20"/>
          <w:szCs w:val="20"/>
        </w:rPr>
        <w:t>risk, threat, challenge, concern, vulnerability, failure, harm, damage, liability, loss, breach, incident, misuse, abuse</w:t>
      </w:r>
    </w:p>
    <w:p w14:paraId="7FC048F1" w14:textId="77777777" w:rsidR="003C231D" w:rsidRPr="00EB11FE" w:rsidRDefault="003C231D" w:rsidP="00651865">
      <w:pPr>
        <w:rPr>
          <w:rFonts w:ascii="Times New Roman" w:hAnsi="Times New Roman" w:cs="Times New Roman"/>
          <w:b/>
          <w:bCs/>
          <w:sz w:val="20"/>
          <w:szCs w:val="20"/>
        </w:rPr>
      </w:pPr>
    </w:p>
    <w:p w14:paraId="14D9209C" w14:textId="77777777" w:rsidR="00475F3C" w:rsidRPr="00EB11FE" w:rsidRDefault="00475F3C">
      <w:pPr>
        <w:rPr>
          <w:rFonts w:ascii="Times New Roman" w:hAnsi="Times New Roman" w:cs="Times New Roman"/>
          <w:sz w:val="20"/>
          <w:szCs w:val="20"/>
        </w:rPr>
      </w:pPr>
    </w:p>
    <w:sectPr w:rsidR="00475F3C" w:rsidRPr="00EB11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865"/>
    <w:rsid w:val="00012230"/>
    <w:rsid w:val="00033E49"/>
    <w:rsid w:val="000C459E"/>
    <w:rsid w:val="000D03E2"/>
    <w:rsid w:val="00121D92"/>
    <w:rsid w:val="00382C57"/>
    <w:rsid w:val="003975A8"/>
    <w:rsid w:val="003C231D"/>
    <w:rsid w:val="00430B58"/>
    <w:rsid w:val="00475F3C"/>
    <w:rsid w:val="0048140C"/>
    <w:rsid w:val="00651865"/>
    <w:rsid w:val="007E40FF"/>
    <w:rsid w:val="009B42E9"/>
    <w:rsid w:val="009C2270"/>
    <w:rsid w:val="00B21442"/>
    <w:rsid w:val="00D95D02"/>
    <w:rsid w:val="00EB11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1D9733"/>
  <w15:chartTrackingRefBased/>
  <w15:docId w15:val="{0C41CC5B-D078-4FD8-9EFD-D657FF6325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8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518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18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18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18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186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186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186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186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8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518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18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18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18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18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18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18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1865"/>
    <w:rPr>
      <w:rFonts w:eastAsiaTheme="majorEastAsia" w:cstheme="majorBidi"/>
      <w:color w:val="272727" w:themeColor="text1" w:themeTint="D8"/>
    </w:rPr>
  </w:style>
  <w:style w:type="paragraph" w:styleId="Title">
    <w:name w:val="Title"/>
    <w:basedOn w:val="Normal"/>
    <w:next w:val="Normal"/>
    <w:link w:val="TitleChar"/>
    <w:uiPriority w:val="10"/>
    <w:qFormat/>
    <w:rsid w:val="006518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8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18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18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1865"/>
    <w:pPr>
      <w:spacing w:before="160"/>
      <w:jc w:val="center"/>
    </w:pPr>
    <w:rPr>
      <w:i/>
      <w:iCs/>
      <w:color w:val="404040" w:themeColor="text1" w:themeTint="BF"/>
    </w:rPr>
  </w:style>
  <w:style w:type="character" w:customStyle="1" w:styleId="QuoteChar">
    <w:name w:val="Quote Char"/>
    <w:basedOn w:val="DefaultParagraphFont"/>
    <w:link w:val="Quote"/>
    <w:uiPriority w:val="29"/>
    <w:rsid w:val="00651865"/>
    <w:rPr>
      <w:i/>
      <w:iCs/>
      <w:color w:val="404040" w:themeColor="text1" w:themeTint="BF"/>
    </w:rPr>
  </w:style>
  <w:style w:type="paragraph" w:styleId="ListParagraph">
    <w:name w:val="List Paragraph"/>
    <w:basedOn w:val="Normal"/>
    <w:uiPriority w:val="34"/>
    <w:qFormat/>
    <w:rsid w:val="00651865"/>
    <w:pPr>
      <w:ind w:left="720"/>
      <w:contextualSpacing/>
    </w:pPr>
  </w:style>
  <w:style w:type="character" w:styleId="IntenseEmphasis">
    <w:name w:val="Intense Emphasis"/>
    <w:basedOn w:val="DefaultParagraphFont"/>
    <w:uiPriority w:val="21"/>
    <w:qFormat/>
    <w:rsid w:val="00651865"/>
    <w:rPr>
      <w:i/>
      <w:iCs/>
      <w:color w:val="0F4761" w:themeColor="accent1" w:themeShade="BF"/>
    </w:rPr>
  </w:style>
  <w:style w:type="paragraph" w:styleId="IntenseQuote">
    <w:name w:val="Intense Quote"/>
    <w:basedOn w:val="Normal"/>
    <w:next w:val="Normal"/>
    <w:link w:val="IntenseQuoteChar"/>
    <w:uiPriority w:val="30"/>
    <w:qFormat/>
    <w:rsid w:val="006518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1865"/>
    <w:rPr>
      <w:i/>
      <w:iCs/>
      <w:color w:val="0F4761" w:themeColor="accent1" w:themeShade="BF"/>
    </w:rPr>
  </w:style>
  <w:style w:type="character" w:styleId="IntenseReference">
    <w:name w:val="Intense Reference"/>
    <w:basedOn w:val="DefaultParagraphFont"/>
    <w:uiPriority w:val="32"/>
    <w:qFormat/>
    <w:rsid w:val="0065186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569df091-b013-40e3-86ee-bd9cb9e25814}" enabled="0" method="" siteId="{569df091-b013-40e3-86ee-bd9cb9e25814}"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399</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Queen Mary University of London</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Lioliou</dc:creator>
  <cp:keywords/>
  <dc:description/>
  <cp:lastModifiedBy>Eleni Lioliou</cp:lastModifiedBy>
  <cp:revision>2</cp:revision>
  <dcterms:created xsi:type="dcterms:W3CDTF">2026-03-31T14:40:00Z</dcterms:created>
  <dcterms:modified xsi:type="dcterms:W3CDTF">2026-03-31T14:40:00Z</dcterms:modified>
</cp:coreProperties>
</file>