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FAF5" w14:textId="77777777" w:rsidR="00700B9F" w:rsidRDefault="00700B9F" w:rsidP="00700B9F">
      <w:pPr>
        <w:pStyle w:val="Heading1"/>
        <w:pageBreakBefore/>
        <w:rPr>
          <w:lang w:val="en-US"/>
        </w:rPr>
      </w:pPr>
      <w:r>
        <w:rPr>
          <w:lang w:val="en-US"/>
        </w:rPr>
        <w:t>APPENDIX</w:t>
      </w:r>
    </w:p>
    <w:p w14:paraId="67074D09" w14:textId="77777777" w:rsidR="00700B9F" w:rsidRDefault="00700B9F" w:rsidP="00700B9F">
      <w:pPr>
        <w:pStyle w:val="Caption"/>
        <w:rPr>
          <w:lang w:val="en-US"/>
        </w:rPr>
      </w:pPr>
      <w:bookmarkStart w:id="0" w:name="_Ref111216457"/>
      <w:r w:rsidRPr="000C3264">
        <w:rPr>
          <w:lang w:val="en-US"/>
        </w:rPr>
        <w:t>Appendix A</w:t>
      </w:r>
      <w:r>
        <w:fldChar w:fldCharType="begin"/>
      </w:r>
      <w:r w:rsidRPr="000C3264">
        <w:rPr>
          <w:lang w:val="en-US"/>
        </w:rPr>
        <w:instrText xml:space="preserve"> SEQ Appendix_A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0"/>
      <w:r w:rsidRPr="000C3264">
        <w:rPr>
          <w:lang w:val="en-US"/>
        </w:rPr>
        <w:t>:</w:t>
      </w:r>
      <w:r>
        <w:rPr>
          <w:lang w:val="en-US"/>
        </w:rPr>
        <w:t xml:space="preserve"> Propensity Score Matching Approach </w:t>
      </w:r>
    </w:p>
    <w:p w14:paraId="1E234FC7" w14:textId="77777777" w:rsidR="00700B9F" w:rsidRPr="00FB0A34" w:rsidRDefault="00700B9F" w:rsidP="00700B9F">
      <w:pPr>
        <w:rPr>
          <w:color w:val="000000" w:themeColor="text1"/>
          <w:lang w:val="en-US" w:eastAsia="de-DE"/>
        </w:rPr>
      </w:pPr>
      <w:r>
        <w:rPr>
          <w:lang w:val="en-US" w:eastAsia="de-DE"/>
        </w:rPr>
        <w:t xml:space="preserve">To identify comparable US and European multinational groups in Section 4.2, we </w:t>
      </w:r>
      <w:r>
        <w:rPr>
          <w:color w:val="000000" w:themeColor="text1"/>
          <w:lang w:val="en-US" w:eastAsia="de-DE"/>
        </w:rPr>
        <w:t>retrieve</w:t>
      </w:r>
      <w:r w:rsidRPr="00FB0A34">
        <w:rPr>
          <w:color w:val="000000" w:themeColor="text1"/>
          <w:lang w:val="en-US" w:eastAsia="de-DE"/>
        </w:rPr>
        <w:t xml:space="preserve"> consolidated financial data for all MNE</w:t>
      </w:r>
      <w:r>
        <w:rPr>
          <w:color w:val="000000" w:themeColor="text1"/>
          <w:lang w:val="en-US" w:eastAsia="de-DE"/>
        </w:rPr>
        <w:t>s</w:t>
      </w:r>
      <w:r w:rsidRPr="00FB0A34">
        <w:rPr>
          <w:color w:val="000000" w:themeColor="text1"/>
          <w:lang w:val="en-US" w:eastAsia="de-DE"/>
        </w:rPr>
        <w:t xml:space="preserve"> in our samples from the </w:t>
      </w:r>
      <w:proofErr w:type="spellStart"/>
      <w:r w:rsidRPr="00FB0A34">
        <w:rPr>
          <w:color w:val="000000" w:themeColor="text1"/>
          <w:lang w:val="en-US" w:eastAsia="de-DE"/>
        </w:rPr>
        <w:t>Compustat</w:t>
      </w:r>
      <w:proofErr w:type="spellEnd"/>
      <w:r w:rsidRPr="00FB0A34">
        <w:rPr>
          <w:color w:val="000000" w:themeColor="text1"/>
          <w:lang w:val="en-US" w:eastAsia="de-DE"/>
        </w:rPr>
        <w:t xml:space="preserve"> Global and North America database. Then, we perform the PSM in two steps</w:t>
      </w:r>
      <w:r>
        <w:rPr>
          <w:color w:val="000000" w:themeColor="text1"/>
          <w:lang w:val="en-US" w:eastAsia="de-DE"/>
        </w:rPr>
        <w:t xml:space="preserve">, following </w:t>
      </w:r>
      <w:sdt>
        <w:sdtPr>
          <w:rPr>
            <w:color w:val="000000" w:themeColor="text1"/>
            <w:lang w:val="en-US" w:eastAsia="de-DE"/>
          </w:rPr>
          <w:alias w:val="To edit, see citavi.com/edit"/>
          <w:tag w:val="CitaviPlaceholder#05fe8fca-a1ef-4d65-81a1-266119f6f047"/>
          <w:id w:val="458146181"/>
          <w:placeholder>
            <w:docPart w:val="E38658D7B3964940B33E4522DFEC0E73"/>
          </w:placeholder>
        </w:sdtPr>
        <w:sdtContent>
          <w:r>
            <w:rPr>
              <w:color w:val="000000" w:themeColor="text1"/>
              <w:lang w:val="en-US" w:eastAsia="de-DE"/>
            </w:rPr>
            <w:fldChar w:fldCharType="begin"/>
          </w:r>
          <w:r>
            <w:rPr>
              <w:color w:val="000000" w:themeColor="text1"/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xYzU0OTAwLWExNmMtNGEwYy05MmRiLWFhNWY0NjY4YTNhZCIsIlJhbmdlTGVuZ3RoIjoyNiwiUmVmZXJlbmNlSWQiOiJhYzdiZDFiYS0zOGRjLTQyYWQtOGVkOC1mNjllZjIzNjg0N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dWwiLCJMYXN0TmFtZSI6IlJvc2VuYmF1bSIsIk1pZGRsZU5hbWUiOiJSLiIsIlByb3RlY3RlZCI6ZmFsc2UsIlNleCI6MiwiQ3JlYXRlZEJ5IjoiX1NpbmEgV2lsbGtvbW0iLCJDcmVhdGVkT24iOiIyMDIyLTA0LTA0VDA4OjIxOjIyIiwiTW9kaWZpZWRCeSI6Il9TaW5hIFdpbGxrb21tIiwiSWQiOiIzMDBjMDMzMi0wNGIwLTQ1OWEtYmE5MC0xODdkOTdmYzUxOGUiLCJNb2RpZmllZE9uIjoiMjAyMi0wNC0wNFQwODoyMToyMiIsIlByb2plY3QiOnsiJGlkIjoiOCIsIiR0eXBlIjoiU3dpc3NBY2FkZW1pYy5DaXRhdmkuUHJvamVjdCwgU3dpc3NBY2FkZW1pYy5DaXRhdmkifX0seyIkaWQiOiI5IiwiJHR5cGUiOiJTd2lzc0FjYWRlbWljLkNpdGF2aS5QZXJzb24sIFN3aXNzQWNhZGVtaWMuQ2l0YXZpIiwiRmlyc3ROYW1lIjoiRG9uYWxkIiwiTGFzdE5hbWUiOiJSdWJpbiIsIk1pZGRsZU5hbWUiOiJCLiIsIlByb3RlY3RlZCI6ZmFsc2UsIlNleCI6MiwiQ3JlYXRlZEJ5IjoiX1NpbmEgV2lsbGtvbW0iLCJDcmVhdGVkT24iOiIyMDIyLTA0LTA0VDA4OjIxOjIyIiwiTW9kaWZpZWRCeSI6Il9TaW5hIFdpbGxrb21tIiwiSWQiOiJiZWNiYWU2OC1mMGE3LTRlYmQtYTFkMC0zMjlkNjJlMzFiZjEiLCJNb2RpZmllZE9uIjoiMjAyMi0wNC0wNFQwODoyMToyMiIsIlByb2plY3QiOnsiJHJlZiI6IjgifX1dLCJDaXRhdGlvbktleVVwZGF0ZVR5cGUiOjAsIkNvbGxhYm9yYXRvcnMiOltdLCJEb2kiOiIxMC4xMDkzL2Jpb21ldC83MC4xLjQ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5My9iaW9tZXQvNzAuMS40MSIsIlVyaVN0cmluZyI6Imh0dHBzOi8vZG9pLm9yZy8xMC4xMDkzL2Jpb21ldC83MC4xLjQ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W5hIFdpbGxrb21tIiwiQ3JlYXRlZE9uIjoiMjAyMi0xMC0wNlQxMToyNjowNCIsIk1vZGlmaWVkQnkiOiJfU2luYSBXaWxsa29tbSIsIklkIjoiOWQ1MmJiMGMtODczMC00MmQxLWEzMzYtYjk3ZTQ1YjE2ZjFkIiwiTW9kaWZpZWRPbiI6IjIwMjItMTAtMDZUMTE6MjY6MDQiLCJQcm9qZWN0Ijp7IiRyZWYiOiI4In19XSwiTnVtYmVyIjoiMSIsIk9yZ2FuaXphdGlvbnMiOltdLCJPdGhlcnNJbnZvbHZlZCI6W10sIlBhZ2VSYW5nZSI6IjxzcD5cclxuICA8bj40MTwvbj5cclxuICA8aW4+dHJ1ZTwvaW4+XHJcbiAgPG9zPjQxPC9vcz5cclxuICA8cHM+NDE8L3BzPlxyXG48L3NwPlxyXG48ZXA+XHJcbiAgPG4+NTU8L24+XHJcbiAgPGluPnRydWU8L2luPlxyXG4gIDxvcz41NTwvb3M+XHJcbiAgPHBzPjU1PC9wcz5cclxuPC9lcD5cclxuPG9zPjQxLTU1PC9vcz4iLCJQZXJpb2RpY2FsIjp7IiRpZCI6IjEzIiwiJHR5cGUiOiJTd2lzc0FjYWRlbWljLkNpdGF2aS5QZXJpb2RpY2FsLCBTd2lzc0FjYWRlbWljLkNpdGF2aSIsIk5hbWUiOiJCaW9tZXRyaWthIiwiUGFnaW5hdGlvbiI6MCwiUHJvdGVjdGVkIjpmYWxzZSwiQ3JlYXRlZEJ5IjoiX1NpbmEgV2lsbGtvbW0iLCJDcmVhdGVkT24iOiIyMDIyLTA0LTA0VDA4OjIxOjIyIiwiTW9kaWZpZWRCeSI6Il9TaW5hIFdpbGxrb21tIiwiSWQiOiJmNWM1OTExMS0xZGIzLTQ2NTMtOTAxMy05YWU2NjhhYTAxNWEiLCJNb2RpZmllZE9uIjoiMjAyMi0wNC0wNFQwODoyMToyMiIsIlByb2plY3QiOnsiJHJlZiI6IjgifX0sIlB1Ymxpc2hlcnMiOltdLCJRdW90YXRpb25zIjpbXSwiUmF0aW5nIjowLCJSZWZlcmVuY2VUeXBlIjoiSm91cm5hbEFydGljbGUiLCJTaG9ydFRpdGxlIjoiUm9zZW5iYXVtLCBSdWJpbiAxOTgzIOKAkyBUaGUgY2VudHJhbCByb2xlIiwiU2hvcnRUaXRsZVVwZGF0ZVR5cGUiOjAsIlN0YXRpY0lkcyI6WyIxOGJmY2RlOS0xOWZlLTQ0ZmUtYmMwYS03ZTdkOTc2NDMxYjYiXSwiVGFibGVPZkNvbnRlbnRzQ29tcGxleGl0eSI6MCwiVGFibGVPZkNvbnRlbnRzU291cmNlVGV4dEZvcm1hdCI6MCwiVGFza3MiOltdLCJUaXRsZSI6IlRoZSBjZW50cmFsIHJvbGUgb2YgdGhlIHByb3BlbnNpdHkgc2NvcmUgaW4gb2JzZXJ2YXRpb25hbCBzdHVkaWVzIGZvciBjYXVzYWwgZWZmZWN0cyIsIlRyYW5zbGF0b3JzIjpbXSwiVm9sdW1lIjoiNzAiLCJZZWFyIjoiMTk4MyIsIlllYXJSZXNvbHZlZCI6IjE5ODMiLCJDcmVhdGVkQnkiOiJfU2luYSBXaWxsa29tbSIsIkNyZWF0ZWRPbiI6IjIwMjItMDQtMDRUMDg6MjE6MjIiLCJNb2RpZmllZEJ5IjoiX1NpbmEgV2lsbGtvbW0iLCJJZCI6ImFjN2JkMWJhLTM4ZGMtNDJhZC04ZWQ4LWY2OWVmMjM2ODQ2YSIsIk1vZGlmaWVkT24iOiIyMDIyLTEwLTA2VDExOjI2OjA0IiwiUHJvamVjdCI6eyIkcmVmIjoiOCJ9fSwiUnVsZVNldE92ZXJyaWRlIjozLCJVc2VOdW1iZXJpbmdUeXBlT2ZQYXJlbnREb2N1bWVudCI6ZmFsc2V9XSwiRm9ybWF0dGVkVGV4dCI6eyIkaWQiOiIxNCIsIkNvdW50IjoxLCJUZXh0VW5pdHMiOlt7IiRpZCI6IjE1IiwiRm9udFN0eWxlIjp7IiRpZCI6IjE2IiwiTmV1dHJhbCI6dHJ1ZX0sIlJlYWRpbmdPcmRlciI6MSwiVGV4dCI6IlJvc2VuYmF1bSBhbmQgUnViaW4gKDE5ODMpIn1dfSwiVGFnIjoiQ2l0YXZpUGxhY2Vob2xkZXIjMDVmZThmY2EtYTFlZi00ZDY1LTgxYTEtMjY2MTE5ZjZmMDQ3IiwiVGV4dCI6IlJvc2VuYmF1bSBhbmQgUnViaW4gKDE5ODMpIiwiV0FJVmVyc2lvbiI6IjYuMTQuMC4wIn0=}</w:instrText>
          </w:r>
          <w:r>
            <w:rPr>
              <w:color w:val="000000" w:themeColor="text1"/>
              <w:lang w:val="en-US" w:eastAsia="de-DE"/>
            </w:rPr>
            <w:fldChar w:fldCharType="separate"/>
          </w:r>
          <w:r>
            <w:rPr>
              <w:color w:val="000000" w:themeColor="text1"/>
              <w:lang w:val="en-US" w:eastAsia="de-DE"/>
            </w:rPr>
            <w:t>Rosenbaum and Rubin (1983)</w:t>
          </w:r>
          <w:r>
            <w:rPr>
              <w:color w:val="000000" w:themeColor="text1"/>
              <w:lang w:val="en-US" w:eastAsia="de-DE"/>
            </w:rPr>
            <w:fldChar w:fldCharType="end"/>
          </w:r>
        </w:sdtContent>
      </w:sdt>
      <w:r w:rsidRPr="00FB0A34">
        <w:rPr>
          <w:color w:val="000000" w:themeColor="text1"/>
          <w:lang w:val="en-US" w:eastAsia="de-DE"/>
        </w:rPr>
        <w:t xml:space="preserve">. First, we estimate the probability that the multinational group’s parent firm </w:t>
      </w:r>
      <w:r w:rsidRPr="00FB0A34">
        <w:rPr>
          <w:i/>
          <w:color w:val="000000" w:themeColor="text1"/>
          <w:lang w:val="en-US" w:eastAsia="de-DE"/>
        </w:rPr>
        <w:t>j</w:t>
      </w:r>
      <w:r w:rsidRPr="00FB0A34">
        <w:rPr>
          <w:color w:val="000000" w:themeColor="text1"/>
          <w:lang w:val="en-US" w:eastAsia="de-DE"/>
        </w:rPr>
        <w:t xml:space="preserve"> is based in the EU using the following probit regression: </w:t>
      </w:r>
    </w:p>
    <w:p w14:paraId="4BB84249" w14:textId="77777777" w:rsidR="00700B9F" w:rsidRPr="00FB0A34" w:rsidRDefault="00700B9F" w:rsidP="00700B9F">
      <w:pPr>
        <w:spacing w:after="120"/>
        <w:jc w:val="left"/>
        <w:rPr>
          <w:color w:val="000000" w:themeColor="text1"/>
          <w:lang w:val="en-US" w:eastAsia="de-DE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 w:eastAsia="de-D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EU</m:t>
            </m:r>
          </m:e>
          <m:sub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j2010</m:t>
            </m:r>
          </m:sub>
        </m:sSub>
        <m:r>
          <w:rPr>
            <w:rFonts w:ascii="Cambria Math" w:hAnsi="Cambria Math"/>
            <w:color w:val="000000" w:themeColor="text1"/>
            <w:lang w:val="en-US" w:eastAsia="de-DE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 w:eastAsia="de-D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 w:eastAsia="de-D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j2010</m:t>
            </m:r>
          </m:sub>
        </m:sSub>
        <m:r>
          <w:rPr>
            <w:rFonts w:ascii="Cambria Math" w:hAnsi="Cambria Math"/>
            <w:color w:val="000000" w:themeColor="text1"/>
            <w:lang w:val="en-US" w:eastAsia="de-D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 w:eastAsia="de-D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  <w:lang w:val="en-US" w:eastAsia="de-DE"/>
              </w:rPr>
              <m:t>j2010</m:t>
            </m:r>
          </m:sub>
        </m:sSub>
      </m:oMath>
      <w:r w:rsidRPr="00FB0A34">
        <w:rPr>
          <w:rFonts w:eastAsiaTheme="minorEastAsia"/>
          <w:color w:val="000000" w:themeColor="text1"/>
          <w:lang w:val="en-US" w:eastAsia="de-DE"/>
        </w:rPr>
        <w:tab/>
      </w:r>
      <w:r w:rsidRPr="00FB0A34">
        <w:rPr>
          <w:rFonts w:eastAsiaTheme="minorEastAsia"/>
          <w:color w:val="000000" w:themeColor="text1"/>
          <w:lang w:val="en-US" w:eastAsia="de-DE"/>
        </w:rPr>
        <w:tab/>
      </w:r>
      <w:r w:rsidRPr="00FB0A34">
        <w:rPr>
          <w:rFonts w:eastAsiaTheme="minorEastAsia"/>
          <w:color w:val="000000" w:themeColor="text1"/>
          <w:lang w:val="en-US" w:eastAsia="de-DE"/>
        </w:rPr>
        <w:tab/>
      </w:r>
      <w:r w:rsidRPr="00FB0A34">
        <w:rPr>
          <w:rFonts w:eastAsiaTheme="minorEastAsia"/>
          <w:color w:val="000000" w:themeColor="text1"/>
          <w:lang w:val="en-US" w:eastAsia="de-DE"/>
        </w:rPr>
        <w:tab/>
      </w:r>
      <w:r w:rsidRPr="00FB0A34">
        <w:rPr>
          <w:rFonts w:eastAsiaTheme="minorEastAsia"/>
          <w:color w:val="000000" w:themeColor="text1"/>
          <w:lang w:val="en-US" w:eastAsia="de-DE"/>
        </w:rPr>
        <w:tab/>
        <w:t xml:space="preserve">   </w:t>
      </w:r>
      <w:r w:rsidRPr="00FB0A34">
        <w:rPr>
          <w:rFonts w:eastAsiaTheme="minorEastAsia"/>
          <w:color w:val="000000" w:themeColor="text1"/>
          <w:lang w:val="en-US" w:eastAsia="de-DE"/>
        </w:rPr>
        <w:tab/>
        <w:t xml:space="preserve">                (</w:t>
      </w:r>
      <w:r>
        <w:rPr>
          <w:rFonts w:eastAsiaTheme="minorEastAsia"/>
          <w:color w:val="000000" w:themeColor="text1"/>
          <w:lang w:val="en-US" w:eastAsia="de-DE"/>
        </w:rPr>
        <w:t>2</w:t>
      </w:r>
      <w:r w:rsidRPr="00FB0A34">
        <w:rPr>
          <w:rFonts w:eastAsiaTheme="minorEastAsia"/>
          <w:color w:val="000000" w:themeColor="text1"/>
          <w:lang w:val="en-US" w:eastAsia="de-DE"/>
        </w:rPr>
        <w:t>)</w:t>
      </w:r>
    </w:p>
    <w:p w14:paraId="76D3BED0" w14:textId="77777777" w:rsidR="00700B9F" w:rsidRDefault="00700B9F" w:rsidP="00700B9F">
      <w:pPr>
        <w:rPr>
          <w:color w:val="000000" w:themeColor="text1"/>
          <w:lang w:val="en-US" w:eastAsia="de-DE"/>
        </w:rPr>
      </w:pPr>
      <w:r w:rsidRPr="00431579">
        <w:rPr>
          <w:i/>
          <w:lang w:val="en-US" w:eastAsia="de-DE"/>
        </w:rPr>
        <w:t>EU</w:t>
      </w:r>
      <w:r w:rsidRPr="00431579">
        <w:rPr>
          <w:i/>
          <w:vertAlign w:val="subscript"/>
          <w:lang w:val="en-US" w:eastAsia="de-DE"/>
        </w:rPr>
        <w:t>j</w:t>
      </w:r>
      <w:r>
        <w:rPr>
          <w:i/>
          <w:vertAlign w:val="subscript"/>
          <w:lang w:val="en-US" w:eastAsia="de-DE"/>
        </w:rPr>
        <w:t>2010</w:t>
      </w:r>
      <w:r w:rsidRPr="00431579">
        <w:rPr>
          <w:lang w:val="en-US" w:eastAsia="de-DE"/>
        </w:rPr>
        <w:t xml:space="preserve"> is a time-invariant dummy variable equal to </w:t>
      </w:r>
      <w:r>
        <w:rPr>
          <w:lang w:val="en-US" w:eastAsia="de-DE"/>
        </w:rPr>
        <w:t>one</w:t>
      </w:r>
      <w:r w:rsidRPr="00431579">
        <w:rPr>
          <w:lang w:val="en-US" w:eastAsia="de-DE"/>
        </w:rPr>
        <w:t xml:space="preserve"> if the parent firm </w:t>
      </w:r>
      <w:proofErr w:type="gramStart"/>
      <w:r w:rsidRPr="00431579">
        <w:rPr>
          <w:lang w:val="en-US" w:eastAsia="de-DE"/>
        </w:rPr>
        <w:t>is located in</w:t>
      </w:r>
      <w:proofErr w:type="gramEnd"/>
      <w:r w:rsidRPr="00431579">
        <w:rPr>
          <w:lang w:val="en-US" w:eastAsia="de-DE"/>
        </w:rPr>
        <w:t xml:space="preserve"> the EU and </w:t>
      </w:r>
      <w:r>
        <w:rPr>
          <w:lang w:val="en-US" w:eastAsia="de-DE"/>
        </w:rPr>
        <w:t>zero</w:t>
      </w:r>
      <w:r w:rsidRPr="00431579">
        <w:rPr>
          <w:lang w:val="en-US" w:eastAsia="de-DE"/>
        </w:rPr>
        <w:t xml:space="preserve"> if it is based in the US.</w:t>
      </w:r>
      <w:r w:rsidRPr="00431579">
        <w:rPr>
          <w:i/>
          <w:lang w:val="en-US" w:eastAsia="de-DE"/>
        </w:rPr>
        <w:t xml:space="preserve"> X</w:t>
      </w:r>
      <w:r w:rsidRPr="00431579">
        <w:rPr>
          <w:i/>
          <w:vertAlign w:val="subscript"/>
          <w:lang w:val="en-US" w:eastAsia="de-DE"/>
        </w:rPr>
        <w:t>j</w:t>
      </w:r>
      <w:r>
        <w:rPr>
          <w:i/>
          <w:vertAlign w:val="subscript"/>
          <w:lang w:val="en-US" w:eastAsia="de-DE"/>
        </w:rPr>
        <w:t>2010</w:t>
      </w:r>
      <w:r w:rsidRPr="00431579">
        <w:rPr>
          <w:lang w:val="en-US" w:eastAsia="de-DE"/>
        </w:rPr>
        <w:t xml:space="preserve"> denotes a vector of different firm characteristics that are found to determine tax expenses </w:t>
      </w:r>
      <w:sdt>
        <w:sdtPr>
          <w:rPr>
            <w:lang w:eastAsia="de-DE"/>
          </w:rPr>
          <w:alias w:val="To edit, see citavi.com/edit"/>
          <w:tag w:val="CitaviPlaceholder#4f91113f-ae4f-4de7-8ddf-f7fe8801a4eb"/>
          <w:id w:val="83893645"/>
          <w:placeholder>
            <w:docPart w:val="E38658D7B3964940B33E4522DFEC0E73"/>
          </w:placeholder>
        </w:sdtPr>
        <w:sdtContent>
          <w:r>
            <w:rPr>
              <w:lang w:eastAsia="de-DE"/>
            </w:rPr>
            <w:fldChar w:fldCharType="begin"/>
          </w:r>
          <w:r>
            <w:rPr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5ZjY3YWNjLTRkMDUtNGZmZC04NWRkLWE1MWIxZmZlMThiYSIsIlJhbmdlU3RhcnQiOjM5LCJSYW5nZUxlbmd0aCI6MTMsIlJlZmVyZW5jZUlkIjoiN2E2M2M4Y2EtOTA5OC00MTcxLThkOTEtMzJhOGZjN2I0OTE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b25qYSIsIkxhc3ROYW1lIjoiUmVnbyIsIk1pZGRsZU5hbWUiOiJPbGhvZnQiLCJQcm90ZWN0ZWQiOmZhbHNlLCJTZXgiOjEsIkNyZWF0ZWRCeSI6Il9TaW5hIFdpbGxrb21tIiwiQ3JlYXRlZE9uIjoiMjAyMi0wNC0wNFQwODozNzowOSIsIk1vZGlmaWVkQnkiOiJfU2luYSBXaWxsa29tbSIsIklkIjoiOTc0ODEwZTItMWUxZC00NzExLWE1ZDktNTNkYWZjZjEzYzU0IiwiTW9kaWZpZWRPbiI6IjIwMjItMDQtMDRUMDg6Mzc6MDk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VGF4LUF2b2lkYW5jZSBBY3Rpdml0aWVzIG9mIFVT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1MDYvVkFOTi1CN1VCLUdNRkEtOUU2V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1MDYvVkFOTi1CN1VCLUdNRkEtOUU2VyIsIlVyaVN0cmluZyI6Imh0dHBzOi8vZG9pLm9yZy8xMC4xNTA2L1ZBTk4tQjdVQi1HTUZBLTlFNl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pbmEgV2lsbGtvbW0iLCJDcmVhdGVkT24iOiIyMDIyLTEwLTA2VDExOjI1OjIyIiwiTW9kaWZpZWRCeSI6Il9TaW5hIFdpbGxrb21tIiwiSWQiOiIzMmFmMDRkZS0zYzY2LTRjN2MtODY4OC03NDU5MzExMjg4NDUiLCJNb2RpZmllZE9uIjoiMjAyMi0xMC0wNlQxMToyNToyMiIsIlByb2plY3QiOnsiJHJlZiI6IjgifX1dLCJOdW1iZXIiOiI0IiwiT3JnYW5pemF0aW9ucyI6W10sIk90aGVyc0ludm9sdmVkIjpbXSwiUGFnZUNvdW50IjoiMjkiLCJQYWdlUmFuZ2UiOiI8c3A+XHJcbiAgPG4+ODA1PC9uPlxyXG4gIDxpbj50cnVlPC9pbj5cclxuICA8b3M+ODA1PC9vcz5cclxuICA8cHM+ODA1PC9wcz5cclxuPC9zcD5cclxuPGVwPlxyXG4gIDxuPjgzMzwvbj5cclxuICA8aW4+dHJ1ZTwvaW4+XHJcbiAgPG9zPjgzMzwvb3M+XHJcbiAgPHBzPjgzMzwvcHM+XHJcbjwvZXA+XHJcbjxvcz44MDUtODMzPC9vcz4iLCJQZXJpb2RpY2FsIjp7IiRpZCI6IjE0IiwiJHR5cGUiOiJTd2lzc0FjYWRlbWljLkNpdGF2aS5QZXJpb2RpY2FsLCBTd2lzc0FjYWRlbWljLkNpdGF2aSIsIk5hbWUiOiJDb250ZW1wb3JhcnkgQWNjb3VudGluZyBSZXNlYXJjaCIsIlBhZ2luYXRpb24iOjAsIlByb3RlY3RlZCI6ZmFsc2UsIkNyZWF0ZWRCeSI6Il9zdyIsIkNyZWF0ZWRPbiI6IjIwMTgtMDktMDVUMDg6NTM6NTQiLCJNb2RpZmllZEJ5IjoiX3N3IiwiSWQiOiI0ZGJhM2NlYS04ODhjLTQ0NTUtODA1Mi00ZjMwYTVjZjkwNDciLCJNb2RpZmllZE9uIjoiMjAxOC0wOS0wNVQwODo1Mzo1NCIsIlByb2plY3QiOnsiJHJlZiI6IjgifX0sIlB1Ymxpc2hlcnMiOltdLCJRdW90YXRpb25zIjpbXSwiUmF0aW5nIjowLCJSZWZlcmVuY2VUeXBlIjoiSm91cm5hbEFydGljbGUiLCJTaG9ydFRpdGxlIjoiUmVnbyAyMDAzIOKAkyBUYXgtYXZvaWRhbmNlIGFjdGl2aXRpZXMgb2YgVS5TIiwiU2hvcnRUaXRsZVVwZGF0ZVR5cGUiOjAsIlN0YXRpY0lkcyI6WyIwMWM1Mzc4Zi1jYTcxLTQ4YzYtYTVjOS00ZWQwMGM0ZDgyMzUiXSwiVGFibGVPZkNvbnRlbnRzQ29tcGxleGl0eSI6MCwiVGFibGVPZkNvbnRlbnRzU291cmNlVGV4dEZvcm1hdCI6MCwiVGFza3MiOltdLCJUaXRsZSI6IlRheC1hdm9pZGFuY2UgYWN0aXZpdGllcyBvZiBVLlMuIG11bHRpbmF0aW9uYWwgY29ycG9yYXRpb25zIiwiVHJhbnNsYXRvcnMiOltdLCJWb2x1bWUiOiIyMCIsIlllYXIiOiIyMDAzIiwiWWVhclJlc29sdmVkIjoiMjAwMyIsIkNyZWF0ZWRCeSI6Il9TaW5hIFdpbGxrb21tIiwiQ3JlYXRlZE9uIjoiMjAyMi0wNC0wNFQwODozNzowOSIsIk1vZGlmaWVkQnkiOiJfU2luYSBXaWxsa29tbSIsIklkIjoiN2E2M2M4Y2EtOTA5OC00MTcxLThkOTEtMzJhOGZjN2I0OTE4IiwiTW9kaWZpZWRPbiI6IjIwMjItMTAtMTRUMTQ6NDU6MDEiLCJQcm9qZWN0Ijp7IiRyZWYiOiI4In19LCJVc2VOdW1iZXJpbmdUeXBlT2ZQYXJlbnREb2N1bWVudCI6ZmFsc2V9LHsiJGlkIjoiMTUiLCIkdHlwZSI6IlN3aXNzQWNhZGVtaWMuQ2l0YXZpLkNpdGF0aW9ucy5Xb3JkUGxhY2Vob2xkZXJFbnRyeSwgU3dpc3NBY2FkZW1pYy5DaXRhdmkiLCJJZCI6IjVlOWU3OTlmLTYwOTItNGNmZC1hM2Q0LTUzYTRiMTc3OGYxYyIsIlJhbmdlU3RhcnQiOjI0LCJSYW5nZUxlbmd0aCI6MTUsIlJlZmVyZW5jZUlkIjoiYjRjYmI3YTgtY2FmNS00OTQyLTk0NDMtMWMwYzc5OGJhMzg0IiwiUGFnZVJhbmdlIjp7IiRpZCI6IjE2IiwiJHR5cGUiOiJTd2lzc0FjYWRlbWljLlBhZ2VSYW5nZSwgU3dpc3NBY2FkZW1pYyIsIkVuZFBhZ2UiOnsiJGlkIjoiMTciLCIkdHlwZSI6IlN3aXNzQWNhZGVtaWMuUGFnZU51bWJlciwgU3dpc3NBY2FkZW1pYyIsIklzRnVsbHlOdW1lcmljIjpmYWxzZSwiTnVtYmVyaW5nVHlwZSI6MCwiTnVtZXJhbFN5c3RlbSI6MH0sIk51bWJlcmluZ1R5cGUiOjAsIk51bWVyYWxTeXN0ZW0iOjAsIlN0YXJ0UGFnZSI6eyIkaWQiOiIxOCIsIiR0eXBlIjoiU3dpc3NBY2FkZW1pYy5QYWdlTnVtYmVyLCBTd2lzc0FjYWRlbWljIiwiSXNGdWxseU51bWVyaWMiOmZhbHNlLCJOdW1iZXJpbmdUeXBlIjowLCJOdW1lcmFsU3lzdGVtIjowfX0sIlJlZmVyZW5jZSI6eyIkaWQiOiIxOSIsIiR0eXBlIjoiU3dpc3NBY2FkZW1pYy5DaXRhdmkuUmVmZXJlbmNlLCBTd2lzc0FjYWRlbWljLkNpdGF2aSIsIkFic3RyYWN0Q29tcGxleGl0eSI6MCwiQWJzdHJhY3RTb3VyY2VUZXh0Rm9ybWF0IjowLCJBdXRob3JzIjpbeyIkaWQiOiIyMCIsIiR0eXBlIjoiU3dpc3NBY2FkZW1pYy5DaXRhdmkuUGVyc29uLCBTd2lzc0FjYWRlbWljLkNpdGF2aSIsIkZpcnN0TmFtZSI6IkhhcnJ5IiwiTGFzdE5hbWUiOiJHcnViZXJ0IiwiUHJvdGVjdGVkIjpmYWxzZSwiU2V4IjoyLCJDcmVhdGVkQnkiOiJfc3ciLCJDcmVhdGVkT24iOiIyMDE4LTEwLTE3VDEyOjM1OjI4IiwiTW9kaWZpZWRCeSI6Il9zdyIsIklkIjoiYzRmOGYzNGUtYTM2Zi00NjAwLThjNzItODdjNWNiYmE0N2RmIiwiTW9kaWZpZWRPbiI6IjIwMTgtMTAtMTdUMTI6MzU6MjgiLCJQcm9qZWN0Ijp7IiRyZWYiOiI4In19XSwiQ2l0YXRpb25LZXlVcGRhdGVUeXBlIjowLCJDb2xsYWJvcmF0b3JzIjpbXSwiRG9pIjoiMTAuMTczMTAvbnRqLjIwMDMuMVMuMDU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NzMxMC9udGouMjAwMy4xUy4wNSIsIlVyaVN0cmluZyI6Imh0dHBzOi8vZG9pLm9yZy8xMC4xNzMxMC9udGouMjAwMy4xUy4wN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zdyIsIkNyZWF0ZWRPbiI6IjIwMTgtMTAtMTdUMTI6MzU6MjgiLCJNb2RpZmllZEJ5IjoiX3N3IiwiSWQiOiJjNGZmZDU3MS03NjE2LTQxMTUtYTJlMy05MDBkZjZjNGRiYjciLCJNb2RpZmllZE9uIjoiMjAxOC0xMC0xN1QxMjozNToyOCIsIlByb2plY3QiOnsiJHJlZiI6IjgifX1dLCJOdW1iZXIiOiIxIiwiT3JnYW5pemF0aW9ucyI6W10sIk90aGVyc0ludm9sdmVkIjpbXSwiUGFnZVJhbmdlIjoiPHNwPlxyXG4gIDxuPjIyMTwvbj5cclxuICA8aW4+dHJ1ZTwvaW4+XHJcbiAgPG9zPjIyMTwvb3M+XHJcbiAgPHBzPjIyMTwvcHM+XHJcbjwvc3A+XHJcbjxlcD5cclxuICA8bj4yNDI8L24+XHJcbiAgPGluPnRydWU8L2luPlxyXG4gIDxvcz4yNDI8L29zPlxyXG4gIDxwcz4yNDI8L3BzPlxyXG48L2VwPlxyXG48b3M+MjIxLTI0Mjwvb3M+IiwiUGVyaW9kaWNhbCI6eyIkaWQiOiIyNCIsIiR0eXBlIjoiU3dpc3NBY2FkZW1pYy5DaXRhdmkuUGVyaW9kaWNhbCwgU3dpc3NBY2FkZW1pYy5DaXRhdmkiLCJOYW1lIjoiTmF0aW9uYWwgVGF4IEpvdXJuYWwiLCJQYWdpbmF0aW9uIjowLCJQcm90ZWN0ZWQiOmZhbHNlLCJDcmVhdGVkQnkiOiJfc3ciLCJDcmVhdGVkT24iOiIyMDE4LTA5LTA1VDA4OjUzOjU0IiwiTW9kaWZpZWRCeSI6Il9zdyIsIklkIjoiOWE3MjZhZjMtNDQxNS00MTcxLTlkOTctNWFjNGRkOGJhZjk1IiwiTW9kaWZpZWRPbiI6IjIwMTgtMDktMDVUMDg6NTM6NTQiLCJQcm9qZWN0Ijp7IiRyZWYiOiI4In19LCJQdWJsaXNoZXJzIjpbXSwiUXVvdGF0aW9ucyI6W10sIlJhdGluZyI6MCwiUmVmZXJlbmNlVHlwZSI6IkpvdXJuYWxBcnRpY2xlIiwiU2hvcnRUaXRsZSI6IkdydWJlcnQgMjAwMyDigJMgSW50YW5naWJsZSBpbmNvbWUiLCJTaG9ydFRpdGxlVXBkYXRlVHlwZSI6MCwiU291cmNlT2ZCaWJsaW9ncmFwaGljSW5mb3JtYXRpb24iOiJDcm9zc1JlZiIsIlN0YXRpY0lkcyI6WyJjYTUwMGQ3OS02MDY1LTQ0YmQtOTE3OS03YmUwZDU0ZjE2ZWYiXSwiVGFibGVPZkNvbnRlbnRzQ29tcGxleGl0eSI6MCwiVGFibGVPZkNvbnRlbnRzU291cmNlVGV4dEZvcm1hdCI6MCwiVGFza3MiOltdLCJUaXRsZSI6IkludGFuZ2libGUgaW5jb21lLCBpbnRlcmNvbXBhbnkgdHJhbnNhY3Rpb25zLCBpbmNvbWUgc2hpZnRpbmcsIGFuZCB0aGUgY2hvaWNlIG9mIGxvY2F0aW9uIiwiVHJhbnNsYXRvcnMiOltdLCJWb2x1bWUiOiI1NiIsIlllYXIiOiIyMDAzIiwiWWVhclJlc29sdmVkIjoiMjAwMyIsIkNyZWF0ZWRCeSI6Il9zdyIsIkNyZWF0ZWRPbiI6IjIwMTgtMTAtMTdUMTI6MzU6MjgiLCJNb2RpZmllZEJ5IjoiX1NpbmEgV2lsbGtvbW0iLCJJZCI6ImI0Y2JiN2E4LWNhZjUtNDk0Mi05NDQzLTFjMGM3OThiYTM4NCIsIk1vZGlmaWVkT24iOiIyMDIyLTEwLTE0VDE0OjM0OjQ5IiwiUHJvamVjdCI6eyIkcmVmIjoiOCJ9fSwiVXNlTnVtYmVyaW5nVHlwZU9mUGFyZW50RG9jdW1lbnQiOmZhbHNlfSx7IiRpZCI6IjI1IiwiJHR5cGUiOiJTd2lzc0FjYWRlbWljLkNpdGF2aS5DaXRhdGlvbnMuV29yZFBsYWNlaG9sZGVyRW50cnksIFN3aXNzQWNhZGVtaWMuQ2l0YXZpIiwiSWQiOiIwNzI4NmM4Zi0wODFlLTRkYTgtYjRlNi02NDhhYzlmODEzY2UiLCJSYW5nZUxlbmd0aCI6MjQsIlJlZmVyZW5jZUlkIjoiOTBkY2ZiODUtYTVlNC00Y2JkLThmZjItNzlmZTZkNzM2NDljIiwiUGFnZVJhbmdlIjp7IiRpZCI6IjI2IiwiJHR5cGUiOiJTd2lzc0FjYWRlbWljLlBhZ2VSYW5nZSwgU3dpc3NBY2FkZW1pYyIsIkVuZFBhZ2UiOnsiJGlkIjoiMjciLCIkdHlwZSI6IlN3aXNzQWNhZGVtaWMuUGFnZU51bWJlciwgU3dpc3NBY2FkZW1pYyIsIklzRnVsbHlOdW1lcmljIjpmYWxzZSwiTnVtYmVyaW5nVHlwZSI6MCwiTnVtZXJhbFN5c3RlbSI6MH0sIk51bWJlcmluZ1R5cGUiOjAsIk51bWVyYWxTeXN0ZW0iOjAsIlN0YXJ0UGFnZSI6eyIkaWQiOiIyOCIsIiR0eXBlIjoiU3dpc3NBY2FkZW1pYy5QYWdlTnVtYmVyLCBTd2lzc0FjYWRlbWljIiwiSXNGdWxseU51bWVyaWMiOmZhbHNlLCJOdW1iZXJpbmdUeXBlIjowLCJOdW1lcmFsU3lzdGVtIjowfX0sIlByZWZpeCI6ImUuZy4sICIsIlJlZmVyZW5jZSI6eyIkaWQiOiIyOSIsIiR0eXBlIjoiU3dpc3NBY2FkZW1pYy5DaXRhdmkuUmVmZXJlbmNlLCBTd2lzc0FjYWRlbWljLkNpdGF2aSIsIkFic3RyYWN0Q29tcGxleGl0eSI6MCwiQWJzdHJhY3RTb3VyY2VUZXh0Rm9ybWF0IjowLCJBY2Nlc3NEYXRlIjoiMDQuMDQuMjAyMiIsIkF1dGhvcnMiOlt7IiRpZCI6IjMwIiwiJHR5cGUiOiJTd2lzc0FjYWRlbWljLkNpdGF2aS5QZXJzb24sIFN3aXNzQWNhZGVtaWMuQ2l0YXZpIiwiRmlyc3ROYW1lIjoiU2h1cGluZyIsIkxhc3ROYW1lIjoiQ2hlbiIsIlByb3RlY3RlZCI6ZmFsc2UsIlNleCI6MCwiQ3JlYXRlZEJ5IjoiX1NpbmEgV2lsbGtvbW0iLCJDcmVhdGVkT24iOiIyMDIyLTA0LTA0VDA4OjQ3OjI2IiwiTW9kaWZpZWRCeSI6Il9TaW5hIFdpbGxrb21tIiwiSWQiOiJlMzhhMTg5YS05N2ZlLTRmZjQtODk3OC03MzZjOWI2ZTk5MzgiLCJNb2RpZmllZE9uIjoiMjAyMi0wNC0wNFQwODo0NzoyNiIsIlByb2plY3QiOnsiJHJlZiI6IjgifX0seyIkaWQiOiIzMSIsIiR0eXBlIjoiU3dpc3NBY2FkZW1pYy5DaXRhdmkuUGVyc29uLCBTd2lzc0FjYWRlbWljLkNpdGF2aSIsIkZpcnN0TmFtZSI6IlhpYSIsIkxhc3ROYW1lIjoiQ2hlbiIsIlByb3RlY3RlZCI6ZmFsc2UsIlNleCI6MCwiQ3JlYXRlZEJ5IjoiX1NpbmEgV2lsbGtvbW0iLCJDcmVhdGVkT24iOiIyMDIyLTA0LTA0VDA4OjQ3OjI2IiwiTW9kaWZpZWRCeSI6Il9TaW5hIFdpbGxrb21tIiwiSWQiOiIxNzBiMzdhZC03Zjk2LTQ4MWMtOGY3MC1lM2RjOWRkMzgzMWMiLCJNb2RpZmllZE9uIjoiMjAyMi0wNC0wNFQwODo0NzoyNiIsIlByb2plY3QiOnsiJHJlZiI6IjgifX0seyIkaWQiOiIzMiIsIiR0eXBlIjoiU3dpc3NBY2FkZW1pYy5DaXRhdmkuUGVyc29uLCBTd2lzc0FjYWRlbWljLkNpdGF2aSIsIkZpcnN0TmFtZSI6IlFpYW5nIiwiTGFzdE5hbWUiOiJDaGVuZyIsIlByb3RlY3RlZCI6ZmFsc2UsIlNleCI6MCwiQ3JlYXRlZEJ5IjoiX1NpbmEgV2lsbGtvbW0iLCJDcmVhdGVkT24iOiIyMDIyLTA0LTA0VDA4OjQ3OjI2IiwiTW9kaWZpZWRCeSI6Il9TaW5hIFdpbGxrb21tIiwiSWQiOiIzZDJmZWFiNC1jODk3LTQ5NjktODA2NS1hNGQ2NWI3ZTc3ZWEiLCJNb2RpZmllZE9uIjoiMjAyMi0wNC0wNFQwODo0NzoyNiIsIlByb2plY3QiOnsiJHJlZiI6IjgifX0seyIkaWQiOiIzMyIsIiR0eXBlIjoiU3dpc3NBY2FkZW1pYy5DaXRhdmkuUGVyc29uLCBTd2lzc0FjYWRlbWljLkNpdGF2aSIsIkZpcnN0TmFtZSI6IlRlcnJ5IiwiTGFzdE5hbWUiOiJTaGV2bGluIiwiUHJvdGVjdGVkIjpmYWxzZSwiU2V4IjoyLCJDcmVhdGVkQnkiOiJfc3ciLCJDcmVhdGVkT24iOiIyMDE4LTExLTI2VDIwOjU5OjM5IiwiTW9kaWZpZWRCeSI6Il9zdyIsIklkIjoiOTE3YjQ5OGUtMDhhMi00MmY0LWE1YTUtYjA0YTg1NGM2ZDdkIiwiTW9kaWZpZWRPbiI6IjIwMTgtMTEtMjZUMjA6NTk6MzkiLCJQcm9qZWN0Ijp7IiRyZWYiOiI4In19XSwiQ2l0YXRpb25LZXlVcGRhdGVUeXBlIjowLCJDb2xsYWJvcmF0b3JzIjpbXSwiQ292ZXJQYXRoIjp7IiRpZCI6IjM0IiwiJHR5cGUiOiJTd2lzc0FjYWRlbWljLkNpdGF2aS5MaW5rZWRSZXNvdXJjZSwgU3dpc3NBY2FkZW1pYy5DaXRhdmkiLCJMaW5rZWRSZXNvdXJjZVR5cGUiOjEsIlVyaVN0cmluZyI6IkNoZW4sIENoZW4gZXQgYWwgMjAxMCAtIEFyZSBmYW1pbHkgZmlybXMgbW9yZSB0YXguanBn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pmaW5lY28uMjAwOS4wMi4wMDMiLCJFZGl0b3JzIjpbXSwiRXZhbHVhdGlvbkNvbXBsZXhpdHkiOjAsIkV2YWx1YXRpb25Tb3VyY2VUZXh0Rm9ybWF0IjowLCJHcm91cHMiOltdLCJIYXNMYWJlbDEiOmZhbHNlLCJIYXNMYWJlbDIiOmZhbHNlLCJLZXl3b3JkcyI6W10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E2L2ouamZpbmVjby4yMDA5LjAyLjAwMyIsIlVyaVN0cmluZyI6Imh0dHBzOi8vZG9pLm9yZy8xMC4xMDE2L2ouamZpbmVjby4yMDA5LjAyLjAwMy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luYSBXaWxsa29tbSIsIkNyZWF0ZWRPbiI6IjIwMjItMDQtMDRUMDg6NDc6MjYiLCJNb2RpZmllZEJ5IjoiX1NpbmEgV2lsbGtvbW0iLCJJZCI6IjUzOTIxMzJkLWQ5MTQtNDNhZS1hNDgzLWRiOWVlMmExODhhNCIsIk1vZGlmaWVkT24iOiIyMDIyLTA0LTA0VDA4OjQ3OjI2IiwiUHJvamVjdCI6eyIkcmVmIjoiOCJ9fV0sIk51bWJlciI6IjEiLCJPcmdhbml6YXRpb25zIjpbXSwiT3RoZXJzSW52b2x2ZWQiOltdLCJQYWdlQ291bnQiOiIyMSIsIlBhZ2VSYW5nZSI6IjxzcD5cclxuICA8bj40MTwvbj5cclxuICA8aW4+dHJ1ZTwvaW4+XHJcbiAgPG9zPjQxPC9vcz5cclxuICA8cHM+NDE8L3BzPlxyXG48L3NwPlxyXG48ZXA+XHJcbiAgPG4+NjE8L24+XHJcbiAgPGluPnRydWU8L2luPlxyXG4gIDxvcz42MTwvb3M+XHJcbiAgPHBzPjYxPC9wcz5cclxuPC9lcD5cclxuPG9zPjQxLTYxPC9vcz4iLCJQZXJpb2RpY2FsIjp7IiRpZCI6IjM5IiwiJHR5cGUiOiJTd2lzc0FjYWRlbWljLkNpdGF2aS5QZXJpb2RpY2FsLCBTd2lzc0FjYWRlbWljLkNpdGF2aSIsIk5hbWUiOiJKb3VybmFsIG9mIEZpbmFuY2lhbCBFY29ub21pY3MiLCJQYWdpbmF0aW9uIjowLCJQcm90ZWN0ZWQiOmZhbHNlLCJDcmVhdGVkQnkiOiJfc3ciLCJDcmVhdGVkT24iOiIyMDE4LTA5LTA1VDA4OjUzOjU0IiwiTW9kaWZpZWRCeSI6Il9zdyIsIklkIjoiMzhkNDQxMGYtMGVjMi00MzliLTg5NmMtMTljNWZhNjQwNWQ1IiwiTW9kaWZpZWRPbiI6IjIwMTgtMDktMDVUMDg6NTM6NTQiLCJQcm9qZWN0Ijp7IiRyZWYiOiI4In19LCJQdWJsaXNoZXJzIjpbXSwiUXVvdGF0aW9ucyI6W10sIlJhdGluZyI6MCwiUmVmZXJlbmNlVHlwZSI6IkpvdXJuYWxBcnRpY2xlIiwiU2hvcnRUaXRsZSI6IkNoZW4sIENoZW4gZXQgYWwuIDIwMTAg4oCTIEFyZSBmYW1pbHkgZmlybXMgbW9yZSB0YXgiLCJTaG9ydFRpdGxlVXBkYXRlVHlwZSI6MCwiU291cmNlT2ZCaWJsaW9ncmFwaGljSW5mb3JtYXRpb24iOiJDcm9zc1JlZiIsIlN0YXRpY0lkcyI6WyI5Y2QyZjY5OS0xNTllLTQ2MzItYjFmYS1lYWM2ZTEwMGE0MTEiXSwiVGFibGVPZkNvbnRlbnRzQ29tcGxleGl0eSI6MCwiVGFibGVPZkNvbnRlbnRzU291cmNlVGV4dEZvcm1hdCI6MCwiVGFza3MiOltdLCJUaXRsZSI6IkFyZSBmYW1pbHkgZmlybXMgbW9yZSB0YXggYWdncmVzc2l2ZSB0aGFuIG5vbi1mYW1pbHkgZmlybXM/IiwiVHJhbnNsYXRvcnMiOltdLCJWb2x1bWUiOiI5NSIsIlllYXIiOiIyMDEwIiwiWWVhclJlc29sdmVkIjoiMjAxMCIsIkNyZWF0ZWRCeSI6Il9TaW5hIFdpbGxrb21tIiwiQ3JlYXRlZE9uIjoiMjAyMi0wNC0wNFQwODo0NzoyNiIsIk1vZGlmaWVkQnkiOiJfU2luYSBXaWxsa29tbSIsIklkIjoiOTBkY2ZiODUtYTVlNC00Y2JkLThmZjItNzlmZTZkNzM2NDljIiwiTW9kaWZpZWRPbiI6IjIwMjItMTItMjBUMTM6NDM6MzkiLCJQcm9qZWN0Ijp7IiRyZWYiOiI4In19LCJVc2VOdW1iZXJpbmdUeXBlT2ZQYXJlbnREb2N1bWVudCI6ZmFsc2UsIlVzZVN0YW5kYXJkUHJlZml4IjpmYWxzZSwiVXNlU3RhbmRhcmRTdWZmaXgiOmZhbHNlfV0sIkZvcm1hdHRlZFRleHQiOnsiJGlkIjoiNDAiLCJDb3VudCI6MSwiVGV4dFVuaXRzIjpbeyIkaWQiOiI0MSIsIkZvbnRTdHlsZSI6eyIkaWQiOiI0MiIsIk5ldXRyYWwiOnRydWV9LCJSZWFkaW5nT3JkZXIiOjEsIlRleHQiOiIoZS5nLiwgQ2hlbiBldCBhbC4sIDIwMTA7IEdydWJlcnQsIDIwMDM7IFJlZ28sIDIwMDMpIn1dfSwiVGFnIjoiQ2l0YXZpUGxhY2Vob2xkZXIjNGY5MTExM2YtYWU0Zi00ZGU3LThkZGYtZjdmZTg4MDFhNGViIiwiVGV4dCI6IihlLmcuLCBDaGVuIGV0IGFsLiwgMjAxMDsgR3J1YmVydCwgMjAwMzsgUmVnbywgMjAwMykiLCJXQUlWZXJzaW9uIjoiNi4xNC4wLjAifQ==}</w:instrText>
          </w:r>
          <w:r>
            <w:rPr>
              <w:lang w:eastAsia="de-DE"/>
            </w:rPr>
            <w:fldChar w:fldCharType="separate"/>
          </w:r>
          <w:r>
            <w:rPr>
              <w:lang w:val="en-US" w:eastAsia="de-DE"/>
            </w:rPr>
            <w:t>(e.g., Chen et al., 2010; Grubert, 2003; Rego, 2003)</w:t>
          </w:r>
          <w:r>
            <w:rPr>
              <w:lang w:eastAsia="de-DE"/>
            </w:rPr>
            <w:fldChar w:fldCharType="end"/>
          </w:r>
        </w:sdtContent>
      </w:sdt>
      <w:r w:rsidRPr="00431579">
        <w:rPr>
          <w:lang w:val="en-US" w:eastAsia="de-DE"/>
        </w:rPr>
        <w:t>. We include size (</w:t>
      </w:r>
      <w:r w:rsidRPr="00431579">
        <w:rPr>
          <w:i/>
          <w:lang w:val="en-US" w:eastAsia="de-DE"/>
        </w:rPr>
        <w:t>SIZE</w:t>
      </w:r>
      <w:r w:rsidRPr="00431579">
        <w:rPr>
          <w:lang w:val="en-US" w:eastAsia="de-DE"/>
        </w:rPr>
        <w:t>), intangible assets (</w:t>
      </w:r>
      <w:r w:rsidRPr="00431579">
        <w:rPr>
          <w:i/>
          <w:lang w:val="en-US" w:eastAsia="de-DE"/>
        </w:rPr>
        <w:t>INT_ASSETS</w:t>
      </w:r>
      <w:r w:rsidRPr="00431579">
        <w:rPr>
          <w:lang w:val="en-US" w:eastAsia="de-DE"/>
        </w:rPr>
        <w:t>), leverage (</w:t>
      </w:r>
      <w:r w:rsidRPr="00431579">
        <w:rPr>
          <w:i/>
          <w:lang w:val="en-US" w:eastAsia="de-DE"/>
        </w:rPr>
        <w:t>LEV</w:t>
      </w:r>
      <w:r w:rsidRPr="00431579">
        <w:rPr>
          <w:lang w:val="en-US" w:eastAsia="de-DE"/>
        </w:rPr>
        <w:t>), return on assets (</w:t>
      </w:r>
      <w:r w:rsidRPr="00431579">
        <w:rPr>
          <w:i/>
          <w:lang w:val="en-US" w:eastAsia="de-DE"/>
        </w:rPr>
        <w:t>ROA</w:t>
      </w:r>
      <w:r w:rsidRPr="00431579">
        <w:rPr>
          <w:lang w:val="en-US" w:eastAsia="de-DE"/>
        </w:rPr>
        <w:t>), market-to-book ratio (</w:t>
      </w:r>
      <w:r w:rsidRPr="00431579">
        <w:rPr>
          <w:i/>
          <w:lang w:val="en-US" w:eastAsia="de-DE"/>
        </w:rPr>
        <w:t>MTB</w:t>
      </w:r>
      <w:r w:rsidRPr="00431579">
        <w:rPr>
          <w:lang w:val="en-US" w:eastAsia="de-DE"/>
        </w:rPr>
        <w:t>) and R&amp;D (</w:t>
      </w:r>
      <w:r w:rsidRPr="00431579">
        <w:rPr>
          <w:i/>
          <w:lang w:val="en-US" w:eastAsia="de-DE"/>
        </w:rPr>
        <w:t>RD</w:t>
      </w:r>
      <w:r w:rsidRPr="00431579">
        <w:rPr>
          <w:lang w:val="en-US" w:eastAsia="de-DE"/>
        </w:rPr>
        <w:t xml:space="preserve">). </w:t>
      </w:r>
      <w:r w:rsidRPr="00A44075">
        <w:rPr>
          <w:lang w:val="en-US" w:eastAsia="de-DE"/>
        </w:rPr>
        <w:t>Definitions of the variables are presented in Panel B of</w:t>
      </w:r>
      <w:r>
        <w:rPr>
          <w:lang w:val="en-US" w:eastAsia="de-DE"/>
        </w:rPr>
        <w:t xml:space="preserve"> </w:t>
      </w:r>
      <w:r w:rsidRPr="00113C69">
        <w:rPr>
          <w:color w:val="000000" w:themeColor="text1"/>
          <w:lang w:val="en-US" w:eastAsia="de-DE"/>
        </w:rPr>
        <w:fldChar w:fldCharType="begin"/>
      </w:r>
      <w:r w:rsidRPr="00113C69">
        <w:rPr>
          <w:color w:val="000000" w:themeColor="text1"/>
          <w:lang w:val="en-US" w:eastAsia="de-DE"/>
        </w:rPr>
        <w:instrText xml:space="preserve"> REF  _Ref100132695 \h  \* MERGEFORMAT </w:instrText>
      </w:r>
      <w:r w:rsidRPr="00113C69">
        <w:rPr>
          <w:color w:val="000000" w:themeColor="text1"/>
          <w:lang w:val="en-US" w:eastAsia="de-DE"/>
        </w:rPr>
      </w:r>
      <w:r w:rsidRPr="00113C69">
        <w:rPr>
          <w:color w:val="000000" w:themeColor="text1"/>
          <w:lang w:val="en-US" w:eastAsia="de-DE"/>
        </w:rPr>
        <w:fldChar w:fldCharType="separate"/>
      </w:r>
      <w:r w:rsidRPr="003072C5">
        <w:rPr>
          <w:color w:val="000000" w:themeColor="text1"/>
          <w:lang w:val="en-US"/>
        </w:rPr>
        <w:t>Table A1</w:t>
      </w:r>
      <w:r w:rsidRPr="00113C69">
        <w:rPr>
          <w:color w:val="000000" w:themeColor="text1"/>
          <w:lang w:val="en-US" w:eastAsia="de-DE"/>
        </w:rPr>
        <w:fldChar w:fldCharType="end"/>
      </w:r>
      <w:r w:rsidRPr="00113C69">
        <w:rPr>
          <w:color w:val="000000" w:themeColor="text1"/>
          <w:lang w:val="en-US" w:eastAsia="de-DE"/>
        </w:rPr>
        <w:t xml:space="preserve"> in the Appendix. </w:t>
      </w:r>
      <w:r>
        <w:rPr>
          <w:color w:val="000000" w:themeColor="text1"/>
          <w:lang w:val="en-US" w:eastAsia="de-DE"/>
        </w:rPr>
        <w:t>W</w:t>
      </w:r>
      <w:r w:rsidRPr="00113C69">
        <w:rPr>
          <w:color w:val="000000" w:themeColor="text1"/>
          <w:lang w:val="en-US" w:eastAsia="de-DE"/>
        </w:rPr>
        <w:t xml:space="preserve">e </w:t>
      </w:r>
      <w:r>
        <w:rPr>
          <w:color w:val="000000" w:themeColor="text1"/>
          <w:lang w:val="en-US" w:eastAsia="de-DE"/>
        </w:rPr>
        <w:t xml:space="preserve">also </w:t>
      </w:r>
      <w:r w:rsidRPr="00113C69">
        <w:rPr>
          <w:color w:val="000000" w:themeColor="text1"/>
          <w:lang w:val="en-US" w:eastAsia="de-DE"/>
        </w:rPr>
        <w:t xml:space="preserve">include the overall ESG </w:t>
      </w:r>
      <w:r>
        <w:rPr>
          <w:color w:val="000000" w:themeColor="text1"/>
          <w:lang w:val="en-US" w:eastAsia="de-DE"/>
        </w:rPr>
        <w:t>s</w:t>
      </w:r>
      <w:r w:rsidRPr="00113C69">
        <w:rPr>
          <w:color w:val="000000" w:themeColor="text1"/>
          <w:lang w:val="en-US" w:eastAsia="de-DE"/>
        </w:rPr>
        <w:t>core (</w:t>
      </w:r>
      <w:r w:rsidRPr="00113C69">
        <w:rPr>
          <w:i/>
          <w:color w:val="000000" w:themeColor="text1"/>
          <w:lang w:val="en-US" w:eastAsia="de-DE"/>
        </w:rPr>
        <w:t>ESG</w:t>
      </w:r>
      <w:r w:rsidRPr="00113C69">
        <w:rPr>
          <w:color w:val="000000" w:themeColor="text1"/>
          <w:lang w:val="en-US" w:eastAsia="de-DE"/>
        </w:rPr>
        <w:t>) to address concerns that the relation between CSR and profit shifting is impacted by the level of CSR. As indica</w:t>
      </w:r>
      <w:r w:rsidRPr="00FB0A34">
        <w:rPr>
          <w:color w:val="000000" w:themeColor="text1"/>
          <w:lang w:val="en-US" w:eastAsia="de-DE"/>
        </w:rPr>
        <w:t>ted by the index, the matching is performed in</w:t>
      </w:r>
      <w:r>
        <w:rPr>
          <w:color w:val="000000" w:themeColor="text1"/>
          <w:lang w:val="en-US" w:eastAsia="de-DE"/>
        </w:rPr>
        <w:t xml:space="preserve"> 2010,</w:t>
      </w:r>
      <w:r w:rsidRPr="00FB0A34">
        <w:rPr>
          <w:color w:val="000000" w:themeColor="text1"/>
          <w:lang w:val="en-US" w:eastAsia="de-DE"/>
        </w:rPr>
        <w:t xml:space="preserve"> the first year of our analysis. Based on the probit regression, propensity scores are predicted for EU and US MNEs, respectively.</w:t>
      </w:r>
      <w:r>
        <w:rPr>
          <w:color w:val="000000" w:themeColor="text1"/>
          <w:lang w:val="en-US" w:eastAsia="de-DE"/>
        </w:rPr>
        <w:t xml:space="preserve"> The estimation results are presented in </w:t>
      </w:r>
      <w:r>
        <w:rPr>
          <w:color w:val="000000" w:themeColor="text1"/>
          <w:lang w:val="en-US" w:eastAsia="de-DE"/>
        </w:rPr>
        <w:fldChar w:fldCharType="begin"/>
      </w:r>
      <w:r>
        <w:rPr>
          <w:color w:val="000000" w:themeColor="text1"/>
          <w:lang w:val="en-US" w:eastAsia="de-DE"/>
        </w:rPr>
        <w:instrText xml:space="preserve"> REF _Ref99971569 \h </w:instrText>
      </w:r>
      <w:r w:rsidRPr="00DE0F44">
        <w:rPr>
          <w:lang w:val="en-US"/>
        </w:rPr>
        <w:instrText>\* MERGEFORMAT</w:instrText>
      </w:r>
      <w:r>
        <w:rPr>
          <w:color w:val="000000" w:themeColor="text1"/>
          <w:lang w:val="en-US" w:eastAsia="de-DE"/>
        </w:rPr>
        <w:instrText xml:space="preserve">  </w:instrText>
      </w:r>
      <w:r>
        <w:rPr>
          <w:color w:val="000000" w:themeColor="text1"/>
          <w:lang w:val="en-US" w:eastAsia="de-DE"/>
        </w:rPr>
      </w:r>
      <w:r>
        <w:rPr>
          <w:color w:val="000000" w:themeColor="text1"/>
          <w:lang w:val="en-US" w:eastAsia="de-DE"/>
        </w:rPr>
        <w:fldChar w:fldCharType="separate"/>
      </w:r>
      <w:r w:rsidRPr="00D24773">
        <w:rPr>
          <w:lang w:val="en-US"/>
        </w:rPr>
        <w:t>Table A</w:t>
      </w:r>
      <w:r>
        <w:rPr>
          <w:lang w:val="en-US"/>
        </w:rPr>
        <w:t>3</w:t>
      </w:r>
      <w:r>
        <w:rPr>
          <w:color w:val="000000" w:themeColor="text1"/>
          <w:lang w:val="en-US" w:eastAsia="de-DE"/>
        </w:rPr>
        <w:fldChar w:fldCharType="end"/>
      </w:r>
      <w:r>
        <w:rPr>
          <w:color w:val="000000" w:themeColor="text1"/>
          <w:lang w:val="en-US" w:eastAsia="de-DE"/>
        </w:rPr>
        <w:t xml:space="preserve"> in the Appendix.</w:t>
      </w:r>
    </w:p>
    <w:p w14:paraId="344C18AA" w14:textId="77777777" w:rsidR="00700B9F" w:rsidRDefault="00700B9F" w:rsidP="00700B9F">
      <w:pPr>
        <w:rPr>
          <w:color w:val="000000" w:themeColor="text1"/>
          <w:lang w:val="en-US" w:eastAsia="de-DE"/>
        </w:rPr>
      </w:pPr>
      <w:r w:rsidRPr="00FB0A34">
        <w:rPr>
          <w:color w:val="000000" w:themeColor="text1"/>
          <w:lang w:val="en-US" w:eastAsia="de-DE"/>
        </w:rPr>
        <w:t>In a second step, we use the propensity scores to perform a one-to-one nearest neighbor matching in which an EU-based MNE is matched to the most similar US MNE that further is required to operate in the same industry.</w:t>
      </w:r>
      <w:r>
        <w:rPr>
          <w:color w:val="000000" w:themeColor="text1"/>
          <w:lang w:val="en-US" w:eastAsia="de-DE"/>
        </w:rPr>
        <w:t xml:space="preserve"> </w:t>
      </w:r>
      <w:r>
        <w:rPr>
          <w:lang w:val="en-US"/>
        </w:rPr>
        <w:t xml:space="preserve">We refer to </w:t>
      </w:r>
      <w:r w:rsidRPr="008352F4">
        <w:rPr>
          <w:lang w:val="en-US"/>
        </w:rPr>
        <w:t>the Fama and French 17 classification</w:t>
      </w:r>
      <w:r>
        <w:rPr>
          <w:lang w:val="en-US"/>
        </w:rPr>
        <w:t xml:space="preserve"> to find comparable firms. </w:t>
      </w:r>
      <w:r w:rsidRPr="00FB0A34">
        <w:rPr>
          <w:color w:val="000000" w:themeColor="text1"/>
          <w:lang w:val="en-US" w:eastAsia="de-DE"/>
        </w:rPr>
        <w:t xml:space="preserve">In line with prior literature, we set the </w:t>
      </w:r>
      <w:r>
        <w:rPr>
          <w:color w:val="000000" w:themeColor="text1"/>
          <w:lang w:val="en-US" w:eastAsia="de-DE"/>
        </w:rPr>
        <w:t xml:space="preserve">caliper, the </w:t>
      </w:r>
      <w:r w:rsidRPr="00FB0A34">
        <w:rPr>
          <w:color w:val="000000" w:themeColor="text1"/>
          <w:lang w:val="en-US" w:eastAsia="de-DE"/>
        </w:rPr>
        <w:t>maximum deviation between EU and US MNEs</w:t>
      </w:r>
      <w:r>
        <w:rPr>
          <w:color w:val="000000" w:themeColor="text1"/>
          <w:lang w:val="en-US" w:eastAsia="de-DE"/>
        </w:rPr>
        <w:t>,</w:t>
      </w:r>
      <w:r w:rsidRPr="00FB0A34">
        <w:rPr>
          <w:color w:val="000000" w:themeColor="text1"/>
          <w:lang w:val="en-US" w:eastAsia="de-DE"/>
        </w:rPr>
        <w:t xml:space="preserve"> to 0.03 </w:t>
      </w:r>
      <w:sdt>
        <w:sdtPr>
          <w:rPr>
            <w:color w:val="000000" w:themeColor="text1"/>
            <w:lang w:val="en-US" w:eastAsia="de-DE"/>
          </w:rPr>
          <w:alias w:val="To edit, see citavi.com/edit"/>
          <w:tag w:val="CitaviPlaceholder#a60c3b7c-7967-4a8d-a527-e22e91495a7f"/>
          <w:id w:val="1565608196"/>
          <w:placeholder>
            <w:docPart w:val="E38658D7B3964940B33E4522DFEC0E73"/>
          </w:placeholder>
        </w:sdtPr>
        <w:sdtContent>
          <w:r>
            <w:rPr>
              <w:color w:val="000000" w:themeColor="text1"/>
              <w:lang w:val="en-US" w:eastAsia="de-DE"/>
            </w:rPr>
            <w:fldChar w:fldCharType="begin"/>
          </w:r>
          <w:r>
            <w:rPr>
              <w:color w:val="000000" w:themeColor="text1"/>
              <w:lang w:val="en-US"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2MzhhMTFkLWFkMDYtNDU2Yy05NGRiLTNhN2UyNzMzYTFiYSIsIlJhbmdlTGVuZ3RoIjoyMCwiUmVmZXJlbmNlSWQiOiIzMDg4ZjY2My0wOTM5LTRkY2QtYTgwZS0zNjdmYzRiMzRhN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BdXN0aW4iLCJNaWRkbGVOYW1lIjoiQy4iLCJQcm90ZWN0ZWQiOmZhbHNlLCJTZXgiOjIsIkNyZWF0ZWRCeSI6Il9TaW5hIFdpbGxrb21tIiwiQ3JlYXRlZE9uIjoiMjAyMi0wNC0wNFQwODoyMTowMyIsIk1vZGlmaWVkQnkiOiJfU2luYSBXaWxsa29tbSIsIklkIjoiN2I5NjMyODEtODdlMy00ODM5LWEwOTMtNDBjMmNhMmJhNjFjIiwiTW9kaWZpZWRPbiI6IjIwMjItMDQtMDRUMDg6MjE6MDM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QXVzdGluIDIwMTEgLSBPcHRpbWFsIGNhbGlwZXIgd2lkdGhzIGZvciBwcm9wZW5zaXR5LXNjb3Jl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IvcHN0LjQzMy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QTUMzMTIwOTgyIiwiVXJpU3RyaW5nIjoiaHR0cHM6Ly93d3cubmNiaS5ubG0ubmloLmdvdi9wbWMvYXJ0aWNsZXMvUE1DMzEyMDk4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2luYSBXaWxsa29tbSIsIkNyZWF0ZWRPbiI6IjIwMjItMDQtMDRUMDg6MjE6MDMiLCJNb2RpZmllZEJ5IjoiX1NpbmEgV2lsbGtvbW0iLCJJZCI6ImMyNzUxNTFmLWVmMDYtNDBmZS1hNDliLWVmOWJmYmI5N2RiNyIsIk1vZGlmaWVkT24iOiIyMDIyLTA0LTA0VDA4OjIxOjAz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jA5MjUxMzkiLCJVcmlTdHJpbmciOiJodHRwOi8vd3d3Lm5jYmkubmxtLm5paC5nb3YvcHVibWVkLzIwOTI1MTM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aW5hIFdpbGxrb21tIiwiQ3JlYXRlZE9uIjoiMjAyMi0wNC0wNFQwODoyMTowMyIsIk1vZGlmaWVkQnkiOiJfU2luYSBXaWxsa29tbSIsIklkIjoiYTM4NmUyZDktYWVmNy00NjNiLWJmNTEtYTkxY2JiZTNiYTc0IiwiTW9kaWZpZWRPbiI6IjIwMjItMDQtMDRUMDg6MjE6MDM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yL3BzdC40MzMiLCJVcmlTdHJpbmciOiJodHRwczovL2RvaS5vcmcvMTAuMTAwMi9wc3QuNDM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W5hIFdpbGxrb21tIiwiQ3JlYXRlZE9uIjoiMjAyMi0wNC0wNFQwODoyMTowMyIsIk1vZGlmaWVkQnkiOiJfU2luYSBXaWxsa29tbSIsIklkIjoiMjYyYWM0ZmEtNzczMi00NTM2LWJlMzMtOWY0M2QwOGYwYTY4IiwiTW9kaWZpZWRPbiI6IjIwMjItMDQtMDRUMDg6MjE6MDMiLCJQcm9qZWN0Ijp7IiRyZWYiOiI4In19XSwiTnVtYmVyIjoiMiIsIk9yZ2FuaXphdGlvbnMiOltdLCJPdGhlcnNJbnZvbHZlZCI6W10sIlBhZ2VSYW5nZSI6IjxzcD5cclxuICA8bj4xNTA8L24+XHJcbiAgPGluPnRydWU8L2luPlxyXG4gIDxvcz4xNTA8L29zPlxyXG4gIDxwcz4xNTA8L3BzPlxyXG48L3NwPlxyXG48ZXA+XHJcbiAgPG4+MTYxPC9uPlxyXG4gIDxpbj50cnVlPC9pbj5cclxuICA8b3M+MTYxPC9vcz5cclxuICA8cHM+MTYxPC9wcz5cclxuPC9lcD5cclxuPG9zPjE1MC02MTwvb3M+IiwiUGVyaW9kaWNhbCI6eyIkaWQiOiIyMCIsIiR0eXBlIjoiU3dpc3NBY2FkZW1pYy5DaXRhdmkuUGVyaW9kaWNhbCwgU3dpc3NBY2FkZW1pYy5DaXRhdmkiLCJFaXNzbiI6IjE1MzktMTYxMiIsIk5hbWUiOiJQaGFybWFjZXV0aWNhbCBTdGF0aXN0aWNzIiwiUGFnaW5hdGlvbiI6MCwiUHJvdGVjdGVkIjp0cnVlLCJVc2VyQWJicmV2aWF0aW9uMSI6IlBoYXJtIFN0YXQiLCJDcmVhdGVkQnkiOiJfU2luYSBXaWxsa29tbSIsIkNyZWF0ZWRPbiI6IjIwMjItMDQtMDRUMDg6MjE6MDMiLCJNb2RpZmllZEJ5IjoiX1NpbmEgV2lsbGtvbW0iLCJJZCI6IjViOGRmYmU2LWJhOTctNDNmNy04OWZmLTI1MDIwZTkwYWVmMyIsIk1vZGlmaWVkT24iOiIyMDIyLTA0LTA0VDA4OjIxOjAzIiwiUHJvamVjdCI6eyIkcmVmIjoiOCJ9fSwiUG1jSWQiOiJQTUMzMTIwOTgyIiwiUHVibGlzaGVycyI6W10sIlB1Yk1lZElkIjoiMjA5MjUxMzkiLCJRdW90YXRpb25zIjpbXSwiUmF0aW5nIjowLCJSZWZlcmVuY2VUeXBlIjoiSm91cm5hbEFydGljbGUiLCJTaG9ydFRpdGxlIjoiQXVzdGluIDIwMTEg4oCTIE9wdGltYWwgY2FsaXBlciB3aWR0aHMgZm9yIHByb3BlbnNpdHktc2NvcmUiLCJTaG9ydFRpdGxlVXBkYXRlVHlwZSI6MCwiU291cmNlT2ZCaWJsaW9ncmFwaGljSW5mb3JtYXRpb24iOiJQdWJNZWQiLCJTdGF0aWNJZHMiOlsiOGI2MzU5NjMtMTExZi00NTc0LTk4NTYtZGIxNTAyYjM0MTkxIl0sIlRhYmxlT2ZDb250ZW50c0NvbXBsZXhpdHkiOjAsIlRhYmxlT2ZDb250ZW50c1NvdXJjZVRleHRGb3JtYXQiOjAsIlRhc2tzIjpbXSwiVGl0bGUiOiJPcHRpbWFsIGNhbGlwZXIgd2lkdGhzIGZvciBwcm9wZW5zaXR5LXNjb3JlIG1hdGNoaW5nIHdoZW4gZXN0aW1hdGluZyBkaWZmZXJlbmNlcyBpbiBtZWFucyBhbmQgZGlmZmVyZW5jZXMgaW4gcHJvcG9ydGlvbnMgaW4gb2JzZXJ2YXRpb25hbCBzdHVkaWVzIiwiVHJhbnNsYXRvcnMiOltdLCJWb2x1bWUiOiIxMCIsIlllYXIiOiIyMDExIiwiWWVhclJlc29sdmVkIjoiMjAxMSIsIkNyZWF0ZWRCeSI6Il9TaW5hIFdpbGxrb21tIiwiQ3JlYXRlZE9uIjoiMjAyMi0wNC0wNFQwODoyMTowMyIsIk1vZGlmaWVkQnkiOiJfU2luYSBXaWxsa29tbSIsIklkIjoiMzA4OGY2NjMtMDkzOS00ZGNkLWE4MGUtMzY3ZmM0YjM0YTU0IiwiTW9kaWZpZWRPbiI6IjIwMjItMTItMjBUMTM6NDM6MzkiLCJQcm9qZWN0Ijp7IiRyZWYiOiI4In19LCJVc2VOdW1iZXJpbmdUeXBlT2ZQYXJlbnREb2N1bWVudCI6ZmFsc2V9XSwiRm9ybWF0dGVkVGV4dCI6eyIkaWQiOiIyMSIsIkNvdW50IjoxLCJUZXh0VW5pdHMiOlt7IiRpZCI6IjIyIiwiRm9udFN0eWxlIjp7IiRpZCI6IjIzIiwiTmV1dHJhbCI6dHJ1ZX0sIlJlYWRpbmdPcmRlciI6MSwiVGV4dCI6IihQLiBDLiBBdXN0aW4sIDIwMTEpIn1dfSwiVGFnIjoiQ2l0YXZpUGxhY2Vob2xkZXIjYTYwYzNiN2MtNzk2Ny00YThkLWE1MjctZTIyZTkxNDk1YTdmIiwiVGV4dCI6IihQLiBDLiBBdXN0aW4sIDIwMTEpIiwiV0FJVmVyc2lvbiI6IjYuMTQuMC4wIn0=}</w:instrText>
          </w:r>
          <w:r>
            <w:rPr>
              <w:color w:val="000000" w:themeColor="text1"/>
              <w:lang w:val="en-US" w:eastAsia="de-DE"/>
            </w:rPr>
            <w:fldChar w:fldCharType="separate"/>
          </w:r>
          <w:r>
            <w:rPr>
              <w:color w:val="000000" w:themeColor="text1"/>
              <w:lang w:val="en-US" w:eastAsia="de-DE"/>
            </w:rPr>
            <w:t>(P. C. Austin, 2011)</w:t>
          </w:r>
          <w:r>
            <w:rPr>
              <w:color w:val="000000" w:themeColor="text1"/>
              <w:lang w:val="en-US" w:eastAsia="de-DE"/>
            </w:rPr>
            <w:fldChar w:fldCharType="end"/>
          </w:r>
        </w:sdtContent>
      </w:sdt>
      <w:r>
        <w:rPr>
          <w:color w:val="000000" w:themeColor="text1"/>
          <w:lang w:val="en-US" w:eastAsia="de-DE"/>
        </w:rPr>
        <w:t xml:space="preserve">. </w:t>
      </w:r>
    </w:p>
    <w:p w14:paraId="665B0932" w14:textId="77777777" w:rsidR="00700B9F" w:rsidRDefault="00700B9F" w:rsidP="00700B9F">
      <w:pPr>
        <w:rPr>
          <w:lang w:val="en-US"/>
        </w:rPr>
      </w:pPr>
    </w:p>
    <w:p w14:paraId="4D7CC264" w14:textId="77777777" w:rsidR="00700B9F" w:rsidRDefault="00700B9F" w:rsidP="00700B9F">
      <w:pPr>
        <w:rPr>
          <w:lang w:val="en-US"/>
        </w:rPr>
      </w:pPr>
    </w:p>
    <w:p w14:paraId="463A6080" w14:textId="77777777" w:rsidR="00700B9F" w:rsidRDefault="00700B9F" w:rsidP="00700B9F">
      <w:pPr>
        <w:rPr>
          <w:lang w:val="en-US"/>
        </w:rPr>
      </w:pPr>
    </w:p>
    <w:p w14:paraId="4894F71A" w14:textId="77777777" w:rsidR="00700B9F" w:rsidRPr="000436BB" w:rsidRDefault="00700B9F" w:rsidP="00700B9F">
      <w:pPr>
        <w:pStyle w:val="Caption"/>
        <w:rPr>
          <w:noProof/>
          <w:lang w:val="en-US"/>
        </w:rPr>
      </w:pPr>
      <w:r>
        <w:rPr>
          <w:lang w:val="en-US"/>
        </w:rPr>
        <w:br w:type="page"/>
      </w:r>
      <w:bookmarkStart w:id="1" w:name="_Ref94711861"/>
      <w:r w:rsidRPr="00E12E8C">
        <w:rPr>
          <w:lang w:val="en-US"/>
        </w:rPr>
        <w:lastRenderedPageBreak/>
        <w:t>Figure A</w:t>
      </w:r>
      <w:r>
        <w:fldChar w:fldCharType="begin"/>
      </w:r>
      <w:r w:rsidRPr="00E12E8C">
        <w:rPr>
          <w:lang w:val="en-US"/>
        </w:rPr>
        <w:instrText xml:space="preserve"> SEQ Figure_A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1"/>
      <w:r w:rsidRPr="00E12E8C">
        <w:rPr>
          <w:lang w:val="en-US"/>
        </w:rPr>
        <w:t xml:space="preserve">: </w:t>
      </w:r>
      <w:r>
        <w:rPr>
          <w:lang w:val="en-US"/>
        </w:rPr>
        <w:t>ESG Scores</w:t>
      </w:r>
    </w:p>
    <w:p w14:paraId="15D869CE" w14:textId="77777777" w:rsidR="00700B9F" w:rsidRPr="00BC3720" w:rsidRDefault="00700B9F" w:rsidP="00700B9F">
      <w:pPr>
        <w:ind w:firstLine="0"/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2B2C4578" wp14:editId="5C71C457">
            <wp:extent cx="5760720" cy="4776470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B0A5" w14:textId="77777777" w:rsidR="00700B9F" w:rsidRDefault="00700B9F" w:rsidP="00700B9F">
      <w:pPr>
        <w:pStyle w:val="Notes"/>
      </w:pPr>
      <w:r>
        <w:rPr>
          <w:lang w:eastAsia="de-DE"/>
        </w:rPr>
        <w:t xml:space="preserve">Notes: </w:t>
      </w:r>
      <w:r>
        <w:rPr>
          <w:lang w:eastAsia="de-DE"/>
        </w:rPr>
        <w:fldChar w:fldCharType="begin"/>
      </w:r>
      <w:r>
        <w:rPr>
          <w:lang w:eastAsia="de-DE"/>
        </w:rPr>
        <w:instrText xml:space="preserve"> REF  _Ref94711861 \h  \* MERGEFORMAT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Pr="00E12E8C">
        <w:t>Figure A</w:t>
      </w:r>
      <w:r>
        <w:t>1</w:t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D24773">
        <w:rPr>
          <w:lang w:eastAsia="de-DE"/>
        </w:rPr>
        <w:t xml:space="preserve">demonstrates the relation between the different Refinitiv ESG scores (as described in </w:t>
      </w:r>
      <w:sdt>
        <w:sdtPr>
          <w:rPr>
            <w:lang w:eastAsia="de-DE"/>
          </w:rPr>
          <w:alias w:val="To edit, see citavi.com/edit"/>
          <w:tag w:val="CitaviPlaceholder#cca8971f-e79e-4cb2-a2d1-6415ae119299"/>
          <w:id w:val="1250314501"/>
          <w:placeholder>
            <w:docPart w:val="987C2562267442BA9E1CE6B0BBF79AC8"/>
          </w:placeholder>
        </w:sdtPr>
        <w:sdtContent>
          <w:r w:rsidRPr="00D24773">
            <w:rPr>
              <w:lang w:eastAsia="de-DE"/>
            </w:rPr>
            <w:fldChar w:fldCharType="begin"/>
          </w:r>
          <w:r>
            <w:rPr>
              <w:lang w:eastAsia="de-DE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5ZGViZGQwLTRjMzEtNDNhNC1iYWJlLWIwMzdhM2VkYmE4NSIsIlJhbmdlTGVuZ3RoIjoxNSwiUmVmZXJlbmNlSWQiOiJhYmZlODkzZC1kN2FhLTQwMGUtOWNiZS05MzE0ZGM3MjcyN2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xLCJVcmlTdHJpbmciOiJFbnZpcm9ubWVudGFs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yZWZpbml0aXYuY29tL2NvbnRlbnQvZGFtL21hcmtldGluZy9lbl91cy9kb2N1bWVudHMvbWV0aG9kb2xvZ3kvZXNnLXNjb3Jlcy1tZXRob2RvbG9neS5wZGYiLCJVcmlTdHJpbmciOiJodHRwczovL3d3dy5yZWZpbml0aXYuY29tL2NvbnRlbnQvZGFtL21hcmtldGluZy9lbl91cy9kb2N1bWVudHMvbWV0aG9kb2xvZ3kvZXNnLXNjb3Jlcy1tZXRob2RvbG9neS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dtYzg4MyIsIkNyZWF0ZWRPbiI6IjIwMjEtMDEtMTlUMTM6MTE6MDYiLCJNb2RpZmllZEJ5IjoiX1dtYzg4MyIsIklkIjoiMjRiNmQ3OTYtNGVhZS00MTIzLWI4YTMtMzlkNWFkZTIyMWFjIiwiTW9kaWZpZWRPbiI6IjIwMjEtMDEtMTlUMTM6MTE6MDYiLCJQcm9qZWN0Ijp7IiRpZCI6IjEyIiwiJHR5cGUiOiJTd2lzc0FjYWRlbWljLkNpdGF2aS5Qcm9qZWN0LCBTd2lzc0FjYWRlbWljLkNpdGF2aSJ9fV0sIk9ubGluZUFkZHJlc3MiOiJodHRwczovL3d3dy5yZWZpbml0aXYuY29tL2NvbnRlbnQvZGFtL21hcmtldGluZy9lbl91cy9kb2N1bWVudHMvbWV0aG9kb2xvZ3kvZXNnLXNjb3Jlcy1tZXRob2RvbG9neS5wZGYiLCJPcmdhbml6YXRpb25zIjpbeyIkaWQiOiIxMyIsIiR0eXBlIjoiU3dpc3NBY2FkZW1pYy5DaXRhdmkuUGVyc29uLCBTd2lzc0FjYWRlbWljLkNpdGF2aSIsIkxhc3ROYW1lIjoiUmVmaW5pdGl2IiwiUHJvdGVjdGVkIjpmYWxzZSwiU2V4IjowLCJDcmVhdGVkQnkiOiJfU2luYSBXaWxsa29tbSIsIkNyZWF0ZWRPbiI6IjIwMjAtMTAtMjNUMDU6NDQ6MzQiLCJNb2RpZmllZEJ5IjoiX1NpbmEgV2lsbGtvbW0iLCJJZCI6IjM0ZTE5MzYyLTVmY2ItNDlmMi1hMjg1LWQ5NGVlM2U5YmEwZiIsIk1vZGlmaWVkT24iOiIyMDIwLTEwLTIzVDA1OjQ0OjM0IiwiUHJvamVjdCI6eyIkcmVmIjoiMTIifX1dLCJPdGhlcnNJbnZvbHZlZCI6W10sIlBhZ2VDb3VudCI6IjI4IiwiUHVibGlzaGVycyI6W10sIlF1b3RhdGlvbnMiOltdLCJSYXRpbmciOjAsIlJlZmVyZW5jZVR5cGUiOiJJbnRlcm5ldERvY3VtZW50IiwiU2hvcnRUaXRsZSI6IlJlZmluaXRpdiAyMDIwIOKAkyBFbnZpcm9ubWVudGFsIiwiU2hvcnRUaXRsZVVwZGF0ZVR5cGUiOjAsIlN0YXRpY0lkcyI6WyIxYjhmYzZkMi0zM2NjLTQwMDctYjdjYy01Yzc3ZDMyNmNhODQiXSwiVGFibGVPZkNvbnRlbnRzQ29tcGxleGl0eSI6MCwiVGFibGVPZkNvbnRlbnRzU291cmNlVGV4dEZvcm1hdCI6MCwiVGFza3MiOltdLCJUaXRsZSI6IkVudmlyb25tZW50YWwsIHNvY2lhbCBhbmQgZ292ZXJuYW5jZSAoRVNHKSBzY29yZXMgZnJvbSBSZWZpbml0aXYiLCJUcmFuc2xhdG9ycyI6W10sIlllYXIiOiIyMDIwIiwiWWVhclJlc29sdmVkIjoiMjAyMCIsIkNyZWF0ZWRCeSI6Il9XbWM4ODMiLCJDcmVhdGVkT24iOiIyMDIxLTAxLTE5VDEzOjEwOjQ4IiwiTW9kaWZpZWRCeSI6Il9TaW5hIFdpbGxrb21tIiwiSWQiOiJhYmZlODkzZC1kN2FhLTQwMGUtOWNiZS05MzE0ZGM3MjcyN2EiLCJNb2RpZmllZE9uIjoiMjAyMi0xMC0xNFQxNDo0NDo0OCIsIlByb2plY3QiOnsiJHJlZiI6IjEyIn19LCJVc2VOdW1iZXJpbmdUeXBlT2ZQYXJlbnREb2N1bWVudCI6ZmFsc2V9XSwiRm9ybWF0dGVkVGV4dCI6eyIkaWQiOiIxNCIsIkNvdW50IjoxLCJUZXh0VW5pdHMiOlt7IiRpZCI6IjE1IiwiRm9udFN0eWxlIjp7IiRpZCI6IjE2IiwiTmV1dHJhbCI6dHJ1ZX0sIlJlYWRpbmdPcmRlciI6MSwiVGV4dCI6IlJlZmluaXRpdiwgMjAyMCJ9XX0sIlRhZyI6IkNpdGF2aVBsYWNlaG9sZGVyI2NjYTg5NzFmLWU3OWUtNGNiMi1hMmQxLTY0MTVhZTExOTI5OSIsIlRleHQiOiJSZWZpbml0aXYsIDIwMjAiLCJXQUlWZXJzaW9uIjoiNi4xNC4wLjAifQ==}</w:instrText>
          </w:r>
          <w:r w:rsidRPr="00D24773">
            <w:rPr>
              <w:lang w:eastAsia="de-DE"/>
            </w:rPr>
            <w:fldChar w:fldCharType="separate"/>
          </w:r>
          <w:r>
            <w:rPr>
              <w:lang w:eastAsia="de-DE"/>
            </w:rPr>
            <w:t>Refinitiv, 2020</w:t>
          </w:r>
          <w:r w:rsidRPr="00D24773">
            <w:rPr>
              <w:lang w:eastAsia="de-DE"/>
            </w:rPr>
            <w:fldChar w:fldCharType="end"/>
          </w:r>
        </w:sdtContent>
      </w:sdt>
      <w:r w:rsidRPr="00D24773">
        <w:rPr>
          <w:lang w:eastAsia="de-DE"/>
        </w:rPr>
        <w:t xml:space="preserve">). Numbers in parentheses report the amount of ESG measures included in the respective scores. </w:t>
      </w:r>
      <w:r>
        <w:rPr>
          <w:lang w:eastAsia="de-DE"/>
        </w:rPr>
        <w:t>Terms</w:t>
      </w:r>
      <w:r w:rsidRPr="00D24773">
        <w:rPr>
          <w:lang w:eastAsia="de-DE"/>
        </w:rPr>
        <w:t xml:space="preserve"> in italic demonstrate the corresponding variable names used in our regressions. Refinitiv provides scores for a firm’s overall ESG performance, </w:t>
      </w:r>
      <w:r>
        <w:rPr>
          <w:lang w:eastAsia="de-DE"/>
        </w:rPr>
        <w:t xml:space="preserve">as well as </w:t>
      </w:r>
      <w:r w:rsidRPr="00D24773">
        <w:rPr>
          <w:lang w:eastAsia="de-DE"/>
        </w:rPr>
        <w:t xml:space="preserve">its performance in ESG dimensions and in different categories. The ESG combined score and the ESG score both measure a firm’s overall CSR performance. The ESG combined score </w:t>
      </w:r>
      <w:r>
        <w:rPr>
          <w:lang w:eastAsia="de-DE"/>
        </w:rPr>
        <w:t>adjusts</w:t>
      </w:r>
      <w:r w:rsidRPr="00D24773">
        <w:rPr>
          <w:lang w:eastAsia="de-DE"/>
        </w:rPr>
        <w:t xml:space="preserve"> the ESG score if ESG controversies have occurred which impact the firm. The ESG score measures a firm’s commitment and performance in the </w:t>
      </w:r>
      <w:r>
        <w:rPr>
          <w:lang w:eastAsia="de-DE"/>
        </w:rPr>
        <w:t>10</w:t>
      </w:r>
      <w:r w:rsidRPr="00D24773">
        <w:rPr>
          <w:lang w:eastAsia="de-DE"/>
        </w:rPr>
        <w:t xml:space="preserve"> ESG categories (resource use, emissions, innovation, workforce, human rights, community, product responsibility, management, </w:t>
      </w:r>
      <w:proofErr w:type="gramStart"/>
      <w:r w:rsidRPr="00D24773">
        <w:rPr>
          <w:lang w:eastAsia="de-DE"/>
        </w:rPr>
        <w:t>shareholders</w:t>
      </w:r>
      <w:proofErr w:type="gramEnd"/>
      <w:r w:rsidRPr="00D24773">
        <w:rPr>
          <w:lang w:eastAsia="de-DE"/>
        </w:rPr>
        <w:t xml:space="preserve"> and CSR strategy) based on reported information. The </w:t>
      </w:r>
      <w:r>
        <w:rPr>
          <w:lang w:eastAsia="de-DE"/>
        </w:rPr>
        <w:t>10</w:t>
      </w:r>
      <w:r w:rsidRPr="00D24773">
        <w:rPr>
          <w:lang w:eastAsia="de-DE"/>
        </w:rPr>
        <w:t xml:space="preserve"> ESG categories belong to three ESG dimensions:</w:t>
      </w:r>
      <w:r>
        <w:rPr>
          <w:lang w:eastAsia="de-DE"/>
        </w:rPr>
        <w:t xml:space="preserve"> the</w:t>
      </w:r>
      <w:r w:rsidRPr="00D24773">
        <w:rPr>
          <w:lang w:eastAsia="de-DE"/>
        </w:rPr>
        <w:t xml:space="preserve"> environment</w:t>
      </w:r>
      <w:r>
        <w:rPr>
          <w:lang w:eastAsia="de-DE"/>
        </w:rPr>
        <w:t>al</w:t>
      </w:r>
      <w:r w:rsidRPr="00D24773">
        <w:rPr>
          <w:lang w:eastAsia="de-DE"/>
        </w:rPr>
        <w:t>, social and governance</w:t>
      </w:r>
      <w:r>
        <w:rPr>
          <w:lang w:eastAsia="de-DE"/>
        </w:rPr>
        <w:t xml:space="preserve"> dimension</w:t>
      </w:r>
      <w:r w:rsidRPr="00D24773">
        <w:rPr>
          <w:lang w:eastAsia="de-DE"/>
        </w:rPr>
        <w:t xml:space="preserve">. The performance in the three dimensions is represented by the respective pillar scores. For a description of the pillar scores and definition of the different categories incorporated in the ESG score and pillar scores, please refer to </w:t>
      </w:r>
      <w:r w:rsidRPr="00D24773">
        <w:rPr>
          <w:lang w:eastAsia="de-DE"/>
        </w:rPr>
        <w:fldChar w:fldCharType="begin"/>
      </w:r>
      <w:r w:rsidRPr="00D24773">
        <w:rPr>
          <w:lang w:eastAsia="de-DE"/>
        </w:rPr>
        <w:instrText xml:space="preserve"> REF  _Ref94712288 \h  \* MERGEFORMAT </w:instrText>
      </w:r>
      <w:r w:rsidRPr="00D24773">
        <w:rPr>
          <w:lang w:eastAsia="de-DE"/>
        </w:rPr>
      </w:r>
      <w:r w:rsidRPr="00D24773">
        <w:rPr>
          <w:lang w:eastAsia="de-DE"/>
        </w:rPr>
        <w:fldChar w:fldCharType="separate"/>
      </w:r>
    </w:p>
    <w:p w14:paraId="3408753F" w14:textId="77777777" w:rsidR="00700B9F" w:rsidRPr="00D24773" w:rsidRDefault="00700B9F" w:rsidP="00700B9F">
      <w:pPr>
        <w:pStyle w:val="Notes"/>
        <w:rPr>
          <w:lang w:eastAsia="de-DE"/>
        </w:rPr>
      </w:pPr>
      <w:r w:rsidRPr="002C1511">
        <w:t>Table A</w:t>
      </w:r>
      <w:r>
        <w:t>2</w:t>
      </w:r>
      <w:r w:rsidRPr="00D24773">
        <w:rPr>
          <w:lang w:eastAsia="de-DE"/>
        </w:rPr>
        <w:fldChar w:fldCharType="end"/>
      </w:r>
      <w:r w:rsidRPr="00D24773">
        <w:rPr>
          <w:lang w:eastAsia="de-DE"/>
        </w:rPr>
        <w:t xml:space="preserve"> in the Appendix. </w:t>
      </w:r>
    </w:p>
    <w:p w14:paraId="4386BA6B" w14:textId="77777777" w:rsidR="00700B9F" w:rsidRDefault="00700B9F" w:rsidP="00700B9F">
      <w:pPr>
        <w:spacing w:after="160" w:line="259" w:lineRule="auto"/>
        <w:ind w:firstLine="0"/>
        <w:jc w:val="left"/>
        <w:rPr>
          <w:rFonts w:cs="Times New Roman"/>
          <w:color w:val="000000" w:themeColor="text1"/>
          <w:sz w:val="18"/>
          <w:szCs w:val="18"/>
          <w:lang w:val="en-US" w:eastAsia="de-DE"/>
        </w:rPr>
      </w:pPr>
    </w:p>
    <w:p w14:paraId="22AA6E1E" w14:textId="77777777" w:rsidR="00700B9F" w:rsidRDefault="00700B9F" w:rsidP="00700B9F">
      <w:pPr>
        <w:spacing w:after="160" w:line="259" w:lineRule="auto"/>
        <w:ind w:firstLine="0"/>
        <w:jc w:val="left"/>
        <w:rPr>
          <w:lang w:val="en-US"/>
        </w:rPr>
      </w:pPr>
      <w:bookmarkStart w:id="2" w:name="_Ref95401131"/>
      <w:r>
        <w:rPr>
          <w:lang w:val="en-US"/>
        </w:rPr>
        <w:br w:type="page"/>
      </w:r>
    </w:p>
    <w:p w14:paraId="7F4F472B" w14:textId="77777777" w:rsidR="00700B9F" w:rsidRDefault="00700B9F" w:rsidP="00700B9F">
      <w:pPr>
        <w:pStyle w:val="Caption"/>
        <w:rPr>
          <w:lang w:val="en-US"/>
        </w:rPr>
      </w:pPr>
      <w:bookmarkStart w:id="3" w:name="_Ref100132695"/>
      <w:bookmarkEnd w:id="2"/>
      <w:r>
        <w:lastRenderedPageBreak/>
        <w:t>Table A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3"/>
      <w:r>
        <w:t>:</w:t>
      </w:r>
      <w:r w:rsidRPr="00E12E8C">
        <w:rPr>
          <w:lang w:val="en-US"/>
        </w:rPr>
        <w:t xml:space="preserve"> </w:t>
      </w:r>
      <w:r w:rsidRPr="00E3444F">
        <w:rPr>
          <w:lang w:val="en-US"/>
        </w:rPr>
        <w:t>Variable Definitions</w:t>
      </w:r>
    </w:p>
    <w:tbl>
      <w:tblPr>
        <w:tblW w:w="9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0"/>
        <w:gridCol w:w="55"/>
        <w:gridCol w:w="4728"/>
        <w:gridCol w:w="286"/>
        <w:gridCol w:w="2126"/>
      </w:tblGrid>
      <w:tr w:rsidR="00700B9F" w:rsidRPr="0022712B" w14:paraId="062D507A" w14:textId="77777777" w:rsidTr="00937757">
        <w:trPr>
          <w:trHeight w:val="31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A2765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b/>
                <w:iCs/>
                <w:color w:val="000000"/>
                <w:sz w:val="20"/>
                <w:szCs w:val="20"/>
                <w:lang w:eastAsia="de-DE"/>
              </w:rPr>
            </w:pPr>
            <w:r w:rsidRPr="0022712B">
              <w:rPr>
                <w:rFonts w:eastAsia="Times New Roman" w:cs="Times New Roman"/>
                <w:b/>
                <w:iCs/>
                <w:color w:val="000000"/>
                <w:sz w:val="20"/>
                <w:szCs w:val="20"/>
                <w:lang w:eastAsia="de-DE"/>
              </w:rPr>
              <w:t>Variable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76216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CEBA8AF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Definition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B3139F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490A1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Source</w:t>
            </w:r>
          </w:p>
        </w:tc>
      </w:tr>
      <w:tr w:rsidR="00700B9F" w:rsidRPr="00C00887" w14:paraId="0A80B7BC" w14:textId="77777777" w:rsidTr="00937757">
        <w:trPr>
          <w:trHeight w:val="567"/>
        </w:trPr>
        <w:tc>
          <w:tcPr>
            <w:tcW w:w="9213" w:type="dxa"/>
            <w:gridSpan w:val="6"/>
            <w:tcBorders>
              <w:top w:val="single" w:sz="4" w:space="0" w:color="auto"/>
              <w:left w:val="nil"/>
            </w:tcBorders>
          </w:tcPr>
          <w:p w14:paraId="1374FFA9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Panel A: Profit Shifting and CSR </w:t>
            </w:r>
          </w:p>
        </w:tc>
      </w:tr>
      <w:tr w:rsidR="00700B9F" w:rsidRPr="0022712B" w14:paraId="5B8715BC" w14:textId="77777777" w:rsidTr="00937757">
        <w:trPr>
          <w:trHeight w:val="454"/>
        </w:trPr>
        <w:tc>
          <w:tcPr>
            <w:tcW w:w="9213" w:type="dxa"/>
            <w:gridSpan w:val="6"/>
            <w:tcBorders>
              <w:top w:val="single" w:sz="4" w:space="0" w:color="auto"/>
              <w:left w:val="nil"/>
            </w:tcBorders>
          </w:tcPr>
          <w:p w14:paraId="071569C3" w14:textId="77777777" w:rsidR="00700B9F" w:rsidRPr="0022712B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bookmarkStart w:id="4" w:name="_Hlk94710878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Dependent Variable</w:t>
            </w:r>
          </w:p>
        </w:tc>
      </w:tr>
      <w:tr w:rsidR="00700B9F" w:rsidRPr="00E3444F" w14:paraId="42F89203" w14:textId="77777777" w:rsidTr="00937757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59BA77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bookmarkStart w:id="5" w:name="_Hlk94710899"/>
            <w:bookmarkEnd w:id="4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PBT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535A0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  <w:hideMark/>
          </w:tcPr>
          <w:p w14:paraId="79B15624" w14:textId="77777777" w:rsidR="00700B9F" w:rsidRPr="0022712B" w:rsidRDefault="00700B9F" w:rsidP="00937757">
            <w:pPr>
              <w:pStyle w:val="VariabledescriptionAppendix"/>
            </w:pPr>
            <w:r>
              <w:t>N</w:t>
            </w:r>
            <w:r w:rsidRPr="00AC29B5">
              <w:t>atural logarithm of profit before tax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2342AB99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4FBDE49F" w14:textId="77777777" w:rsidR="00700B9F" w:rsidRPr="0022712B" w:rsidRDefault="00700B9F" w:rsidP="00937757">
            <w:pPr>
              <w:pStyle w:val="VariabledescriptionAppendix"/>
            </w:pPr>
            <w:r>
              <w:t>Amadeus</w:t>
            </w:r>
          </w:p>
        </w:tc>
      </w:tr>
      <w:bookmarkEnd w:id="5"/>
      <w:tr w:rsidR="00700B9F" w:rsidRPr="00C243F7" w14:paraId="6CC396D7" w14:textId="77777777" w:rsidTr="00937757">
        <w:trPr>
          <w:trHeight w:val="454"/>
        </w:trPr>
        <w:tc>
          <w:tcPr>
            <w:tcW w:w="9213" w:type="dxa"/>
            <w:gridSpan w:val="6"/>
            <w:tcBorders>
              <w:left w:val="nil"/>
            </w:tcBorders>
            <w:noWrap/>
          </w:tcPr>
          <w:p w14:paraId="5506464B" w14:textId="77777777" w:rsidR="00700B9F" w:rsidRDefault="00700B9F" w:rsidP="00937757">
            <w:pPr>
              <w:spacing w:before="120" w:line="240" w:lineRule="auto"/>
              <w:ind w:firstLine="0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Profit-Shifting Incentive Variable</w:t>
            </w:r>
          </w:p>
        </w:tc>
      </w:tr>
      <w:tr w:rsidR="00700B9F" w:rsidRPr="00C00887" w14:paraId="4C54833D" w14:textId="77777777" w:rsidTr="00937757">
        <w:trPr>
          <w:trHeight w:val="684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7EB004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STR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33514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7CC324F4" w14:textId="77777777" w:rsidR="00700B9F" w:rsidRDefault="00700B9F" w:rsidP="00937757">
            <w:pPr>
              <w:pStyle w:val="VariabledescriptionAppendix"/>
            </w:pPr>
            <w:r>
              <w:t>S</w:t>
            </w:r>
            <w:r w:rsidRPr="007701B9">
              <w:t xml:space="preserve">tatutory corporate tax rate of </w:t>
            </w:r>
            <w:r>
              <w:t>a</w:t>
            </w:r>
            <w:r w:rsidRPr="007701B9">
              <w:t xml:space="preserve"> subsidiary’s jurisdiction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656D9C00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3906937A" w14:textId="77777777" w:rsidR="00700B9F" w:rsidRDefault="00700B9F" w:rsidP="00937757">
            <w:pPr>
              <w:pStyle w:val="VariabledescriptionAppendix"/>
            </w:pPr>
            <w:r w:rsidRPr="007701B9">
              <w:t>Worldwide corporate tax summaries of PwC, KPMG, and EY</w:t>
            </w:r>
          </w:p>
        </w:tc>
      </w:tr>
      <w:tr w:rsidR="00700B9F" w:rsidRPr="00C243F7" w14:paraId="533A3162" w14:textId="77777777" w:rsidTr="00937757">
        <w:trPr>
          <w:trHeight w:val="454"/>
        </w:trPr>
        <w:tc>
          <w:tcPr>
            <w:tcW w:w="7087" w:type="dxa"/>
            <w:gridSpan w:val="5"/>
            <w:tcBorders>
              <w:left w:val="nil"/>
            </w:tcBorders>
            <w:noWrap/>
          </w:tcPr>
          <w:p w14:paraId="613BA5C8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CSR Variables</w:t>
            </w:r>
          </w:p>
        </w:tc>
        <w:tc>
          <w:tcPr>
            <w:tcW w:w="2126" w:type="dxa"/>
            <w:tcBorders>
              <w:left w:val="nil"/>
            </w:tcBorders>
          </w:tcPr>
          <w:p w14:paraId="4853D5B4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700B9F" w:rsidRPr="00C243F7" w14:paraId="7BD0DC56" w14:textId="77777777" w:rsidTr="00937757">
        <w:trPr>
          <w:trHeight w:val="567"/>
        </w:trPr>
        <w:tc>
          <w:tcPr>
            <w:tcW w:w="1701" w:type="dxa"/>
            <w:tcBorders>
              <w:left w:val="nil"/>
            </w:tcBorders>
            <w:noWrap/>
          </w:tcPr>
          <w:p w14:paraId="7A855204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ESG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67A8665A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426B711F" w14:textId="77777777" w:rsidR="00700B9F" w:rsidRPr="0056756D" w:rsidRDefault="00700B9F" w:rsidP="00937757">
            <w:pPr>
              <w:pStyle w:val="VariabledescriptionAppendix"/>
            </w:pPr>
            <w:r>
              <w:t>ESG score measuring a parent firm’s overall CSR performance.</w:t>
            </w:r>
          </w:p>
        </w:tc>
        <w:tc>
          <w:tcPr>
            <w:tcW w:w="286" w:type="dxa"/>
            <w:tcBorders>
              <w:left w:val="nil"/>
            </w:tcBorders>
          </w:tcPr>
          <w:p w14:paraId="2EDF97B7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52CC1F12" w14:textId="77777777" w:rsidR="00700B9F" w:rsidRPr="007701B9" w:rsidRDefault="00700B9F" w:rsidP="00937757">
            <w:pPr>
              <w:pStyle w:val="VariabledescriptionAppendix"/>
            </w:pPr>
            <w:r w:rsidRPr="007701B9">
              <w:t>Refinitiv</w:t>
            </w:r>
          </w:p>
        </w:tc>
      </w:tr>
      <w:tr w:rsidR="00700B9F" w:rsidRPr="00C243F7" w14:paraId="28C1CACF" w14:textId="77777777" w:rsidTr="00937757">
        <w:trPr>
          <w:trHeight w:val="794"/>
        </w:trPr>
        <w:tc>
          <w:tcPr>
            <w:tcW w:w="1701" w:type="dxa"/>
            <w:tcBorders>
              <w:left w:val="nil"/>
            </w:tcBorders>
            <w:noWrap/>
          </w:tcPr>
          <w:p w14:paraId="16A1D78A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ESGCOMB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59D68C31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16CD2372" w14:textId="77777777" w:rsidR="00700B9F" w:rsidRPr="0056756D" w:rsidRDefault="00700B9F" w:rsidP="00937757">
            <w:pPr>
              <w:pStyle w:val="VariabledescriptionAppendix"/>
            </w:pPr>
            <w:r>
              <w:t>ESG combined score measuring a parent firm’s overall CSR performance (</w:t>
            </w:r>
            <w:r w:rsidRPr="0056756D">
              <w:rPr>
                <w:i/>
              </w:rPr>
              <w:t>ESG</w:t>
            </w:r>
            <w:r>
              <w:t>) discounted based on ESG controversies (</w:t>
            </w:r>
            <w:r w:rsidRPr="0056756D">
              <w:rPr>
                <w:i/>
              </w:rPr>
              <w:t>ESGCONTROV</w:t>
            </w:r>
            <w:r>
              <w:t>).</w:t>
            </w:r>
          </w:p>
        </w:tc>
        <w:tc>
          <w:tcPr>
            <w:tcW w:w="286" w:type="dxa"/>
            <w:tcBorders>
              <w:left w:val="nil"/>
            </w:tcBorders>
          </w:tcPr>
          <w:p w14:paraId="56D5989D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5B4CB4D2" w14:textId="77777777" w:rsidR="00700B9F" w:rsidRDefault="00700B9F" w:rsidP="00937757">
            <w:pPr>
              <w:pStyle w:val="VariabledescriptionAppendix"/>
              <w:rPr>
                <w:b/>
              </w:rPr>
            </w:pPr>
            <w:r w:rsidRPr="007701B9">
              <w:t>Refinitiv</w:t>
            </w:r>
          </w:p>
        </w:tc>
      </w:tr>
      <w:tr w:rsidR="00700B9F" w:rsidRPr="00C243F7" w14:paraId="283CCC1A" w14:textId="77777777" w:rsidTr="00937757">
        <w:trPr>
          <w:trHeight w:val="1020"/>
        </w:trPr>
        <w:tc>
          <w:tcPr>
            <w:tcW w:w="1701" w:type="dxa"/>
            <w:tcBorders>
              <w:left w:val="nil"/>
            </w:tcBorders>
            <w:noWrap/>
          </w:tcPr>
          <w:p w14:paraId="2D8E3DF8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ESGCONTROV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44EC139B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2FB90A36" w14:textId="77777777" w:rsidR="00700B9F" w:rsidRPr="0056756D" w:rsidRDefault="00700B9F" w:rsidP="00937757">
            <w:pPr>
              <w:pStyle w:val="VariabledescriptionAppendix"/>
            </w:pPr>
            <w:r>
              <w:t xml:space="preserve">ESG controversies score measuring the extent of negative media stories on a parent firm. The </w:t>
            </w:r>
            <w:r w:rsidRPr="0056756D">
              <w:t xml:space="preserve">lower the ESG controversies score, the </w:t>
            </w:r>
            <w:r>
              <w:t>greater the number of</w:t>
            </w:r>
            <w:r w:rsidRPr="0056756D">
              <w:t xml:space="preserve"> controversies </w:t>
            </w:r>
            <w:r>
              <w:t xml:space="preserve">that have </w:t>
            </w:r>
            <w:r w:rsidRPr="0056756D">
              <w:t>occurred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68C9787B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141FEFBC" w14:textId="77777777" w:rsidR="00700B9F" w:rsidRDefault="00700B9F" w:rsidP="00937757">
            <w:pPr>
              <w:pStyle w:val="VariabledescriptionAppendix"/>
              <w:rPr>
                <w:b/>
              </w:rPr>
            </w:pPr>
            <w:r w:rsidRPr="007701B9">
              <w:t>Refinitiv</w:t>
            </w:r>
          </w:p>
        </w:tc>
      </w:tr>
      <w:tr w:rsidR="00700B9F" w:rsidRPr="00C243F7" w14:paraId="154511CA" w14:textId="77777777" w:rsidTr="00937757">
        <w:trPr>
          <w:trHeight w:val="567"/>
        </w:trPr>
        <w:tc>
          <w:tcPr>
            <w:tcW w:w="1701" w:type="dxa"/>
            <w:tcBorders>
              <w:left w:val="nil"/>
            </w:tcBorders>
            <w:noWrap/>
          </w:tcPr>
          <w:p w14:paraId="3F6EBBE4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ENV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162AE762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06FB4E02" w14:textId="77777777" w:rsidR="00700B9F" w:rsidRPr="0056756D" w:rsidRDefault="00700B9F" w:rsidP="00937757">
            <w:pPr>
              <w:pStyle w:val="VariabledescriptionAppendix"/>
            </w:pPr>
            <w:r>
              <w:t>Environmental pillar score measuring a parent firm’s performance in the environmental dimension.</w:t>
            </w:r>
          </w:p>
        </w:tc>
        <w:tc>
          <w:tcPr>
            <w:tcW w:w="286" w:type="dxa"/>
            <w:tcBorders>
              <w:left w:val="nil"/>
            </w:tcBorders>
          </w:tcPr>
          <w:p w14:paraId="71EC4710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106F34B1" w14:textId="77777777" w:rsidR="00700B9F" w:rsidRDefault="00700B9F" w:rsidP="00937757">
            <w:pPr>
              <w:pStyle w:val="VariabledescriptionAppendix"/>
              <w:rPr>
                <w:b/>
              </w:rPr>
            </w:pPr>
            <w:r w:rsidRPr="007701B9">
              <w:t>Refinitiv</w:t>
            </w:r>
          </w:p>
        </w:tc>
      </w:tr>
      <w:tr w:rsidR="00700B9F" w:rsidRPr="00C243F7" w14:paraId="072F881F" w14:textId="77777777" w:rsidTr="00937757">
        <w:trPr>
          <w:trHeight w:val="567"/>
        </w:trPr>
        <w:tc>
          <w:tcPr>
            <w:tcW w:w="1701" w:type="dxa"/>
            <w:tcBorders>
              <w:left w:val="nil"/>
            </w:tcBorders>
            <w:noWrap/>
          </w:tcPr>
          <w:p w14:paraId="15C841A9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SOC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3E8BAA9D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0F1D280C" w14:textId="77777777" w:rsidR="00700B9F" w:rsidRPr="0056756D" w:rsidRDefault="00700B9F" w:rsidP="00937757">
            <w:pPr>
              <w:pStyle w:val="VariabledescriptionAppendix"/>
            </w:pPr>
            <w:r>
              <w:t>Social pillar score measuring a parent firm’s performance in the social dimension.</w:t>
            </w:r>
          </w:p>
        </w:tc>
        <w:tc>
          <w:tcPr>
            <w:tcW w:w="286" w:type="dxa"/>
            <w:tcBorders>
              <w:left w:val="nil"/>
            </w:tcBorders>
          </w:tcPr>
          <w:p w14:paraId="6C96141F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548ED934" w14:textId="77777777" w:rsidR="00700B9F" w:rsidRDefault="00700B9F" w:rsidP="00937757">
            <w:pPr>
              <w:pStyle w:val="VariabledescriptionAppendix"/>
              <w:rPr>
                <w:b/>
              </w:rPr>
            </w:pPr>
            <w:r w:rsidRPr="007701B9">
              <w:t>Refinitiv</w:t>
            </w:r>
          </w:p>
        </w:tc>
      </w:tr>
      <w:tr w:rsidR="00700B9F" w:rsidRPr="00C243F7" w14:paraId="0414F92B" w14:textId="77777777" w:rsidTr="00937757">
        <w:trPr>
          <w:trHeight w:val="567"/>
        </w:trPr>
        <w:tc>
          <w:tcPr>
            <w:tcW w:w="1701" w:type="dxa"/>
            <w:tcBorders>
              <w:left w:val="nil"/>
            </w:tcBorders>
            <w:noWrap/>
          </w:tcPr>
          <w:p w14:paraId="4585B3C6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GOV</w:t>
            </w:r>
          </w:p>
        </w:tc>
        <w:tc>
          <w:tcPr>
            <w:tcW w:w="375" w:type="dxa"/>
            <w:gridSpan w:val="2"/>
            <w:tcBorders>
              <w:left w:val="nil"/>
            </w:tcBorders>
          </w:tcPr>
          <w:p w14:paraId="354E9AB5" w14:textId="77777777" w:rsidR="00700B9F" w:rsidRPr="0056756D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28" w:type="dxa"/>
            <w:tcBorders>
              <w:left w:val="nil"/>
            </w:tcBorders>
          </w:tcPr>
          <w:p w14:paraId="2391DB30" w14:textId="77777777" w:rsidR="00700B9F" w:rsidRPr="0056756D" w:rsidRDefault="00700B9F" w:rsidP="00937757">
            <w:pPr>
              <w:pStyle w:val="VariabledescriptionAppendix"/>
            </w:pPr>
            <w:r>
              <w:t>Corporate governance pillar score measuring a parent firm’s performance in the governance dimension.</w:t>
            </w:r>
          </w:p>
        </w:tc>
        <w:tc>
          <w:tcPr>
            <w:tcW w:w="286" w:type="dxa"/>
            <w:tcBorders>
              <w:left w:val="nil"/>
            </w:tcBorders>
          </w:tcPr>
          <w:p w14:paraId="2D927437" w14:textId="77777777" w:rsidR="00700B9F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66812929" w14:textId="77777777" w:rsidR="00700B9F" w:rsidRDefault="00700B9F" w:rsidP="00937757">
            <w:pPr>
              <w:pStyle w:val="VariabledescriptionAppendix"/>
              <w:rPr>
                <w:b/>
              </w:rPr>
            </w:pPr>
            <w:r w:rsidRPr="007701B9">
              <w:t>Refinitiv</w:t>
            </w:r>
          </w:p>
        </w:tc>
      </w:tr>
      <w:tr w:rsidR="00700B9F" w:rsidRPr="00C243F7" w14:paraId="3E4B7437" w14:textId="77777777" w:rsidTr="00937757">
        <w:trPr>
          <w:trHeight w:val="454"/>
        </w:trPr>
        <w:tc>
          <w:tcPr>
            <w:tcW w:w="9213" w:type="dxa"/>
            <w:gridSpan w:val="6"/>
            <w:tcBorders>
              <w:left w:val="nil"/>
            </w:tcBorders>
            <w:noWrap/>
            <w:vAlign w:val="center"/>
          </w:tcPr>
          <w:p w14:paraId="33A78FFC" w14:textId="77777777" w:rsidR="00700B9F" w:rsidRDefault="00700B9F" w:rsidP="00937757">
            <w:pPr>
              <w:spacing w:before="120" w:line="240" w:lineRule="auto"/>
              <w:ind w:firstLine="0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Subsidiary-Level Controls</w:t>
            </w:r>
          </w:p>
        </w:tc>
      </w:tr>
      <w:tr w:rsidR="00700B9F" w:rsidRPr="00C243F7" w14:paraId="4AC5A80A" w14:textId="77777777" w:rsidTr="00937757">
        <w:trPr>
          <w:trHeight w:val="454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B62843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bookmarkStart w:id="6" w:name="_Hlk94711232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CAPITAL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337AB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63F7995E" w14:textId="77777777" w:rsidR="00700B9F" w:rsidRDefault="00700B9F" w:rsidP="00937757">
            <w:pPr>
              <w:pStyle w:val="VariabledescriptionAppendix"/>
            </w:pPr>
            <w:r>
              <w:t>N</w:t>
            </w:r>
            <w:r w:rsidRPr="007701B9">
              <w:t>atural logarithm of fixed assets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2CC391A7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65B779B9" w14:textId="77777777" w:rsidR="00700B9F" w:rsidRDefault="00700B9F" w:rsidP="00937757">
            <w:pPr>
              <w:pStyle w:val="VariabledescriptionAppendix"/>
            </w:pPr>
            <w:r>
              <w:t>Amadeus</w:t>
            </w:r>
          </w:p>
        </w:tc>
      </w:tr>
      <w:tr w:rsidR="00700B9F" w:rsidRPr="0022712B" w14:paraId="017F9360" w14:textId="77777777" w:rsidTr="00937757">
        <w:trPr>
          <w:trHeight w:val="454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CC6ED0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LABOR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C3D99D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50800A6A" w14:textId="77777777" w:rsidR="00700B9F" w:rsidRPr="0022712B" w:rsidRDefault="00700B9F" w:rsidP="00937757">
            <w:pPr>
              <w:pStyle w:val="VariabledescriptionAppendix"/>
            </w:pPr>
            <w:r>
              <w:t>N</w:t>
            </w:r>
            <w:r w:rsidRPr="007701B9">
              <w:t>atural logarithm of labor compensation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5B1C6F0E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6CDD5129" w14:textId="77777777" w:rsidR="00700B9F" w:rsidRPr="0022712B" w:rsidRDefault="00700B9F" w:rsidP="00937757">
            <w:pPr>
              <w:pStyle w:val="VariabledescriptionAppendix"/>
            </w:pPr>
            <w:r>
              <w:t>Amadeus</w:t>
            </w:r>
          </w:p>
        </w:tc>
      </w:tr>
      <w:tr w:rsidR="00700B9F" w14:paraId="350D7ECD" w14:textId="77777777" w:rsidTr="00937757">
        <w:trPr>
          <w:trHeight w:val="454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645788F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INTAN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2EBFA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567AFD09" w14:textId="77777777" w:rsidR="00700B9F" w:rsidRDefault="00700B9F" w:rsidP="00937757">
            <w:pPr>
              <w:pStyle w:val="VariabledescriptionAppendix"/>
            </w:pPr>
            <w:r>
              <w:t>R</w:t>
            </w:r>
            <w:r w:rsidRPr="007701B9">
              <w:t>atio of intangible assets over total assets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474A2D88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03C198BF" w14:textId="77777777" w:rsidR="00700B9F" w:rsidRDefault="00700B9F" w:rsidP="00937757">
            <w:pPr>
              <w:pStyle w:val="VariabledescriptionAppendix"/>
            </w:pPr>
            <w:r>
              <w:t>Amadeus</w:t>
            </w:r>
          </w:p>
        </w:tc>
      </w:tr>
      <w:bookmarkEnd w:id="6"/>
      <w:tr w:rsidR="00700B9F" w:rsidRPr="0022712B" w14:paraId="0E962500" w14:textId="77777777" w:rsidTr="00937757">
        <w:trPr>
          <w:trHeight w:val="454"/>
        </w:trPr>
        <w:tc>
          <w:tcPr>
            <w:tcW w:w="9213" w:type="dxa"/>
            <w:gridSpan w:val="6"/>
            <w:tcBorders>
              <w:left w:val="nil"/>
            </w:tcBorders>
          </w:tcPr>
          <w:p w14:paraId="61C646C7" w14:textId="77777777" w:rsidR="00700B9F" w:rsidRPr="0022712B" w:rsidRDefault="00700B9F" w:rsidP="00937757">
            <w:pPr>
              <w:spacing w:before="120" w:line="240" w:lineRule="auto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Country-Level Data</w:t>
            </w:r>
          </w:p>
        </w:tc>
      </w:tr>
      <w:tr w:rsidR="00700B9F" w14:paraId="70220BF6" w14:textId="77777777" w:rsidTr="00937757">
        <w:trPr>
          <w:trHeight w:val="5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162946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GDP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3A25B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63C5BBAA" w14:textId="77777777" w:rsidR="00700B9F" w:rsidRDefault="00700B9F" w:rsidP="00937757">
            <w:pPr>
              <w:pStyle w:val="VariabledescriptionAppendix"/>
            </w:pPr>
            <w:r>
              <w:t>N</w:t>
            </w:r>
            <w:r w:rsidRPr="007701B9">
              <w:t>atural logarithm of gross domestic product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33BD4EF6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008B03EB" w14:textId="77777777" w:rsidR="00700B9F" w:rsidRDefault="00700B9F" w:rsidP="00937757">
            <w:pPr>
              <w:pStyle w:val="VariabledescriptionAppendix"/>
            </w:pPr>
            <w:r w:rsidRPr="007701B9">
              <w:t>World Bank Development Indicators</w:t>
            </w:r>
          </w:p>
        </w:tc>
      </w:tr>
      <w:tr w:rsidR="00700B9F" w:rsidRPr="0022712B" w14:paraId="0DB6417D" w14:textId="77777777" w:rsidTr="00937757">
        <w:trPr>
          <w:trHeight w:val="56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31C20B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GDPC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EE181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091FA42C" w14:textId="77777777" w:rsidR="00700B9F" w:rsidRPr="0022712B" w:rsidRDefault="00700B9F" w:rsidP="00937757">
            <w:pPr>
              <w:pStyle w:val="VariabledescriptionAppendix"/>
            </w:pPr>
            <w:r>
              <w:t>N</w:t>
            </w:r>
            <w:r w:rsidRPr="007701B9">
              <w:t>atural logarithm of gross domestic product per capita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1DE9CFBA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2DD2DEB3" w14:textId="77777777" w:rsidR="00700B9F" w:rsidRPr="0022712B" w:rsidRDefault="00700B9F" w:rsidP="00937757">
            <w:pPr>
              <w:pStyle w:val="VariabledescriptionAppendix"/>
            </w:pPr>
            <w:r w:rsidRPr="007701B9">
              <w:t>World Bank Development Indicators</w:t>
            </w:r>
          </w:p>
        </w:tc>
      </w:tr>
      <w:tr w:rsidR="00700B9F" w14:paraId="107D5C18" w14:textId="77777777" w:rsidTr="00937757">
        <w:trPr>
          <w:trHeight w:val="56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FAFE53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UNEMPLOY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FB8C8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434B9AE5" w14:textId="77777777" w:rsidR="00700B9F" w:rsidRDefault="00700B9F" w:rsidP="00937757">
            <w:pPr>
              <w:pStyle w:val="VariabledescriptionAppendix"/>
            </w:pPr>
            <w:r>
              <w:t>N</w:t>
            </w:r>
            <w:r w:rsidRPr="007701B9">
              <w:t>atural logarithm of unemployment rate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46821A55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0839123D" w14:textId="77777777" w:rsidR="00700B9F" w:rsidRDefault="00700B9F" w:rsidP="00937757">
            <w:pPr>
              <w:pStyle w:val="VariabledescriptionAppendix"/>
            </w:pPr>
            <w:r w:rsidRPr="007701B9">
              <w:t>World</w:t>
            </w:r>
            <w:r>
              <w:t xml:space="preserve"> </w:t>
            </w:r>
            <w:r w:rsidRPr="007701B9">
              <w:t>Bank Development Indicators</w:t>
            </w:r>
          </w:p>
        </w:tc>
      </w:tr>
      <w:tr w:rsidR="00700B9F" w:rsidRPr="00C00887" w14:paraId="32CD4206" w14:textId="77777777" w:rsidTr="00937757">
        <w:trPr>
          <w:trHeight w:val="56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42C575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CORRUPT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9DF0F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46314CC7" w14:textId="77777777" w:rsidR="00700B9F" w:rsidRDefault="00700B9F" w:rsidP="00937757">
            <w:pPr>
              <w:pStyle w:val="VariabledescriptionAppendix"/>
            </w:pPr>
            <w:r>
              <w:t>C</w:t>
            </w:r>
            <w:r w:rsidRPr="007701B9">
              <w:t>orruption index</w:t>
            </w:r>
            <w:r>
              <w:t>.</w:t>
            </w:r>
          </w:p>
        </w:tc>
        <w:tc>
          <w:tcPr>
            <w:tcW w:w="286" w:type="dxa"/>
            <w:tcBorders>
              <w:left w:val="nil"/>
            </w:tcBorders>
          </w:tcPr>
          <w:p w14:paraId="6C5B5877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075DC14C" w14:textId="77777777" w:rsidR="00700B9F" w:rsidRPr="007701B9" w:rsidRDefault="00700B9F" w:rsidP="00937757">
            <w:pPr>
              <w:pStyle w:val="VariabledescriptionAppendix"/>
            </w:pPr>
            <w:r>
              <w:t xml:space="preserve">World Bank </w:t>
            </w:r>
            <w:r w:rsidRPr="007701B9">
              <w:t>Worldwide Governance Indicators</w:t>
            </w:r>
          </w:p>
        </w:tc>
      </w:tr>
      <w:tr w:rsidR="00700B9F" w:rsidRPr="00C00887" w14:paraId="60B0A69F" w14:textId="77777777" w:rsidTr="00937757">
        <w:trPr>
          <w:trHeight w:val="56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6AA99D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PREGULATQ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F99FD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0074B5C0" w14:textId="77777777" w:rsidR="00700B9F" w:rsidRDefault="00700B9F" w:rsidP="00937757">
            <w:pPr>
              <w:pStyle w:val="VariabledescriptionAppendix"/>
            </w:pPr>
            <w:r>
              <w:t>Parent country regulatory quality</w:t>
            </w:r>
          </w:p>
        </w:tc>
        <w:tc>
          <w:tcPr>
            <w:tcW w:w="286" w:type="dxa"/>
            <w:tcBorders>
              <w:left w:val="nil"/>
            </w:tcBorders>
          </w:tcPr>
          <w:p w14:paraId="186D294B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2ED5F1F9" w14:textId="77777777" w:rsidR="00700B9F" w:rsidRPr="007701B9" w:rsidRDefault="00700B9F" w:rsidP="00937757">
            <w:pPr>
              <w:pStyle w:val="VariabledescriptionAppendix"/>
            </w:pPr>
            <w:r>
              <w:t xml:space="preserve">World Bank </w:t>
            </w:r>
            <w:r w:rsidRPr="007701B9">
              <w:t>Worldwide Governance Indicators</w:t>
            </w:r>
          </w:p>
        </w:tc>
      </w:tr>
      <w:tr w:rsidR="00700B9F" w:rsidRPr="00C00887" w14:paraId="063DE107" w14:textId="77777777" w:rsidTr="00937757">
        <w:trPr>
          <w:trHeight w:val="567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F51D0E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lastRenderedPageBreak/>
              <w:t>PRULEOFLAW</w:t>
            </w:r>
          </w:p>
        </w:tc>
        <w:tc>
          <w:tcPr>
            <w:tcW w:w="32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688AD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</w:tcBorders>
            <w:shd w:val="clear" w:color="auto" w:fill="auto"/>
          </w:tcPr>
          <w:p w14:paraId="4EA30B2F" w14:textId="77777777" w:rsidR="00700B9F" w:rsidRDefault="00700B9F" w:rsidP="00937757">
            <w:pPr>
              <w:pStyle w:val="VariabledescriptionAppendix"/>
            </w:pPr>
            <w:r>
              <w:t>Parent country rule of law</w:t>
            </w:r>
          </w:p>
        </w:tc>
        <w:tc>
          <w:tcPr>
            <w:tcW w:w="286" w:type="dxa"/>
            <w:tcBorders>
              <w:left w:val="nil"/>
            </w:tcBorders>
          </w:tcPr>
          <w:p w14:paraId="5FF0E2F0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373EFB5D" w14:textId="77777777" w:rsidR="00700B9F" w:rsidRPr="007701B9" w:rsidRDefault="00700B9F" w:rsidP="00937757">
            <w:pPr>
              <w:pStyle w:val="VariabledescriptionAppendix"/>
            </w:pPr>
            <w:r>
              <w:t xml:space="preserve">World Bank </w:t>
            </w:r>
            <w:r w:rsidRPr="007701B9">
              <w:t>Worldwide Governance Indicators</w:t>
            </w:r>
          </w:p>
        </w:tc>
      </w:tr>
      <w:tr w:rsidR="00700B9F" w:rsidRPr="00C00887" w14:paraId="48C0491B" w14:textId="77777777" w:rsidTr="00937757">
        <w:trPr>
          <w:trHeight w:val="567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EE6C8A" w14:textId="77777777" w:rsidR="00700B9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PGOVEFF</w:t>
            </w:r>
          </w:p>
        </w:tc>
        <w:tc>
          <w:tcPr>
            <w:tcW w:w="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C696F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=</w:t>
            </w:r>
          </w:p>
        </w:tc>
        <w:tc>
          <w:tcPr>
            <w:tcW w:w="4783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C9966DB" w14:textId="77777777" w:rsidR="00700B9F" w:rsidRDefault="00700B9F" w:rsidP="00937757">
            <w:pPr>
              <w:pStyle w:val="VariabledescriptionAppendix"/>
            </w:pPr>
            <w:r>
              <w:t>Parent country government effectiveness</w:t>
            </w:r>
          </w:p>
        </w:tc>
        <w:tc>
          <w:tcPr>
            <w:tcW w:w="286" w:type="dxa"/>
            <w:tcBorders>
              <w:left w:val="nil"/>
              <w:bottom w:val="single" w:sz="4" w:space="0" w:color="auto"/>
            </w:tcBorders>
          </w:tcPr>
          <w:p w14:paraId="640BA82A" w14:textId="77777777" w:rsidR="00700B9F" w:rsidRDefault="00700B9F" w:rsidP="00937757">
            <w:pPr>
              <w:pStyle w:val="VariabledescriptionAppendix"/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F2D79" w14:textId="77777777" w:rsidR="00700B9F" w:rsidRDefault="00700B9F" w:rsidP="00937757">
            <w:pPr>
              <w:pStyle w:val="VariabledescriptionAppendix"/>
            </w:pPr>
            <w:r>
              <w:t xml:space="preserve">World Bank </w:t>
            </w:r>
            <w:r w:rsidRPr="007701B9">
              <w:t>Worldwide Governance Indicators</w:t>
            </w:r>
          </w:p>
        </w:tc>
      </w:tr>
    </w:tbl>
    <w:p w14:paraId="13C17BF6" w14:textId="77777777" w:rsidR="00700B9F" w:rsidRDefault="00700B9F" w:rsidP="00700B9F">
      <w:pPr>
        <w:rPr>
          <w:lang w:val="en-US" w:eastAsia="de-DE"/>
        </w:rPr>
      </w:pPr>
    </w:p>
    <w:p w14:paraId="00BD361B" w14:textId="77777777" w:rsidR="00700B9F" w:rsidRDefault="00700B9F" w:rsidP="00700B9F">
      <w:pPr>
        <w:rPr>
          <w:lang w:val="en-US"/>
        </w:rPr>
      </w:pPr>
      <w:bookmarkStart w:id="7" w:name="_Ref94712288"/>
    </w:p>
    <w:p w14:paraId="75D163F3" w14:textId="77777777" w:rsidR="00700B9F" w:rsidRDefault="00700B9F" w:rsidP="00700B9F">
      <w:pPr>
        <w:pStyle w:val="Caption"/>
        <w:rPr>
          <w:lang w:val="en-US"/>
        </w:rPr>
      </w:pPr>
      <w:r w:rsidRPr="002C1511">
        <w:rPr>
          <w:lang w:val="en-US"/>
        </w:rPr>
        <w:t>Table A</w:t>
      </w:r>
      <w:r>
        <w:fldChar w:fldCharType="begin"/>
      </w:r>
      <w:r w:rsidRPr="002C1511">
        <w:rPr>
          <w:lang w:val="en-US"/>
        </w:rPr>
        <w:instrText xml:space="preserve"> SEQ Table_A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bookmarkEnd w:id="7"/>
      <w:r w:rsidRPr="002C1511">
        <w:rPr>
          <w:lang w:val="en-US"/>
        </w:rPr>
        <w:t>: Composition of ESG P</w:t>
      </w:r>
      <w:r>
        <w:rPr>
          <w:lang w:val="en-US"/>
        </w:rPr>
        <w:t>illar Scores</w:t>
      </w:r>
    </w:p>
    <w:tbl>
      <w:tblPr>
        <w:tblStyle w:val="Tabellenraster1"/>
        <w:tblW w:w="9071" w:type="dxa"/>
        <w:jc w:val="center"/>
        <w:tblLook w:val="04A0" w:firstRow="1" w:lastRow="0" w:firstColumn="1" w:lastColumn="0" w:noHBand="0" w:noVBand="1"/>
      </w:tblPr>
      <w:tblGrid>
        <w:gridCol w:w="1505"/>
        <w:gridCol w:w="2117"/>
        <w:gridCol w:w="5449"/>
      </w:tblGrid>
      <w:tr w:rsidR="00700B9F" w:rsidRPr="002C1511" w14:paraId="44F9B30F" w14:textId="77777777" w:rsidTr="00937757">
        <w:trPr>
          <w:trHeight w:val="312"/>
          <w:jc w:val="center"/>
        </w:trPr>
        <w:tc>
          <w:tcPr>
            <w:tcW w:w="1413" w:type="dxa"/>
            <w:tcBorders>
              <w:left w:val="nil"/>
              <w:right w:val="nil"/>
            </w:tcBorders>
          </w:tcPr>
          <w:p w14:paraId="7CF45FAE" w14:textId="77777777" w:rsidR="00700B9F" w:rsidRPr="002C1511" w:rsidRDefault="00700B9F" w:rsidP="00937757">
            <w:pPr>
              <w:spacing w:line="276" w:lineRule="auto"/>
              <w:ind w:firstLine="0"/>
              <w:rPr>
                <w:b/>
                <w:sz w:val="20"/>
                <w:lang w:val="en-US" w:eastAsia="de-DE"/>
              </w:rPr>
            </w:pPr>
            <w:r w:rsidRPr="002C1511">
              <w:rPr>
                <w:b/>
                <w:sz w:val="20"/>
                <w:lang w:val="en-US" w:eastAsia="de-DE"/>
              </w:rPr>
              <w:t>Pillar</w:t>
            </w:r>
          </w:p>
        </w:tc>
        <w:tc>
          <w:tcPr>
            <w:tcW w:w="2131" w:type="dxa"/>
            <w:tcBorders>
              <w:left w:val="nil"/>
              <w:right w:val="nil"/>
            </w:tcBorders>
          </w:tcPr>
          <w:p w14:paraId="46078C13" w14:textId="77777777" w:rsidR="00700B9F" w:rsidRPr="002C1511" w:rsidRDefault="00700B9F" w:rsidP="00937757">
            <w:pPr>
              <w:spacing w:line="276" w:lineRule="auto"/>
              <w:ind w:firstLine="0"/>
              <w:rPr>
                <w:b/>
                <w:sz w:val="20"/>
                <w:lang w:val="en-US" w:eastAsia="de-DE"/>
              </w:rPr>
            </w:pPr>
            <w:r w:rsidRPr="002C1511">
              <w:rPr>
                <w:b/>
                <w:sz w:val="20"/>
                <w:lang w:val="en-US" w:eastAsia="de-DE"/>
              </w:rPr>
              <w:t>Category Score</w:t>
            </w:r>
          </w:p>
        </w:tc>
        <w:tc>
          <w:tcPr>
            <w:tcW w:w="5527" w:type="dxa"/>
            <w:tcBorders>
              <w:left w:val="nil"/>
              <w:right w:val="nil"/>
            </w:tcBorders>
          </w:tcPr>
          <w:p w14:paraId="2A95841A" w14:textId="77777777" w:rsidR="00700B9F" w:rsidRPr="002C1511" w:rsidRDefault="00700B9F" w:rsidP="00937757">
            <w:pPr>
              <w:spacing w:line="276" w:lineRule="auto"/>
              <w:ind w:firstLine="0"/>
              <w:rPr>
                <w:b/>
                <w:sz w:val="20"/>
                <w:lang w:val="en-US" w:eastAsia="de-DE"/>
              </w:rPr>
            </w:pPr>
            <w:r w:rsidRPr="002C1511">
              <w:rPr>
                <w:b/>
                <w:sz w:val="20"/>
                <w:lang w:val="en-US" w:eastAsia="de-DE"/>
              </w:rPr>
              <w:t>Definition</w:t>
            </w:r>
          </w:p>
        </w:tc>
      </w:tr>
      <w:tr w:rsidR="00700B9F" w:rsidRPr="00C00887" w14:paraId="239BC2DF" w14:textId="77777777" w:rsidTr="00937757">
        <w:trPr>
          <w:jc w:val="center"/>
        </w:trPr>
        <w:tc>
          <w:tcPr>
            <w:tcW w:w="1413" w:type="dxa"/>
            <w:vMerge w:val="restart"/>
            <w:tcBorders>
              <w:left w:val="nil"/>
              <w:right w:val="nil"/>
            </w:tcBorders>
            <w:vAlign w:val="center"/>
          </w:tcPr>
          <w:p w14:paraId="3A572994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  <w:r w:rsidRPr="007E6460">
              <w:rPr>
                <w:b/>
                <w:sz w:val="20"/>
                <w:lang w:val="en-US" w:eastAsia="de-DE"/>
              </w:rPr>
              <w:t>Environment</w:t>
            </w:r>
            <w:r>
              <w:rPr>
                <w:b/>
                <w:sz w:val="20"/>
                <w:lang w:val="en-US" w:eastAsia="de-DE"/>
              </w:rPr>
              <w:t>al</w:t>
            </w:r>
            <w:r w:rsidRPr="002C1511">
              <w:rPr>
                <w:sz w:val="20"/>
                <w:lang w:val="en-US" w:eastAsia="de-DE"/>
              </w:rPr>
              <w:t xml:space="preserve"> (</w:t>
            </w:r>
            <w:r w:rsidRPr="002C1511">
              <w:rPr>
                <w:i/>
                <w:sz w:val="20"/>
                <w:lang w:val="en-US" w:eastAsia="de-DE"/>
              </w:rPr>
              <w:t>ENV</w:t>
            </w:r>
            <w:r w:rsidRPr="002C1511">
              <w:rPr>
                <w:sz w:val="20"/>
                <w:lang w:val="en-US" w:eastAsia="de-DE"/>
              </w:rPr>
              <w:t>)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3CE2F885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 xml:space="preserve">Resource </w:t>
            </w:r>
            <w:r>
              <w:rPr>
                <w:sz w:val="20"/>
                <w:lang w:val="en-US" w:eastAsia="de-DE"/>
              </w:rPr>
              <w:t>U</w:t>
            </w:r>
            <w:r w:rsidRPr="002C1511">
              <w:rPr>
                <w:sz w:val="20"/>
                <w:lang w:val="en-US" w:eastAsia="de-DE"/>
              </w:rPr>
              <w:t xml:space="preserve">se </w:t>
            </w:r>
          </w:p>
          <w:p w14:paraId="6A64D36A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left w:val="nil"/>
              <w:bottom w:val="nil"/>
              <w:right w:val="nil"/>
            </w:tcBorders>
          </w:tcPr>
          <w:p w14:paraId="390F8630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 xml:space="preserve">The resource use score reflects a company’s performance and capacity to reduce the use of materials, </w:t>
            </w:r>
            <w:proofErr w:type="gramStart"/>
            <w:r w:rsidRPr="002C1511">
              <w:t>energy</w:t>
            </w:r>
            <w:proofErr w:type="gramEnd"/>
            <w:r w:rsidRPr="002C1511">
              <w:t xml:space="preserve"> or water, and to find more eco-efficient solutions by improving supply chain management.</w:t>
            </w:r>
          </w:p>
        </w:tc>
      </w:tr>
      <w:tr w:rsidR="00700B9F" w:rsidRPr="00C00887" w14:paraId="58FA13C2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  <w:vAlign w:val="center"/>
          </w:tcPr>
          <w:p w14:paraId="298F99EA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51062A1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Emissions</w:t>
            </w:r>
          </w:p>
          <w:p w14:paraId="60A46BF0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1ECDD1E5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>The emission reduction score measures a company’s commitment and effectiveness toward reducing environmental emissions in its production and operational processes.</w:t>
            </w:r>
          </w:p>
        </w:tc>
      </w:tr>
      <w:tr w:rsidR="00700B9F" w:rsidRPr="00C00887" w14:paraId="25352EBF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  <w:vAlign w:val="center"/>
          </w:tcPr>
          <w:p w14:paraId="0CD4E3F4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</w:tcPr>
          <w:p w14:paraId="5E39BF63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Innovation</w:t>
            </w:r>
          </w:p>
          <w:p w14:paraId="68701832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top w:val="nil"/>
              <w:left w:val="nil"/>
              <w:right w:val="nil"/>
            </w:tcBorders>
          </w:tcPr>
          <w:p w14:paraId="2F5D3133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>The innovation score reflects a company’s capacity to reduce the environmental costs and burdens for its customers, thereby creating new market opportunities through new environmental technologies and processes or eco-designed products.</w:t>
            </w:r>
          </w:p>
        </w:tc>
      </w:tr>
      <w:tr w:rsidR="00700B9F" w:rsidRPr="00C00887" w14:paraId="0257ECC6" w14:textId="77777777" w:rsidTr="00937757">
        <w:trPr>
          <w:jc w:val="center"/>
        </w:trPr>
        <w:tc>
          <w:tcPr>
            <w:tcW w:w="1413" w:type="dxa"/>
            <w:vMerge w:val="restart"/>
            <w:tcBorders>
              <w:left w:val="nil"/>
              <w:right w:val="nil"/>
            </w:tcBorders>
            <w:vAlign w:val="center"/>
          </w:tcPr>
          <w:p w14:paraId="044F183A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  <w:r w:rsidRPr="007E6460">
              <w:rPr>
                <w:b/>
                <w:sz w:val="20"/>
                <w:lang w:val="en-US" w:eastAsia="de-DE"/>
              </w:rPr>
              <w:t>Social</w:t>
            </w:r>
            <w:r w:rsidRPr="002C1511">
              <w:rPr>
                <w:sz w:val="20"/>
                <w:lang w:val="en-US" w:eastAsia="de-DE"/>
              </w:rPr>
              <w:t xml:space="preserve"> </w:t>
            </w:r>
            <w:r>
              <w:rPr>
                <w:sz w:val="20"/>
                <w:lang w:val="en-US" w:eastAsia="de-DE"/>
              </w:rPr>
              <w:br/>
            </w:r>
            <w:r w:rsidRPr="002C1511">
              <w:rPr>
                <w:sz w:val="20"/>
                <w:lang w:val="en-US" w:eastAsia="de-DE"/>
              </w:rPr>
              <w:t>(</w:t>
            </w:r>
            <w:r w:rsidRPr="002C1511">
              <w:rPr>
                <w:i/>
                <w:sz w:val="20"/>
                <w:lang w:val="en-US" w:eastAsia="de-DE"/>
              </w:rPr>
              <w:t>SOC</w:t>
            </w:r>
            <w:r w:rsidRPr="002C1511">
              <w:rPr>
                <w:sz w:val="20"/>
                <w:lang w:val="en-US" w:eastAsia="de-DE"/>
              </w:rPr>
              <w:t>)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69611D71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Workforce</w:t>
            </w:r>
          </w:p>
          <w:p w14:paraId="4DB376FB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left w:val="nil"/>
              <w:bottom w:val="nil"/>
              <w:right w:val="nil"/>
            </w:tcBorders>
          </w:tcPr>
          <w:p w14:paraId="78E8497B" w14:textId="77777777" w:rsidR="00700B9F" w:rsidRPr="00707B6D" w:rsidRDefault="00700B9F" w:rsidP="00937757">
            <w:pPr>
              <w:pStyle w:val="VariabledescriptionAppendix"/>
              <w:spacing w:after="120"/>
            </w:pPr>
            <w:r w:rsidRPr="00707B6D">
              <w:t>The workforce score measures a company’s effectiveness in terms of providing job satisfaction, a healthy and safe workplace, maintaining diversity and equal opportunities and development opportunities for its workforce.</w:t>
            </w:r>
          </w:p>
        </w:tc>
      </w:tr>
      <w:tr w:rsidR="00700B9F" w:rsidRPr="00C00887" w14:paraId="30E51E47" w14:textId="77777777" w:rsidTr="00937757">
        <w:trPr>
          <w:trHeight w:val="533"/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  <w:vAlign w:val="center"/>
          </w:tcPr>
          <w:p w14:paraId="0223096D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52D557F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Human Rights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0735AAC6" w14:textId="77777777" w:rsidR="00700B9F" w:rsidRPr="00707B6D" w:rsidRDefault="00700B9F" w:rsidP="00937757">
            <w:pPr>
              <w:pStyle w:val="VariabledescriptionAppendix"/>
              <w:spacing w:after="120"/>
            </w:pPr>
            <w:r w:rsidRPr="00707B6D">
              <w:t>The human rights score measures a company’s effectiveness in terms of respecting fundamental human rights conventions.</w:t>
            </w:r>
          </w:p>
        </w:tc>
      </w:tr>
      <w:tr w:rsidR="00700B9F" w:rsidRPr="00C00887" w14:paraId="5333C4E4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  <w:vAlign w:val="center"/>
          </w:tcPr>
          <w:p w14:paraId="60C761DA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C01CA93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Community</w:t>
            </w:r>
          </w:p>
          <w:p w14:paraId="4BC55633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6C88B279" w14:textId="77777777" w:rsidR="00700B9F" w:rsidRPr="00707B6D" w:rsidRDefault="00700B9F" w:rsidP="00937757">
            <w:pPr>
              <w:pStyle w:val="VariabledescriptionAppendix"/>
              <w:spacing w:after="120"/>
            </w:pPr>
            <w:r w:rsidRPr="00707B6D">
              <w:t>The community score measures the company’s commitment to being a good citizen, protecting public health and respecting business ethics.</w:t>
            </w:r>
          </w:p>
        </w:tc>
      </w:tr>
      <w:tr w:rsidR="00700B9F" w:rsidRPr="00C00887" w14:paraId="399E67C7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  <w:vAlign w:val="center"/>
          </w:tcPr>
          <w:p w14:paraId="04153F44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</w:tcPr>
          <w:p w14:paraId="3E28BE6A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>Product Responsibility</w:t>
            </w:r>
          </w:p>
          <w:p w14:paraId="3C1DB084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top w:val="nil"/>
              <w:left w:val="nil"/>
              <w:right w:val="nil"/>
            </w:tcBorders>
          </w:tcPr>
          <w:p w14:paraId="5A0980C8" w14:textId="77777777" w:rsidR="00700B9F" w:rsidRPr="00707B6D" w:rsidRDefault="00700B9F" w:rsidP="00937757">
            <w:pPr>
              <w:pStyle w:val="VariabledescriptionAppendix"/>
              <w:spacing w:after="120"/>
            </w:pPr>
            <w:r w:rsidRPr="00707B6D">
              <w:t xml:space="preserve">The product responsibility score reflects a company’s capacity to produce quality goods and services, integrating the customer’s health and safety, </w:t>
            </w:r>
            <w:proofErr w:type="gramStart"/>
            <w:r w:rsidRPr="00707B6D">
              <w:t>integrity</w:t>
            </w:r>
            <w:proofErr w:type="gramEnd"/>
            <w:r w:rsidRPr="00707B6D">
              <w:t xml:space="preserve"> and data privacy.</w:t>
            </w:r>
          </w:p>
        </w:tc>
      </w:tr>
      <w:tr w:rsidR="00700B9F" w:rsidRPr="00C00887" w14:paraId="1C47D203" w14:textId="77777777" w:rsidTr="00937757">
        <w:trPr>
          <w:jc w:val="center"/>
        </w:trPr>
        <w:tc>
          <w:tcPr>
            <w:tcW w:w="1413" w:type="dxa"/>
            <w:vMerge w:val="restart"/>
            <w:tcBorders>
              <w:left w:val="nil"/>
              <w:right w:val="nil"/>
            </w:tcBorders>
            <w:vAlign w:val="center"/>
          </w:tcPr>
          <w:p w14:paraId="0CFFFF15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  <w:r w:rsidRPr="007E6460">
              <w:rPr>
                <w:b/>
                <w:sz w:val="20"/>
                <w:lang w:val="en-US" w:eastAsia="de-DE"/>
              </w:rPr>
              <w:t>Governance</w:t>
            </w:r>
            <w:r w:rsidRPr="002C1511">
              <w:rPr>
                <w:sz w:val="20"/>
                <w:lang w:val="en-US" w:eastAsia="de-DE"/>
              </w:rPr>
              <w:t xml:space="preserve"> (</w:t>
            </w:r>
            <w:r w:rsidRPr="002C1511">
              <w:rPr>
                <w:i/>
                <w:sz w:val="20"/>
                <w:lang w:val="en-US" w:eastAsia="de-DE"/>
              </w:rPr>
              <w:t>GOV</w:t>
            </w:r>
            <w:r w:rsidRPr="002C1511">
              <w:rPr>
                <w:sz w:val="20"/>
                <w:lang w:val="en-US" w:eastAsia="de-DE"/>
              </w:rPr>
              <w:t>)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53E98E89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 xml:space="preserve">Management </w:t>
            </w:r>
          </w:p>
          <w:p w14:paraId="420E09AB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5527" w:type="dxa"/>
            <w:tcBorders>
              <w:left w:val="nil"/>
              <w:bottom w:val="nil"/>
              <w:right w:val="nil"/>
            </w:tcBorders>
          </w:tcPr>
          <w:p w14:paraId="2F95AE2D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>The management score measures a company’s commitment and effectiveness towar</w:t>
            </w:r>
            <w:r>
              <w:t>d</w:t>
            </w:r>
            <w:r w:rsidRPr="002C1511">
              <w:t xml:space="preserve"> following best practice corporate governance principles.</w:t>
            </w:r>
          </w:p>
        </w:tc>
      </w:tr>
      <w:tr w:rsidR="00700B9F" w:rsidRPr="00C00887" w14:paraId="4AF3DBB4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</w:tcPr>
          <w:p w14:paraId="0A507284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B45F8FC" w14:textId="77777777" w:rsidR="00700B9F" w:rsidRPr="002C1511" w:rsidRDefault="00700B9F" w:rsidP="00937757">
            <w:pPr>
              <w:spacing w:after="120" w:line="276" w:lineRule="auto"/>
              <w:ind w:firstLine="0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 xml:space="preserve">Shareholder 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566DBCE1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>The shareholders score measures a company’s effectiveness toward equal treatment of shareholders and the use of anti-takeover devices.</w:t>
            </w:r>
          </w:p>
        </w:tc>
      </w:tr>
      <w:tr w:rsidR="00700B9F" w:rsidRPr="00C00887" w14:paraId="265DB84E" w14:textId="77777777" w:rsidTr="00937757">
        <w:trPr>
          <w:jc w:val="center"/>
        </w:trPr>
        <w:tc>
          <w:tcPr>
            <w:tcW w:w="1413" w:type="dxa"/>
            <w:vMerge/>
            <w:tcBorders>
              <w:left w:val="nil"/>
              <w:right w:val="nil"/>
            </w:tcBorders>
          </w:tcPr>
          <w:p w14:paraId="08406BAD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A6F72D0" w14:textId="77777777" w:rsidR="00700B9F" w:rsidRPr="002C1511" w:rsidRDefault="00700B9F" w:rsidP="00937757">
            <w:pPr>
              <w:spacing w:after="120" w:line="276" w:lineRule="auto"/>
              <w:ind w:firstLine="0"/>
              <w:jc w:val="left"/>
              <w:rPr>
                <w:sz w:val="20"/>
                <w:lang w:val="en-US" w:eastAsia="de-DE"/>
              </w:rPr>
            </w:pPr>
            <w:r w:rsidRPr="002C1511">
              <w:rPr>
                <w:sz w:val="20"/>
                <w:lang w:val="en-US" w:eastAsia="de-DE"/>
              </w:rPr>
              <w:t xml:space="preserve">CSR Strategy 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10945A6D" w14:textId="77777777" w:rsidR="00700B9F" w:rsidRPr="002C1511" w:rsidRDefault="00700B9F" w:rsidP="00937757">
            <w:pPr>
              <w:pStyle w:val="VariabledescriptionAppendix"/>
              <w:spacing w:after="120"/>
            </w:pPr>
            <w:r w:rsidRPr="002C1511">
              <w:t>The CSR strategy score reflects a company’s practices to communicate that it integrates economic (financial), social and environmental dimensions into its day-to-day decision-making processes.</w:t>
            </w:r>
          </w:p>
        </w:tc>
      </w:tr>
      <w:tr w:rsidR="00700B9F" w:rsidRPr="00C00887" w14:paraId="6ACA2377" w14:textId="77777777" w:rsidTr="00937757">
        <w:trPr>
          <w:jc w:val="center"/>
        </w:trPr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14:paraId="74743E5B" w14:textId="77777777" w:rsidR="00700B9F" w:rsidRDefault="00700B9F" w:rsidP="00937757">
            <w:pPr>
              <w:pStyle w:val="Notes"/>
            </w:pPr>
            <w:r>
              <w:rPr>
                <w:lang w:eastAsia="de-DE"/>
              </w:rPr>
              <w:t xml:space="preserve">Notes: </w:t>
            </w:r>
            <w:r>
              <w:rPr>
                <w:lang w:eastAsia="de-DE"/>
              </w:rPr>
              <w:fldChar w:fldCharType="begin"/>
            </w:r>
            <w:r>
              <w:rPr>
                <w:lang w:eastAsia="de-DE"/>
              </w:rPr>
              <w:instrText xml:space="preserve"> REF  _Ref94712288 \h  \* MERGEFORMAT </w:instrText>
            </w:r>
            <w:r>
              <w:rPr>
                <w:lang w:eastAsia="de-DE"/>
              </w:rPr>
            </w:r>
            <w:r>
              <w:rPr>
                <w:lang w:eastAsia="de-DE"/>
              </w:rPr>
              <w:fldChar w:fldCharType="separate"/>
            </w:r>
          </w:p>
          <w:p w14:paraId="2A8927D7" w14:textId="77777777" w:rsidR="00700B9F" w:rsidRPr="002C1511" w:rsidRDefault="00700B9F" w:rsidP="00937757">
            <w:pPr>
              <w:pStyle w:val="Notes"/>
              <w:rPr>
                <w:lang w:eastAsia="de-DE"/>
              </w:rPr>
            </w:pPr>
            <w:r w:rsidRPr="002C1511">
              <w:t>Table A</w:t>
            </w:r>
            <w:r>
              <w:t>2</w:t>
            </w:r>
            <w:r>
              <w:rPr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describes the composition of the ESG pillar scores (environmental, social and governance) by presenting</w:t>
            </w:r>
            <w:r w:rsidRPr="002C1511">
              <w:rPr>
                <w:lang w:eastAsia="de-DE"/>
              </w:rPr>
              <w:t xml:space="preserve"> </w:t>
            </w:r>
            <w:r w:rsidRPr="00D24773">
              <w:rPr>
                <w:lang w:eastAsia="de-DE"/>
              </w:rPr>
              <w:t xml:space="preserve">definitions of the underlying category scores as provided by </w:t>
            </w:r>
            <w:sdt>
              <w:sdtPr>
                <w:rPr>
                  <w:lang w:eastAsia="de-DE"/>
                </w:rPr>
                <w:alias w:val="To edit, see citavi.com/edit"/>
                <w:tag w:val="CitaviPlaceholder#8d934963-382c-4899-aa3c-951e628bbec0"/>
                <w:id w:val="901640030"/>
                <w:placeholder>
                  <w:docPart w:val="9C92BED77F284E198571A5FCAEBF0CE8"/>
                </w:placeholder>
              </w:sdtPr>
              <w:sdtContent>
                <w:r w:rsidRPr="00D24773">
                  <w:rPr>
                    <w:lang w:eastAsia="de-DE"/>
                  </w:rPr>
                  <w:fldChar w:fldCharType="begin"/>
                </w:r>
                <w:r>
                  <w:rPr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0MGZlOGZkLTY2MTctNDVjMC1iN2RhLTkzOGFiMDBjNzgzNCIsIlJhbmdlTGVuZ3RoIjoxNiwiUmVmZXJlbmNlSWQiOiJhYmZlODkzZC1kN2FhLTQwMGUtOWNiZS05MzE0ZGM3MjcyN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EsIlVyaVN0cmluZyI6IkVudmlyb25tZW50YWw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JlZmluaXRpdi5jb20vY29udGVudC9kYW0vbWFya2V0aW5nL2VuX3VzL2RvY3VtZW50cy9tZXRob2RvbG9neS9lc2ctc2NvcmVzLW1ldGhvZG9sb2d5LnBkZiIsIlVyaVN0cmluZyI6Imh0dHBzOi8vd3d3LnJlZmluaXRpdi5jb20vY29udGVudC9kYW0vbWFya2V0aW5nL2VuX3VzL2RvY3VtZW50cy9tZXRob2RvbG9neS9lc2ctc2NvcmVzLW1ldGhvZG9sb2d5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21jODgzIiwiQ3JlYXRlZE9uIjoiMjAyMS0wMS0xOVQxMzoxMTowNiIsIk1vZGlmaWVkQnkiOiJfV21jODgzIiwiSWQiOiIyNGI2ZDc5Ni00ZWFlLTQxMjMtYjhhMy0zOWQ1YWRlMjIxYWMiLCJNb2RpZmllZE9uIjoiMjAyMS0wMS0xOVQxMzoxMTowNiIsIlByb2plY3QiOnsiJGlkIjoiMTIiLCIkdHlwZSI6IlN3aXNzQWNhZGVtaWMuQ2l0YXZpLlByb2plY3QsIFN3aXNzQWNhZGVtaWMuQ2l0YXZpIn19XSwiT25saW5lQWRkcmVzcyI6Imh0dHBzOi8vd3d3LnJlZmluaXRpdi5jb20vY29udGVudC9kYW0vbWFya2V0aW5nL2VuX3VzL2RvY3VtZW50cy9tZXRob2RvbG9neS9lc2ctc2NvcmVzLW1ldGhvZG9sb2d5LnBkZiIsIk9yZ2FuaXphdGlvbnMiOlt7IiRpZCI6IjEzIiwiJHR5cGUiOiJTd2lzc0FjYWRlbWljLkNpdGF2aS5QZXJzb24sIFN3aXNzQWNhZGVtaWMuQ2l0YXZpIiwiTGFzdE5hbWUiOiJSZWZpbml0aXYiLCJQcm90ZWN0ZWQiOmZhbHNlLCJTZXgiOjAsIkNyZWF0ZWRCeSI6Il9TaW5hIFdpbGxrb21tIiwiQ3JlYXRlZE9uIjoiMjAyMC0xMC0yM1QwNTo0NDozNCIsIk1vZGlmaWVkQnkiOiJfU2luYSBXaWxsa29tbSIsIklkIjoiMzRlMTkzNjItNWZjYi00OWYyLWEyODUtZDk0ZWUzZTliYTBmIiwiTW9kaWZpZWRPbiI6IjIwMjAtMTAtMjNUMDU6NDQ6MzQiLCJQcm9qZWN0Ijp7IiRyZWYiOiIxMiJ9fV0sIk90aGVyc0ludm9sdmVkIjpbXSwiUGFnZUNvdW50IjoiMjgiLCJQdWJsaXNoZXJzIjpbXSwiUXVvdGF0aW9ucyI6W10sIlJhdGluZyI6MCwiUmVmZXJlbmNlVHlwZSI6IkludGVybmV0RG9jdW1lbnQiLCJTaG9ydFRpdGxlIjoiUmVmaW5pdGl2IDIwMjAg4oCTIEVudmlyb25tZW50YWwiLCJTaG9ydFRpdGxlVXBkYXRlVHlwZSI6MCwiU3RhdGljSWRzIjpbIjFiOGZjNmQyLTMzY2MtNDAwNy1iN2NjLTVjNzdkMzI2Y2E4NCJdLCJUYWJsZU9mQ29udGVudHNDb21wbGV4aXR5IjowLCJUYWJsZU9mQ29udGVudHNTb3VyY2VUZXh0Rm9ybWF0IjowLCJUYXNrcyI6W10sIlRpdGxlIjoiRW52aXJvbm1lbnRhbCwgc29jaWFsIGFuZCBnb3Zlcm5hbmNlIChFU0cpIHNjb3JlcyBmcm9tIFJlZmluaXRpdiIsIlRyYW5zbGF0b3JzIjpbXSwiWWVhciI6IjIwMjAiLCJZZWFyUmVzb2x2ZWQiOiIyMDIwIiwiQ3JlYXRlZEJ5IjoiX1dtYzg4MyIsIkNyZWF0ZWRPbiI6IjIwMjEtMDEtMTlUMTM6MTA6NDgiLCJNb2RpZmllZEJ5IjoiX1NpbmEgV2lsbGtvbW0iLCJJZCI6ImFiZmU4OTNkLWQ3YWEtNDAwZS05Y2JlLTkzMTRkYzcyNzI3YSIsIk1vZGlmaWVkT24iOiIyMDIyLTEwLTE0VDE0OjQ0OjQ4IiwiUHJvamVjdCI6eyIkcmVmIjoiMTIifX0sIlJ1bGVTZXRPdmVycmlkZSI6MywiVXNlTnVtYmVyaW5nVHlwZU9mUGFyZW50RG9jdW1lbnQiOmZhbHNlfV0sIkZvcm1hdHRlZFRleHQiOnsiJGlkIjoiMTQiLCJDb3VudCI6MSwiVGV4dFVuaXRzIjpbeyIkaWQiOiIxNSIsIkZvbnRTdHlsZSI6eyIkaWQiOiIxNiIsIk5ldXRyYWwiOnRydWV9LCJSZWFkaW5nT3JkZXIiOjEsIlRleHQiOiJSZWZpbml0aXYgKDIwMjApIn1dfSwiVGFnIjoiQ2l0YXZpUGxhY2Vob2xkZXIjOGQ5MzQ5NjMtMzgyYy00ODk5LWFhM2MtOTUxZTYyOGJiZWMwIiwiVGV4dCI6IlJlZmluaXRpdiAoMjAyMCkiLCJXQUlWZXJzaW9uIjoiNi4xNC4wLjAifQ==}</w:instrText>
                </w:r>
                <w:r w:rsidRPr="00D24773">
                  <w:rPr>
                    <w:lang w:eastAsia="de-DE"/>
                  </w:rPr>
                  <w:fldChar w:fldCharType="separate"/>
                </w:r>
                <w:r>
                  <w:rPr>
                    <w:lang w:eastAsia="de-DE"/>
                  </w:rPr>
                  <w:t>Refinitiv (2020)</w:t>
                </w:r>
                <w:r w:rsidRPr="00D24773">
                  <w:rPr>
                    <w:lang w:eastAsia="de-DE"/>
                  </w:rPr>
                  <w:fldChar w:fldCharType="end"/>
                </w:r>
              </w:sdtContent>
            </w:sdt>
            <w:r w:rsidRPr="00D24773">
              <w:rPr>
                <w:lang w:eastAsia="de-DE"/>
              </w:rPr>
              <w:t xml:space="preserve">. </w:t>
            </w:r>
            <w:r>
              <w:rPr>
                <w:lang w:eastAsia="de-DE"/>
              </w:rPr>
              <w:t>The ESG pillar scores measure a firm’s performance in the respective ESG dimension. Terms</w:t>
            </w:r>
            <w:r w:rsidRPr="00D24773">
              <w:rPr>
                <w:lang w:eastAsia="de-DE"/>
              </w:rPr>
              <w:t xml:space="preserve"> in italic demonstrate the corresponding variable names used in our </w:t>
            </w:r>
            <w:r w:rsidRPr="00D24773">
              <w:rPr>
                <w:lang w:eastAsia="de-DE"/>
              </w:rPr>
              <w:lastRenderedPageBreak/>
              <w:t>regressions. The environment</w:t>
            </w:r>
            <w:r>
              <w:rPr>
                <w:lang w:eastAsia="de-DE"/>
              </w:rPr>
              <w:t>al</w:t>
            </w:r>
            <w:r w:rsidRPr="00D24773">
              <w:rPr>
                <w:lang w:eastAsia="de-DE"/>
              </w:rPr>
              <w:t xml:space="preserve"> pillar score consists of the resource use, </w:t>
            </w:r>
            <w:proofErr w:type="gramStart"/>
            <w:r w:rsidRPr="00D24773">
              <w:rPr>
                <w:lang w:eastAsia="de-DE"/>
              </w:rPr>
              <w:t>emissions</w:t>
            </w:r>
            <w:proofErr w:type="gramEnd"/>
            <w:r w:rsidRPr="00D24773">
              <w:rPr>
                <w:lang w:eastAsia="de-DE"/>
              </w:rPr>
              <w:t xml:space="preserve"> and innovation category. The social pillar score is an aggregation of the workforce, human rights, </w:t>
            </w:r>
            <w:proofErr w:type="gramStart"/>
            <w:r w:rsidRPr="00D24773">
              <w:rPr>
                <w:lang w:eastAsia="de-DE"/>
              </w:rPr>
              <w:t>community</w:t>
            </w:r>
            <w:proofErr w:type="gramEnd"/>
            <w:r w:rsidRPr="00D24773">
              <w:rPr>
                <w:lang w:eastAsia="de-DE"/>
              </w:rPr>
              <w:t xml:space="preserve"> and product responsibility category score. The governance pillar score is calculated based on the management, </w:t>
            </w:r>
            <w:proofErr w:type="gramStart"/>
            <w:r w:rsidRPr="00D24773">
              <w:rPr>
                <w:lang w:eastAsia="de-DE"/>
              </w:rPr>
              <w:t>shareholder</w:t>
            </w:r>
            <w:proofErr w:type="gramEnd"/>
            <w:r w:rsidRPr="00D24773">
              <w:rPr>
                <w:lang w:eastAsia="de-DE"/>
              </w:rPr>
              <w:t xml:space="preserve"> and CSR strategy category score. For the environment</w:t>
            </w:r>
            <w:r>
              <w:rPr>
                <w:lang w:eastAsia="de-DE"/>
              </w:rPr>
              <w:t>al</w:t>
            </w:r>
            <w:r w:rsidRPr="00D24773">
              <w:rPr>
                <w:lang w:eastAsia="de-DE"/>
              </w:rPr>
              <w:t xml:space="preserve"> and social pillar, the weights of the single categories vary by industry, whereas the weights for the categories incorporated in the governance pillar score are independent of the industry. </w:t>
            </w:r>
          </w:p>
        </w:tc>
      </w:tr>
    </w:tbl>
    <w:p w14:paraId="67BF8D8E" w14:textId="77777777" w:rsidR="00700B9F" w:rsidRDefault="00700B9F" w:rsidP="00700B9F">
      <w:pPr>
        <w:rPr>
          <w:lang w:val="en-US" w:eastAsia="de-DE"/>
        </w:rPr>
      </w:pPr>
    </w:p>
    <w:p w14:paraId="3AA66E35" w14:textId="77777777" w:rsidR="00700B9F" w:rsidRDefault="00700B9F" w:rsidP="00700B9F">
      <w:pPr>
        <w:spacing w:after="160" w:line="259" w:lineRule="auto"/>
        <w:ind w:firstLine="0"/>
        <w:jc w:val="left"/>
        <w:rPr>
          <w:lang w:val="en-US" w:eastAsia="de-DE"/>
        </w:rPr>
      </w:pPr>
      <w:r>
        <w:rPr>
          <w:lang w:val="en-US" w:eastAsia="de-DE"/>
        </w:rPr>
        <w:br w:type="page"/>
      </w:r>
    </w:p>
    <w:p w14:paraId="1DDEB721" w14:textId="77777777" w:rsidR="00700B9F" w:rsidRPr="00D24773" w:rsidRDefault="00700B9F" w:rsidP="00700B9F">
      <w:pPr>
        <w:pStyle w:val="Caption"/>
        <w:rPr>
          <w:lang w:val="en-US"/>
        </w:rPr>
      </w:pPr>
      <w:bookmarkStart w:id="8" w:name="_Ref99971569"/>
      <w:r w:rsidRPr="00D24773">
        <w:rPr>
          <w:lang w:val="en-US"/>
        </w:rPr>
        <w:lastRenderedPageBreak/>
        <w:t>Table A</w:t>
      </w:r>
      <w:r w:rsidRPr="00D24773">
        <w:fldChar w:fldCharType="begin"/>
      </w:r>
      <w:r w:rsidRPr="00D24773">
        <w:rPr>
          <w:lang w:val="en-US"/>
        </w:rPr>
        <w:instrText xml:space="preserve"> SEQ Table_A \* ARABIC </w:instrText>
      </w:r>
      <w:r w:rsidRPr="00D24773">
        <w:fldChar w:fldCharType="separate"/>
      </w:r>
      <w:r>
        <w:rPr>
          <w:noProof/>
          <w:lang w:val="en-US"/>
        </w:rPr>
        <w:t>3</w:t>
      </w:r>
      <w:r w:rsidRPr="00D24773">
        <w:fldChar w:fldCharType="end"/>
      </w:r>
      <w:bookmarkEnd w:id="8"/>
      <w:r w:rsidRPr="00D24773">
        <w:rPr>
          <w:lang w:val="en-US"/>
        </w:rPr>
        <w:t>: Probit Regression for PSM</w:t>
      </w:r>
    </w:p>
    <w:tbl>
      <w:tblPr>
        <w:tblW w:w="49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835"/>
      </w:tblGrid>
      <w:tr w:rsidR="00700B9F" w:rsidRPr="00DA42CF" w14:paraId="0284161B" w14:textId="77777777" w:rsidTr="00937757">
        <w:trPr>
          <w:trHeight w:val="312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3898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9BDD42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de-DE"/>
              </w:rPr>
            </w:pPr>
            <w:r w:rsidRPr="00DA42CF">
              <w:rPr>
                <w:rFonts w:eastAsia="Times New Roman" w:cs="Times New Roman"/>
                <w:bCs/>
                <w:sz w:val="20"/>
                <w:szCs w:val="20"/>
                <w:lang w:val="en-US" w:eastAsia="de-DE"/>
              </w:rPr>
              <w:t>(1)</w:t>
            </w:r>
          </w:p>
        </w:tc>
      </w:tr>
      <w:tr w:rsidR="00700B9F" w:rsidRPr="00DA42CF" w14:paraId="016E0FF2" w14:textId="77777777" w:rsidTr="00937757">
        <w:trPr>
          <w:trHeight w:val="312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B74B" w14:textId="77777777" w:rsidR="00700B9F" w:rsidRPr="00DA42CF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DA42CF">
              <w:rPr>
                <w:rFonts w:eastAsia="Times New Roman" w:cs="Times New Roman"/>
                <w:sz w:val="20"/>
                <w:szCs w:val="20"/>
                <w:lang w:val="en-US" w:eastAsia="de-DE"/>
              </w:rPr>
              <w:t>VARIABLES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4758A" w14:textId="77777777" w:rsidR="00700B9F" w:rsidRPr="00CC480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  <w:r w:rsidRPr="00CC480F"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  <w:t>EU MNE</w:t>
            </w:r>
          </w:p>
        </w:tc>
      </w:tr>
      <w:tr w:rsidR="00700B9F" w:rsidRPr="00DA42CF" w14:paraId="184A1EDD" w14:textId="77777777" w:rsidTr="00937757">
        <w:trPr>
          <w:trHeight w:val="241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5E19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E536" w14:textId="77777777" w:rsidR="00700B9F" w:rsidRPr="00DA42CF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700B9F" w:rsidRPr="00DA42CF" w14:paraId="7EAB4639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BA62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SIZE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20FB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.44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7***</w:t>
            </w:r>
          </w:p>
        </w:tc>
      </w:tr>
      <w:tr w:rsidR="00700B9F" w:rsidRPr="00DA42CF" w14:paraId="478A0839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20174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85A6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(0.000)</w:t>
            </w:r>
          </w:p>
        </w:tc>
      </w:tr>
      <w:tr w:rsidR="00700B9F" w:rsidRPr="00DA42CF" w14:paraId="7F732369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4129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INT_ASSETS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7C31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.109</w:t>
            </w:r>
          </w:p>
        </w:tc>
      </w:tr>
      <w:tr w:rsidR="00700B9F" w:rsidRPr="00DA42CF" w14:paraId="576BE8E9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7B83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40E8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0.603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</w:tr>
      <w:tr w:rsidR="00700B9F" w:rsidRPr="00DA42CF" w14:paraId="334AE768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0A4F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LEV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6677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.428</w:t>
            </w:r>
          </w:p>
        </w:tc>
      </w:tr>
      <w:tr w:rsidR="00700B9F" w:rsidRPr="00DA42CF" w14:paraId="2F9BFF84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4424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FE3C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0.116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</w:tr>
      <w:tr w:rsidR="00700B9F" w:rsidRPr="00DA42CF" w14:paraId="1EE43646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63BE1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ROA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E0CF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-4.02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8***</w:t>
            </w:r>
          </w:p>
        </w:tc>
      </w:tr>
      <w:tr w:rsidR="00700B9F" w:rsidRPr="00DA42CF" w14:paraId="2D3F9F13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E370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0884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(0.000)</w:t>
            </w:r>
          </w:p>
        </w:tc>
      </w:tr>
      <w:tr w:rsidR="00700B9F" w:rsidRPr="00DA42CF" w14:paraId="0951E832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5DC3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MTB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F514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.00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1</w:t>
            </w:r>
          </w:p>
        </w:tc>
      </w:tr>
      <w:tr w:rsidR="00700B9F" w:rsidRPr="00DA42CF" w14:paraId="6B777C3F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772B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7E84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0.528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</w:tr>
      <w:tr w:rsidR="00700B9F" w:rsidRPr="00DA42CF" w14:paraId="4D4E41CA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651C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RD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D67C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-10.22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6***</w:t>
            </w:r>
          </w:p>
        </w:tc>
      </w:tr>
      <w:tr w:rsidR="00700B9F" w:rsidRPr="00DA42CF" w14:paraId="2709DC9B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CE0E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C999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(0.000)</w:t>
            </w:r>
          </w:p>
        </w:tc>
      </w:tr>
      <w:tr w:rsidR="00700B9F" w:rsidRPr="00DA42CF" w14:paraId="167A4583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00F9" w14:textId="77777777" w:rsidR="00700B9F" w:rsidRPr="00764787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764787">
              <w:rPr>
                <w:i/>
                <w:sz w:val="20"/>
              </w:rPr>
              <w:t>ESG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220D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</w:t>
            </w:r>
            <w:r w:rsidRPr="00764787">
              <w:rPr>
                <w:rFonts w:eastAsia="Times New Roman" w:cs="Times New Roman"/>
                <w:sz w:val="20"/>
                <w:szCs w:val="20"/>
                <w:lang w:val="en-US" w:eastAsia="de-DE"/>
              </w:rPr>
              <w:t>.02</w:t>
            </w: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3***</w:t>
            </w:r>
          </w:p>
        </w:tc>
      </w:tr>
      <w:tr w:rsidR="00700B9F" w:rsidRPr="00DA42CF" w14:paraId="0F7DE04F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95E92" w14:textId="77777777" w:rsidR="00700B9F" w:rsidRPr="00DA42CF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DF8C8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(0.000)</w:t>
            </w:r>
          </w:p>
        </w:tc>
      </w:tr>
      <w:tr w:rsidR="00700B9F" w:rsidRPr="00DA42CF" w14:paraId="7CF86C93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ED65" w14:textId="77777777" w:rsidR="00700B9F" w:rsidRPr="00DA42CF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Observations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2C75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633</w:t>
            </w:r>
          </w:p>
        </w:tc>
      </w:tr>
      <w:tr w:rsidR="00700B9F" w:rsidRPr="00DA42CF" w14:paraId="25E759D9" w14:textId="77777777" w:rsidTr="00937757">
        <w:trPr>
          <w:trHeight w:val="255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6A4F11" w14:textId="77777777" w:rsidR="00700B9F" w:rsidRPr="00DA42CF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Pseudo R²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82F32" w14:textId="77777777" w:rsidR="00700B9F" w:rsidRPr="00DA42CF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de-DE"/>
              </w:rPr>
              <w:t>0.1630</w:t>
            </w:r>
          </w:p>
        </w:tc>
      </w:tr>
      <w:tr w:rsidR="00700B9F" w:rsidRPr="00C00887" w14:paraId="284994B3" w14:textId="77777777" w:rsidTr="00937757">
        <w:trPr>
          <w:trHeight w:val="276"/>
          <w:jc w:val="center"/>
        </w:trPr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94A7" w14:textId="77777777" w:rsidR="00700B9F" w:rsidRPr="00DA42CF" w:rsidRDefault="00700B9F" w:rsidP="00937757">
            <w:pPr>
              <w:pStyle w:val="Notes"/>
              <w:rPr>
                <w:lang w:eastAsia="de-DE"/>
              </w:rPr>
            </w:pPr>
            <w:r w:rsidRPr="00DA42CF">
              <w:rPr>
                <w:lang w:eastAsia="de-DE"/>
              </w:rPr>
              <w:t>Notes:</w:t>
            </w:r>
            <w:r>
              <w:rPr>
                <w:lang w:eastAsia="de-DE"/>
              </w:rPr>
              <w:t xml:space="preserve"> </w:t>
            </w:r>
            <w:r>
              <w:rPr>
                <w:lang w:eastAsia="de-DE"/>
              </w:rPr>
              <w:fldChar w:fldCharType="begin"/>
            </w:r>
            <w:r>
              <w:rPr>
                <w:lang w:eastAsia="de-DE"/>
              </w:rPr>
              <w:instrText xml:space="preserve"> REF  _Ref99971569 \h  \* MERGEFORMAT </w:instrText>
            </w:r>
            <w:r>
              <w:rPr>
                <w:lang w:eastAsia="de-DE"/>
              </w:rPr>
            </w:r>
            <w:r>
              <w:rPr>
                <w:lang w:eastAsia="de-DE"/>
              </w:rPr>
              <w:fldChar w:fldCharType="separate"/>
            </w:r>
            <w:r w:rsidRPr="00D24773">
              <w:t>Table A</w:t>
            </w:r>
            <w:r>
              <w:t>3</w:t>
            </w:r>
            <w:r>
              <w:rPr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</w:t>
            </w:r>
            <w:r w:rsidRPr="00DA42CF">
              <w:rPr>
                <w:lang w:eastAsia="de-DE"/>
              </w:rPr>
              <w:t>presents the probit regression result used for the prediction of the propensity scores for PSM</w:t>
            </w:r>
            <w:r>
              <w:rPr>
                <w:lang w:eastAsia="de-DE"/>
              </w:rPr>
              <w:t>, based on Equation (3)</w:t>
            </w:r>
            <w:r w:rsidRPr="00DA42CF">
              <w:rPr>
                <w:lang w:eastAsia="de-DE"/>
              </w:rPr>
              <w:t xml:space="preserve">. The dependent variable is an indicator variable which is set to one for </w:t>
            </w:r>
            <w:r>
              <w:rPr>
                <w:lang w:eastAsia="de-DE"/>
              </w:rPr>
              <w:t>EU MNEs and zero for US MNEs</w:t>
            </w:r>
            <w:r w:rsidRPr="00DA42CF">
              <w:rPr>
                <w:lang w:eastAsia="de-DE"/>
              </w:rPr>
              <w:t xml:space="preserve">. </w:t>
            </w:r>
            <w:r w:rsidRPr="00743576">
              <w:rPr>
                <w:i/>
                <w:color w:val="000000"/>
                <w:lang w:eastAsia="de-DE"/>
              </w:rPr>
              <w:t>P</w:t>
            </w:r>
            <w:r w:rsidRPr="00DA42CF">
              <w:rPr>
                <w:color w:val="000000"/>
                <w:lang w:eastAsia="de-DE"/>
              </w:rPr>
              <w:t>-values are shown in parentheses.</w:t>
            </w:r>
            <w:r w:rsidRPr="00DA42CF">
              <w:rPr>
                <w:lang w:eastAsia="de-DE"/>
              </w:rPr>
              <w:t xml:space="preserve"> ***, ** and * </w:t>
            </w:r>
            <w:r>
              <w:rPr>
                <w:lang w:eastAsia="de-DE"/>
              </w:rPr>
              <w:t>indicate</w:t>
            </w:r>
            <w:r w:rsidRPr="00DA42CF">
              <w:rPr>
                <w:lang w:eastAsia="de-DE"/>
              </w:rPr>
              <w:t xml:space="preserve"> </w:t>
            </w:r>
            <w:r w:rsidRPr="00EA209A">
              <w:rPr>
                <w:lang w:eastAsia="de-DE"/>
              </w:rPr>
              <w:t xml:space="preserve">statistical </w:t>
            </w:r>
            <w:r w:rsidRPr="00DA42CF">
              <w:rPr>
                <w:lang w:eastAsia="de-DE"/>
              </w:rPr>
              <w:t>significance at the 1%, 5% and 10%</w:t>
            </w:r>
            <w:r>
              <w:rPr>
                <w:lang w:eastAsia="de-DE"/>
              </w:rPr>
              <w:t xml:space="preserve"> levels</w:t>
            </w:r>
            <w:r w:rsidRPr="00DA42CF">
              <w:rPr>
                <w:lang w:eastAsia="de-DE"/>
              </w:rPr>
              <w:t>, respectively.</w:t>
            </w:r>
          </w:p>
        </w:tc>
      </w:tr>
    </w:tbl>
    <w:p w14:paraId="29DA5C30" w14:textId="77777777" w:rsidR="00700B9F" w:rsidRPr="00DA42CF" w:rsidRDefault="00700B9F" w:rsidP="00700B9F">
      <w:pPr>
        <w:spacing w:line="259" w:lineRule="auto"/>
        <w:rPr>
          <w:rFonts w:eastAsiaTheme="minorEastAsia" w:cs="Times New Roman"/>
          <w:b/>
          <w:sz w:val="22"/>
          <w:lang w:val="en-US" w:eastAsia="de-DE"/>
        </w:rPr>
      </w:pPr>
    </w:p>
    <w:p w14:paraId="390F6A04" w14:textId="77777777" w:rsidR="00700B9F" w:rsidRPr="00DA42CF" w:rsidRDefault="00700B9F" w:rsidP="00700B9F">
      <w:pPr>
        <w:spacing w:line="259" w:lineRule="auto"/>
        <w:rPr>
          <w:rFonts w:eastAsiaTheme="minorEastAsia" w:cs="Times New Roman"/>
          <w:b/>
          <w:sz w:val="22"/>
          <w:lang w:val="en-US" w:eastAsia="de-DE"/>
        </w:rPr>
      </w:pPr>
    </w:p>
    <w:p w14:paraId="1F62E75C" w14:textId="77777777" w:rsidR="00700B9F" w:rsidRPr="00D24773" w:rsidRDefault="00700B9F" w:rsidP="00700B9F">
      <w:pPr>
        <w:pStyle w:val="Caption"/>
        <w:rPr>
          <w:lang w:val="en-US"/>
        </w:rPr>
      </w:pPr>
      <w:bookmarkStart w:id="9" w:name="_Ref99971586"/>
      <w:r w:rsidRPr="00D24773">
        <w:rPr>
          <w:lang w:val="en-US"/>
        </w:rPr>
        <w:t>Table A</w:t>
      </w:r>
      <w:r w:rsidRPr="00D24773">
        <w:fldChar w:fldCharType="begin"/>
      </w:r>
      <w:r w:rsidRPr="00D24773">
        <w:rPr>
          <w:lang w:val="en-US"/>
        </w:rPr>
        <w:instrText xml:space="preserve"> SEQ Table_A \* ARABIC </w:instrText>
      </w:r>
      <w:r w:rsidRPr="00D24773">
        <w:fldChar w:fldCharType="separate"/>
      </w:r>
      <w:r>
        <w:rPr>
          <w:noProof/>
          <w:lang w:val="en-US"/>
        </w:rPr>
        <w:t>4</w:t>
      </w:r>
      <w:r w:rsidRPr="00D24773">
        <w:fldChar w:fldCharType="end"/>
      </w:r>
      <w:bookmarkEnd w:id="9"/>
      <w:r w:rsidRPr="00D24773">
        <w:rPr>
          <w:lang w:val="en-US"/>
        </w:rPr>
        <w:t>: One-to-One Nearest Neighbor Matching Quality</w:t>
      </w:r>
    </w:p>
    <w:tbl>
      <w:tblPr>
        <w:tblW w:w="90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73"/>
        <w:gridCol w:w="1152"/>
        <w:gridCol w:w="1152"/>
        <w:gridCol w:w="973"/>
        <w:gridCol w:w="1171"/>
        <w:gridCol w:w="914"/>
        <w:gridCol w:w="914"/>
      </w:tblGrid>
      <w:tr w:rsidR="00700B9F" w:rsidRPr="0022712B" w14:paraId="6ADB11DE" w14:textId="77777777" w:rsidTr="00937757">
        <w:trPr>
          <w:trHeight w:val="31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67F9" w14:textId="77777777" w:rsidR="00700B9F" w:rsidRPr="0022712B" w:rsidRDefault="00700B9F" w:rsidP="00937757">
            <w:pPr>
              <w:spacing w:line="240" w:lineRule="auto"/>
              <w:ind w:left="-75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Nearest        Neighbor 1:1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9418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585B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34C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82D7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4FD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Bias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CDDD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5A32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700B9F" w:rsidRPr="0022712B" w14:paraId="77F6358F" w14:textId="77777777" w:rsidTr="00937757">
        <w:trPr>
          <w:trHeight w:val="312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96C74" w14:textId="77777777" w:rsidR="00700B9F" w:rsidRPr="0022712B" w:rsidRDefault="00700B9F" w:rsidP="00937757">
            <w:pPr>
              <w:spacing w:line="240" w:lineRule="auto"/>
              <w:ind w:hanging="75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9341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FAD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Mean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00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Bias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1F3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Reduction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CA3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F24F33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-test</w:t>
            </w:r>
          </w:p>
        </w:tc>
      </w:tr>
      <w:tr w:rsidR="00700B9F" w:rsidRPr="0022712B" w14:paraId="137BF215" w14:textId="77777777" w:rsidTr="00937757">
        <w:trPr>
          <w:trHeight w:val="312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194C7" w14:textId="77777777" w:rsidR="00700B9F" w:rsidRPr="0022712B" w:rsidRDefault="00700B9F" w:rsidP="00937757">
            <w:pPr>
              <w:spacing w:line="240" w:lineRule="auto"/>
              <w:ind w:hanging="75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656A71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B123D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Treated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B941E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Control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212CD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(in %)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C29869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(in %)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5DDFA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5A6FB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p&gt;t</w:t>
            </w:r>
          </w:p>
        </w:tc>
      </w:tr>
      <w:tr w:rsidR="00700B9F" w:rsidRPr="0022712B" w14:paraId="5EA51C99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2D11F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SIZE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3C4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F05A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729B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8.2011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B90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729B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8.7176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2C6B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-33.2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F488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D62C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-4.13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2D43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0.000</w:t>
            </w:r>
          </w:p>
        </w:tc>
      </w:tr>
      <w:tr w:rsidR="00700B9F" w:rsidRPr="0022712B" w14:paraId="2DACDB73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6FDC2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F60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7D9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729B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8.4086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398B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729B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8.3856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596C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1.5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6B11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95.5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231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3B0A8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0.905</w:t>
            </w:r>
          </w:p>
        </w:tc>
      </w:tr>
      <w:tr w:rsidR="00700B9F" w:rsidRPr="0022712B" w14:paraId="53BDF190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B8A04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INT_ASSETS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A0F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E9BB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0.2956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9AAB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0.3166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69DB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-7.7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C9B7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604D8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-0.95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4A4A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0.341</w:t>
            </w:r>
          </w:p>
        </w:tc>
      </w:tr>
      <w:tr w:rsidR="00700B9F" w:rsidRPr="0022712B" w14:paraId="2F2BCDD1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8F90E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5C7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2F48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0.3500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CD5A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0.3128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E7C3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13.7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FCAC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-77.3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41A9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1.21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50A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0.229</w:t>
            </w:r>
          </w:p>
        </w:tc>
      </w:tr>
      <w:tr w:rsidR="00700B9F" w:rsidRPr="0022712B" w14:paraId="1BF203E9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398C7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LEV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D99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F704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</w:t>
            </w:r>
            <w:r w:rsidRPr="0024799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.204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272F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0.2171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13A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-6.1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99D6D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946AD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-0.77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19D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0.444</w:t>
            </w:r>
          </w:p>
        </w:tc>
      </w:tr>
      <w:tr w:rsidR="00700B9F" w:rsidRPr="0022712B" w14:paraId="58DE7ED3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CC635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9A7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F449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0.2088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16B6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0.2116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3762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-1.4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7FD5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77.5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00B7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59C6A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0.916</w:t>
            </w:r>
          </w:p>
        </w:tc>
      </w:tr>
      <w:tr w:rsidR="00700B9F" w:rsidRPr="0022712B" w14:paraId="3644EDD4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4947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ROA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26D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A340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0.1095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014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0.1395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2AB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-31.9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7FA2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5A44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-3.95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B40E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0.000</w:t>
            </w:r>
          </w:p>
        </w:tc>
      </w:tr>
      <w:tr w:rsidR="00700B9F" w:rsidRPr="0022712B" w14:paraId="7D37890A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49BAF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4ED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F0FE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0.1255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31EA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0.1272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B32C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-1.8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6B9ED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94.3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7B28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9DC5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0.882</w:t>
            </w:r>
          </w:p>
        </w:tc>
      </w:tr>
      <w:tr w:rsidR="00700B9F" w:rsidRPr="0022712B" w14:paraId="7F423198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139BF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MTB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2AA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D3EF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15.7040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4CFA9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3.0408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F690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C005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CD32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1.40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A4A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0.163</w:t>
            </w:r>
          </w:p>
        </w:tc>
      </w:tr>
      <w:tr w:rsidR="00700B9F" w:rsidRPr="0022712B" w14:paraId="512BD089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58463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A0A9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42CF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2.2683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CE03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3.2040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361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29661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92.6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E8A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-0.66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CE0E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0.511</w:t>
            </w:r>
          </w:p>
        </w:tc>
      </w:tr>
      <w:tr w:rsidR="00700B9F" w:rsidRPr="0022712B" w14:paraId="26BBEC4A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EBE579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RD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F144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4A6A1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0.0135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D412C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0.0315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E2094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-47.0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8ADB9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16C775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-5.71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EB5A8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0.000</w:t>
            </w:r>
          </w:p>
        </w:tc>
      </w:tr>
      <w:tr w:rsidR="00700B9F" w:rsidRPr="0022712B" w14:paraId="66F38069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88E9" w14:textId="77777777" w:rsidR="00700B9F" w:rsidRPr="0022712B" w:rsidRDefault="00700B9F" w:rsidP="0093775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04B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2076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0.0185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2624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19E5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4CB0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99.4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C6C7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A8E57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0.977</w:t>
            </w:r>
          </w:p>
        </w:tc>
      </w:tr>
      <w:tr w:rsidR="00700B9F" w:rsidRPr="0022712B" w14:paraId="395B998E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92300F" w14:textId="77777777" w:rsidR="00700B9F" w:rsidRPr="0022712B" w:rsidRDefault="00700B9F" w:rsidP="00937757">
            <w:pPr>
              <w:spacing w:line="240" w:lineRule="auto"/>
              <w:ind w:hanging="75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E75A6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ESG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A893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Unmatched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7ECDA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48.9910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A5901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45.6800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9569D8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15.9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0A52BE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15239C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1.98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3D050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0.048</w:t>
            </w:r>
          </w:p>
        </w:tc>
      </w:tr>
      <w:tr w:rsidR="00700B9F" w:rsidRPr="0022712B" w14:paraId="45CA92A5" w14:textId="77777777" w:rsidTr="00937757">
        <w:trPr>
          <w:trHeight w:val="255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EA63E" w14:textId="77777777" w:rsidR="00700B9F" w:rsidRPr="0022712B" w:rsidRDefault="00700B9F" w:rsidP="0093775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DC613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22712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Matched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89E913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46.1620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BF47E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46.5570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3760FB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-1.9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0701F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88.1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2A4786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-0.15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6DFF4" w14:textId="77777777" w:rsidR="00700B9F" w:rsidRPr="0022712B" w:rsidRDefault="00700B9F" w:rsidP="00937757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0.879</w:t>
            </w:r>
          </w:p>
        </w:tc>
      </w:tr>
      <w:tr w:rsidR="00700B9F" w:rsidRPr="00C00887" w14:paraId="52CD5B16" w14:textId="77777777" w:rsidTr="00937757">
        <w:trPr>
          <w:trHeight w:val="255"/>
          <w:jc w:val="center"/>
        </w:trPr>
        <w:tc>
          <w:tcPr>
            <w:tcW w:w="900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68994A" w14:textId="77777777" w:rsidR="00700B9F" w:rsidRPr="00F407B2" w:rsidRDefault="00700B9F" w:rsidP="00937757">
            <w:pPr>
              <w:pStyle w:val="Notes"/>
              <w:rPr>
                <w:rFonts w:eastAsia="Times New Roman"/>
                <w:b/>
                <w:lang w:eastAsia="de-DE"/>
              </w:rPr>
            </w:pPr>
            <w:r w:rsidRPr="0022712B">
              <w:t>Notes</w:t>
            </w:r>
            <w:r>
              <w:t xml:space="preserve">: </w:t>
            </w:r>
            <w:r>
              <w:fldChar w:fldCharType="begin"/>
            </w:r>
            <w:r>
              <w:instrText xml:space="preserve"> REF  _Ref99971586 \h  \* MERGEFORMAT </w:instrText>
            </w:r>
            <w:r>
              <w:fldChar w:fldCharType="separate"/>
            </w:r>
            <w:r w:rsidRPr="00D24773">
              <w:t>Table A</w:t>
            </w:r>
            <w:r>
              <w:t>4</w:t>
            </w:r>
            <w:r>
              <w:fldChar w:fldCharType="end"/>
            </w:r>
            <w:r>
              <w:t xml:space="preserve"> sh</w:t>
            </w:r>
            <w:r w:rsidRPr="0022712B">
              <w:t xml:space="preserve">ows the matching quality </w:t>
            </w:r>
            <w:r>
              <w:t>by presenting and comparing the</w:t>
            </w:r>
            <w:r w:rsidRPr="0022712B">
              <w:t xml:space="preserve"> relevant matching characteristics between </w:t>
            </w:r>
            <w:r>
              <w:t>EU and US MNEs</w:t>
            </w:r>
            <w:r w:rsidRPr="0022712B">
              <w:t xml:space="preserve"> before and after the matching</w:t>
            </w:r>
            <w:r>
              <w:t xml:space="preserve">. MNEs are matched based on consolidated financial data from </w:t>
            </w:r>
            <w:proofErr w:type="spellStart"/>
            <w:r>
              <w:t>Compustat</w:t>
            </w:r>
            <w:proofErr w:type="spellEnd"/>
            <w:r>
              <w:t xml:space="preserve"> and </w:t>
            </w:r>
            <w:r>
              <w:lastRenderedPageBreak/>
              <w:t xml:space="preserve">the ESG score for the year 2010. </w:t>
            </w:r>
            <w:r w:rsidRPr="0022712B">
              <w:t>Results are formed on a one</w:t>
            </w:r>
            <w:r>
              <w:t>-</w:t>
            </w:r>
            <w:r w:rsidRPr="0022712B">
              <w:t>to</w:t>
            </w:r>
            <w:r>
              <w:t>-</w:t>
            </w:r>
            <w:r w:rsidRPr="0022712B">
              <w:t xml:space="preserve">one nearest neighbor matching requiring a difference in propensity scores </w:t>
            </w:r>
            <w:r>
              <w:t xml:space="preserve">(caliper) </w:t>
            </w:r>
            <w:r w:rsidRPr="0022712B">
              <w:t xml:space="preserve">of less than 0.03. </w:t>
            </w:r>
          </w:p>
        </w:tc>
      </w:tr>
    </w:tbl>
    <w:p w14:paraId="4CC73686" w14:textId="77777777" w:rsidR="00197549" w:rsidRDefault="00197549"/>
    <w:sectPr w:rsidR="00197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9F"/>
    <w:rsid w:val="00197549"/>
    <w:rsid w:val="002D67D5"/>
    <w:rsid w:val="0037573B"/>
    <w:rsid w:val="00700B9F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39E3"/>
  <w15:chartTrackingRefBased/>
  <w15:docId w15:val="{AAF94765-4B13-44C5-B560-56A96ECC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B9F"/>
    <w:pPr>
      <w:spacing w:after="0" w:line="480" w:lineRule="auto"/>
      <w:ind w:firstLine="709"/>
      <w:jc w:val="both"/>
    </w:pPr>
    <w:rPr>
      <w:rFonts w:ascii="Times New Roman" w:hAnsi="Times New Roman"/>
      <w:kern w:val="0"/>
      <w:sz w:val="24"/>
      <w:lang w:val="de-DE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700B9F"/>
    <w:pPr>
      <w:spacing w:before="200" w:after="120" w:line="360" w:lineRule="auto"/>
      <w:ind w:firstLine="0"/>
      <w:contextualSpacing/>
      <w:outlineLvl w:val="0"/>
    </w:pPr>
    <w:rPr>
      <w:rFonts w:eastAsia="Times New Roman" w:cs="Times New Roman"/>
      <w:b/>
      <w:bCs/>
      <w:kern w:val="36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B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00B9F"/>
    <w:rPr>
      <w:rFonts w:ascii="Times New Roman" w:eastAsia="Times New Roman" w:hAnsi="Times New Roman" w:cs="Times New Roman"/>
      <w:b/>
      <w:bCs/>
      <w:kern w:val="36"/>
      <w:sz w:val="24"/>
      <w:szCs w:val="48"/>
      <w:lang w:val="de-DE" w:eastAsia="de-DE"/>
      <w14:ligatures w14:val="none"/>
    </w:rPr>
  </w:style>
  <w:style w:type="paragraph" w:styleId="Caption">
    <w:name w:val="caption"/>
    <w:basedOn w:val="Heading2"/>
    <w:next w:val="Normal"/>
    <w:uiPriority w:val="2"/>
    <w:unhideWhenUsed/>
    <w:qFormat/>
    <w:rsid w:val="00700B9F"/>
    <w:pPr>
      <w:spacing w:before="120" w:line="360" w:lineRule="auto"/>
      <w:ind w:firstLine="0"/>
      <w:jc w:val="center"/>
    </w:pPr>
    <w:rPr>
      <w:rFonts w:ascii="Times New Roman" w:hAnsi="Times New Roman"/>
      <w:b/>
      <w:bCs/>
      <w:iCs/>
      <w:color w:val="000000" w:themeColor="text1"/>
      <w:kern w:val="36"/>
      <w:sz w:val="24"/>
      <w:szCs w:val="18"/>
      <w:lang w:eastAsia="de-DE"/>
    </w:rPr>
  </w:style>
  <w:style w:type="paragraph" w:customStyle="1" w:styleId="Notes">
    <w:name w:val="Notes"/>
    <w:basedOn w:val="Normal"/>
    <w:link w:val="NotesZchn"/>
    <w:uiPriority w:val="2"/>
    <w:qFormat/>
    <w:rsid w:val="00700B9F"/>
    <w:pPr>
      <w:spacing w:after="120" w:line="240" w:lineRule="auto"/>
      <w:ind w:firstLine="0"/>
    </w:pPr>
    <w:rPr>
      <w:rFonts w:cs="Times New Roman"/>
      <w:color w:val="000000" w:themeColor="text1"/>
      <w:sz w:val="18"/>
      <w:szCs w:val="18"/>
      <w:lang w:val="en-US"/>
    </w:rPr>
  </w:style>
  <w:style w:type="character" w:customStyle="1" w:styleId="NotesZchn">
    <w:name w:val="Notes Zchn"/>
    <w:basedOn w:val="DefaultParagraphFont"/>
    <w:link w:val="Notes"/>
    <w:uiPriority w:val="2"/>
    <w:rsid w:val="00700B9F"/>
    <w:rPr>
      <w:rFonts w:ascii="Times New Roman" w:hAnsi="Times New Roman" w:cs="Times New Roman"/>
      <w:color w:val="000000" w:themeColor="text1"/>
      <w:kern w:val="0"/>
      <w:sz w:val="18"/>
      <w:szCs w:val="18"/>
      <w14:ligatures w14:val="none"/>
    </w:rPr>
  </w:style>
  <w:style w:type="paragraph" w:customStyle="1" w:styleId="VariabledescriptionAppendix">
    <w:name w:val="Variable description Appendix"/>
    <w:basedOn w:val="Normal"/>
    <w:link w:val="VariabledescriptionAppendixZchn"/>
    <w:qFormat/>
    <w:rsid w:val="00700B9F"/>
    <w:pPr>
      <w:spacing w:line="240" w:lineRule="auto"/>
      <w:ind w:firstLine="0"/>
    </w:pPr>
    <w:rPr>
      <w:rFonts w:eastAsia="Times New Roman" w:cs="Times New Roman"/>
      <w:color w:val="000000"/>
      <w:sz w:val="20"/>
      <w:szCs w:val="20"/>
      <w:lang w:val="en-US" w:eastAsia="de-DE"/>
    </w:rPr>
  </w:style>
  <w:style w:type="character" w:customStyle="1" w:styleId="VariabledescriptionAppendixZchn">
    <w:name w:val="Variable description Appendix Zchn"/>
    <w:basedOn w:val="DefaultParagraphFont"/>
    <w:link w:val="VariabledescriptionAppendix"/>
    <w:rsid w:val="00700B9F"/>
    <w:rPr>
      <w:rFonts w:ascii="Times New Roman" w:eastAsia="Times New Roman" w:hAnsi="Times New Roman" w:cs="Times New Roman"/>
      <w:color w:val="000000"/>
      <w:kern w:val="0"/>
      <w:sz w:val="20"/>
      <w:szCs w:val="20"/>
      <w:lang w:eastAsia="de-DE"/>
      <w14:ligatures w14:val="none"/>
    </w:rPr>
  </w:style>
  <w:style w:type="table" w:customStyle="1" w:styleId="Tabellenraster1">
    <w:name w:val="Tabellenraster1"/>
    <w:basedOn w:val="TableNormal"/>
    <w:next w:val="TableGrid"/>
    <w:uiPriority w:val="39"/>
    <w:rsid w:val="00700B9F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0B9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table" w:styleId="TableGrid">
    <w:name w:val="Table Grid"/>
    <w:basedOn w:val="TableNormal"/>
    <w:uiPriority w:val="39"/>
    <w:rsid w:val="0070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8658D7B3964940B33E4522DFEC0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7DC72-9FB1-4A62-909D-6EA592418A85}"/>
      </w:docPartPr>
      <w:docPartBody>
        <w:p w:rsidR="00000000" w:rsidRDefault="00076C94" w:rsidP="00076C94">
          <w:pPr>
            <w:pStyle w:val="E38658D7B3964940B33E4522DFEC0E73"/>
          </w:pPr>
          <w:r w:rsidRPr="006D469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87C2562267442BA9E1CE6B0BBF79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142E3-7713-4B57-AC98-D8B3717A023D}"/>
      </w:docPartPr>
      <w:docPartBody>
        <w:p w:rsidR="00000000" w:rsidRDefault="00076C94" w:rsidP="00076C94">
          <w:pPr>
            <w:pStyle w:val="987C2562267442BA9E1CE6B0BBF79AC8"/>
          </w:pPr>
          <w:r w:rsidRPr="006D469C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C92BED77F284E198571A5FCAEBF0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5DCD-58C2-4AF6-8097-B5C15BFE0C86}"/>
      </w:docPartPr>
      <w:docPartBody>
        <w:p w:rsidR="00000000" w:rsidRDefault="00076C94" w:rsidP="00076C94">
          <w:pPr>
            <w:pStyle w:val="9C92BED77F284E198571A5FCAEBF0CE8"/>
          </w:pPr>
          <w:r w:rsidRPr="006D469C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94"/>
    <w:rsid w:val="00076C94"/>
    <w:rsid w:val="00A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6C94"/>
    <w:rPr>
      <w:color w:val="808080"/>
    </w:rPr>
  </w:style>
  <w:style w:type="paragraph" w:customStyle="1" w:styleId="E38658D7B3964940B33E4522DFEC0E73">
    <w:name w:val="E38658D7B3964940B33E4522DFEC0E73"/>
    <w:rsid w:val="00076C94"/>
  </w:style>
  <w:style w:type="paragraph" w:customStyle="1" w:styleId="987C2562267442BA9E1CE6B0BBF79AC8">
    <w:name w:val="987C2562267442BA9E1CE6B0BBF79AC8"/>
    <w:rsid w:val="00076C94"/>
  </w:style>
  <w:style w:type="paragraph" w:customStyle="1" w:styleId="9C92BED77F284E198571A5FCAEBF0CE8">
    <w:name w:val="9C92BED77F284E198571A5FCAEBF0CE8"/>
    <w:rsid w:val="00076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7706</Words>
  <Characters>43928</Characters>
  <Application>Microsoft Office Word</Application>
  <DocSecurity>0</DocSecurity>
  <Lines>366</Lines>
  <Paragraphs>103</Paragraphs>
  <ScaleCrop>false</ScaleCrop>
  <Company>Springer Nature</Company>
  <LinksUpToDate>false</LinksUpToDate>
  <CharactersWithSpaces>51531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Uchappa Soli</dc:creator>
  <cp:keywords/>
  <dc:description/>
  <cp:lastModifiedBy>Jayshree Uchappa Soli</cp:lastModifiedBy>
  <cp:revision>1</cp:revision>
  <dcterms:created xsi:type="dcterms:W3CDTF">2024-05-09T06:29:00Z</dcterms:created>
  <dcterms:modified xsi:type="dcterms:W3CDTF">2024-05-09T06:29:00Z</dcterms:modified>
</cp:coreProperties>
</file>