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2966A" w14:textId="644DE029" w:rsidR="00076AC0" w:rsidRPr="00000CA8" w:rsidRDefault="00975FFA" w:rsidP="00975FFA">
      <w:pPr>
        <w:pStyle w:val="Heading1"/>
        <w:ind w:firstLine="0"/>
        <w:rPr>
          <w:rFonts w:ascii="Times New Roman" w:hAnsi="Times New Roman"/>
          <w:sz w:val="24"/>
          <w:szCs w:val="24"/>
          <w:lang w:val="en-GB"/>
        </w:rPr>
      </w:pPr>
      <w:r>
        <w:rPr>
          <w:rFonts w:ascii="Times New Roman" w:hAnsi="Times New Roman"/>
          <w:sz w:val="24"/>
          <w:szCs w:val="24"/>
          <w:lang w:val="en-GB"/>
        </w:rPr>
        <w:t>S</w:t>
      </w:r>
      <w:r w:rsidR="00076AC0" w:rsidRPr="00000CA8">
        <w:rPr>
          <w:rFonts w:ascii="Times New Roman" w:hAnsi="Times New Roman"/>
          <w:sz w:val="24"/>
          <w:szCs w:val="24"/>
          <w:lang w:val="en-GB"/>
        </w:rPr>
        <w:t>upplementary Materials</w:t>
      </w:r>
    </w:p>
    <w:p w14:paraId="276122F9" w14:textId="3EACDABF" w:rsidR="00076AC0" w:rsidRPr="00000CA8" w:rsidRDefault="00076AC0" w:rsidP="00000CA8">
      <w:pPr>
        <w:pStyle w:val="Heading2"/>
        <w:rPr>
          <w:rFonts w:ascii="Times New Roman" w:hAnsi="Times New Roman"/>
          <w:sz w:val="24"/>
          <w:szCs w:val="24"/>
          <w:lang w:val="en-GB"/>
        </w:rPr>
      </w:pPr>
      <w:r w:rsidRPr="00000CA8">
        <w:rPr>
          <w:rFonts w:ascii="Times New Roman" w:hAnsi="Times New Roman"/>
          <w:sz w:val="24"/>
          <w:szCs w:val="24"/>
          <w:lang w:val="en-GB"/>
        </w:rPr>
        <w:t xml:space="preserve">Development of the Ambiguous Situations Questionnaire – School Transition </w:t>
      </w:r>
    </w:p>
    <w:p w14:paraId="3E63B19D" w14:textId="5F2EFED6" w:rsidR="00292E0F" w:rsidRDefault="00292E0F" w:rsidP="00C73069">
      <w:pPr>
        <w:rPr>
          <w:rFonts w:ascii="Times New Roman" w:hAnsi="Times New Roman"/>
          <w:sz w:val="24"/>
          <w:szCs w:val="24"/>
          <w:lang w:val="en-GB"/>
        </w:rPr>
      </w:pPr>
      <w:r w:rsidRPr="00000CA8">
        <w:rPr>
          <w:rFonts w:ascii="Times New Roman" w:hAnsi="Times New Roman"/>
          <w:sz w:val="24"/>
          <w:szCs w:val="24"/>
          <w:lang w:val="en-GB"/>
        </w:rPr>
        <w:t xml:space="preserve">Eighteen ambiguous situations related to situations that children may experience following the transition to secondary school were developed using themes from the School Concerns Questionnaire. </w:t>
      </w:r>
      <w:r w:rsidR="005049C0" w:rsidRPr="00000CA8">
        <w:rPr>
          <w:rFonts w:ascii="Times New Roman" w:hAnsi="Times New Roman"/>
          <w:sz w:val="24"/>
          <w:szCs w:val="24"/>
          <w:lang w:val="en-GB"/>
        </w:rPr>
        <w:t xml:space="preserve">Twelve independent </w:t>
      </w:r>
      <w:proofErr w:type="spellStart"/>
      <w:r w:rsidR="005049C0" w:rsidRPr="00000CA8">
        <w:rPr>
          <w:rFonts w:ascii="Times New Roman" w:hAnsi="Times New Roman"/>
          <w:sz w:val="24"/>
          <w:szCs w:val="24"/>
          <w:lang w:val="en-GB"/>
        </w:rPr>
        <w:t>raters</w:t>
      </w:r>
      <w:proofErr w:type="spellEnd"/>
      <w:r w:rsidR="005049C0" w:rsidRPr="00000CA8">
        <w:rPr>
          <w:rFonts w:ascii="Times New Roman" w:hAnsi="Times New Roman"/>
          <w:sz w:val="24"/>
          <w:szCs w:val="24"/>
          <w:lang w:val="en-GB"/>
        </w:rPr>
        <w:t xml:space="preserve"> provided feedback and pilot ratings on each item. This comprised of generating possible interpretations for each scenario, commenting on wording, and rating the forced choice responses for threat content and plausibility. </w:t>
      </w:r>
      <w:proofErr w:type="spellStart"/>
      <w:r w:rsidR="005049C0" w:rsidRPr="00000CA8">
        <w:rPr>
          <w:rFonts w:ascii="Times New Roman" w:hAnsi="Times New Roman"/>
          <w:sz w:val="24"/>
          <w:szCs w:val="24"/>
          <w:lang w:val="en-GB"/>
        </w:rPr>
        <w:t>Raters</w:t>
      </w:r>
      <w:proofErr w:type="spellEnd"/>
      <w:r w:rsidR="005049C0" w:rsidRPr="00000CA8">
        <w:rPr>
          <w:rFonts w:ascii="Times New Roman" w:hAnsi="Times New Roman"/>
          <w:sz w:val="24"/>
          <w:szCs w:val="24"/>
          <w:lang w:val="en-GB"/>
        </w:rPr>
        <w:t xml:space="preserve"> were presented with </w:t>
      </w:r>
      <w:r w:rsidR="00A269A7" w:rsidRPr="00000CA8">
        <w:rPr>
          <w:rFonts w:ascii="Times New Roman" w:hAnsi="Times New Roman"/>
          <w:sz w:val="24"/>
          <w:szCs w:val="24"/>
          <w:lang w:val="en-GB"/>
        </w:rPr>
        <w:t xml:space="preserve">each situation, and the corresponding question and forced choice </w:t>
      </w:r>
      <w:r w:rsidR="005049C0" w:rsidRPr="00000CA8">
        <w:rPr>
          <w:rFonts w:ascii="Times New Roman" w:hAnsi="Times New Roman"/>
          <w:sz w:val="24"/>
          <w:szCs w:val="24"/>
          <w:lang w:val="en-GB"/>
        </w:rPr>
        <w:t>threat and non-threat interpretations for each situation</w:t>
      </w:r>
      <w:r w:rsidR="00A269A7" w:rsidRPr="00000CA8">
        <w:rPr>
          <w:rFonts w:ascii="Times New Roman" w:hAnsi="Times New Roman"/>
          <w:sz w:val="24"/>
          <w:szCs w:val="24"/>
          <w:lang w:val="en-GB"/>
        </w:rPr>
        <w:t xml:space="preserve">. They rated how threatening each interpretation was on a four-point scale (not at all threatening – very threatening) and how plausible it was as an interpretation/response to the situation described (not at all plausible – very plausible). </w:t>
      </w:r>
      <w:r w:rsidR="006D30DB" w:rsidRPr="00000CA8">
        <w:rPr>
          <w:rFonts w:ascii="Times New Roman" w:hAnsi="Times New Roman"/>
          <w:sz w:val="24"/>
          <w:szCs w:val="24"/>
          <w:lang w:val="en-GB"/>
        </w:rPr>
        <w:t>For each situation, paired t-tests were performed to compare the threat and non-threat interpretations on ratings of threat and plausibility. Ten situations were selected for the final version of the questionnaire where the threat interpretation was rated as significantly more threatening in content than the non-threat interpretation and there was no significant difference in plausibility rating between the threat and non-threat interpretations</w:t>
      </w:r>
      <w:r w:rsidR="002D10B4" w:rsidRPr="00000CA8">
        <w:rPr>
          <w:rFonts w:ascii="Times New Roman" w:hAnsi="Times New Roman"/>
          <w:sz w:val="24"/>
          <w:szCs w:val="24"/>
          <w:lang w:val="en-GB"/>
        </w:rPr>
        <w:t>.</w:t>
      </w:r>
      <w:r w:rsidR="006D3E78" w:rsidRPr="00000CA8">
        <w:rPr>
          <w:rFonts w:ascii="Times New Roman" w:hAnsi="Times New Roman"/>
          <w:sz w:val="24"/>
          <w:szCs w:val="24"/>
          <w:lang w:val="en-GB"/>
        </w:rPr>
        <w:t xml:space="preserve"> For these ten items, threat interpretations were rated as significantly more threatening than non-threat interpretations (2.89 vs. 1.26, </w:t>
      </w:r>
      <w:r w:rsidR="006D3E78" w:rsidRPr="0089639F">
        <w:rPr>
          <w:rFonts w:ascii="Times New Roman" w:hAnsi="Times New Roman"/>
          <w:i/>
          <w:sz w:val="24"/>
          <w:szCs w:val="24"/>
          <w:lang w:val="en-GB"/>
        </w:rPr>
        <w:t>t</w:t>
      </w:r>
      <w:r w:rsidR="006D3E78" w:rsidRPr="00000CA8">
        <w:rPr>
          <w:rFonts w:ascii="Times New Roman" w:hAnsi="Times New Roman"/>
          <w:sz w:val="24"/>
          <w:szCs w:val="24"/>
          <w:lang w:val="en-GB"/>
        </w:rPr>
        <w:t xml:space="preserve"> (11) = -7.73, </w:t>
      </w:r>
      <w:r w:rsidR="006D3E78" w:rsidRPr="0089639F">
        <w:rPr>
          <w:rFonts w:ascii="Times New Roman" w:hAnsi="Times New Roman"/>
          <w:i/>
          <w:sz w:val="24"/>
          <w:szCs w:val="24"/>
          <w:lang w:val="en-GB"/>
        </w:rPr>
        <w:t>p</w:t>
      </w:r>
      <w:r w:rsidR="006D3E78" w:rsidRPr="00000CA8">
        <w:rPr>
          <w:rFonts w:ascii="Times New Roman" w:hAnsi="Times New Roman"/>
          <w:sz w:val="24"/>
          <w:szCs w:val="24"/>
          <w:lang w:val="en-GB"/>
        </w:rPr>
        <w:t xml:space="preserve"> &lt; .001) but both interpretations were rated as equally plausible (280 vs. 2.51, </w:t>
      </w:r>
      <w:r w:rsidR="006D3E78" w:rsidRPr="0089639F">
        <w:rPr>
          <w:rFonts w:ascii="Times New Roman" w:hAnsi="Times New Roman"/>
          <w:i/>
          <w:sz w:val="24"/>
          <w:szCs w:val="24"/>
          <w:lang w:val="en-GB"/>
        </w:rPr>
        <w:t>t</w:t>
      </w:r>
      <w:r w:rsidR="006D3E78" w:rsidRPr="00000CA8">
        <w:rPr>
          <w:rFonts w:ascii="Times New Roman" w:hAnsi="Times New Roman"/>
          <w:sz w:val="24"/>
          <w:szCs w:val="24"/>
          <w:lang w:val="en-GB"/>
        </w:rPr>
        <w:t xml:space="preserve"> (11) = -1.65, </w:t>
      </w:r>
      <w:r w:rsidR="006D3E78" w:rsidRPr="0089639F">
        <w:rPr>
          <w:rFonts w:ascii="Times New Roman" w:hAnsi="Times New Roman"/>
          <w:i/>
          <w:sz w:val="24"/>
          <w:szCs w:val="24"/>
          <w:lang w:val="en-GB"/>
        </w:rPr>
        <w:t>p</w:t>
      </w:r>
      <w:r w:rsidR="006D3E78" w:rsidRPr="00000CA8">
        <w:rPr>
          <w:rFonts w:ascii="Times New Roman" w:hAnsi="Times New Roman"/>
          <w:sz w:val="24"/>
          <w:szCs w:val="24"/>
          <w:lang w:val="en-GB"/>
        </w:rPr>
        <w:t xml:space="preserve"> = .13. </w:t>
      </w:r>
    </w:p>
    <w:p w14:paraId="7CF96F05" w14:textId="0EE40662" w:rsidR="006F2BBC" w:rsidRPr="00000CA8" w:rsidRDefault="006F2BBC" w:rsidP="006F2BBC">
      <w:pPr>
        <w:pStyle w:val="Heading2"/>
        <w:rPr>
          <w:rFonts w:ascii="Times New Roman" w:hAnsi="Times New Roman"/>
          <w:sz w:val="24"/>
          <w:szCs w:val="24"/>
          <w:lang w:val="en-GB"/>
        </w:rPr>
      </w:pPr>
      <w:r>
        <w:rPr>
          <w:rFonts w:ascii="Times New Roman" w:hAnsi="Times New Roman"/>
          <w:sz w:val="24"/>
          <w:szCs w:val="24"/>
          <w:lang w:val="en-GB"/>
        </w:rPr>
        <w:t xml:space="preserve">Coding </w:t>
      </w:r>
      <w:r w:rsidRPr="00000CA8">
        <w:rPr>
          <w:rFonts w:ascii="Times New Roman" w:hAnsi="Times New Roman"/>
          <w:sz w:val="24"/>
          <w:szCs w:val="24"/>
          <w:lang w:val="en-GB"/>
        </w:rPr>
        <w:t xml:space="preserve">of the Ambiguous Situations Questionnaire – School Transition </w:t>
      </w:r>
    </w:p>
    <w:p w14:paraId="616CE76A" w14:textId="7802E18B" w:rsidR="008104CB" w:rsidRPr="008104CB" w:rsidRDefault="006F2BBC" w:rsidP="008104CB">
      <w:pPr>
        <w:rPr>
          <w:rFonts w:ascii="Times New Roman" w:hAnsi="Times New Roman"/>
          <w:color w:val="2E2E2E"/>
          <w:sz w:val="24"/>
          <w:szCs w:val="24"/>
          <w:lang w:val="en-GB"/>
        </w:rPr>
      </w:pPr>
      <w:r w:rsidRPr="00000CA8">
        <w:rPr>
          <w:rFonts w:ascii="Times New Roman" w:hAnsi="Times New Roman"/>
          <w:sz w:val="24"/>
          <w:szCs w:val="24"/>
          <w:lang w:val="en-GB"/>
        </w:rPr>
        <w:t xml:space="preserve">Responses were independently coded by an undergraduate researcher to determine whether the response reflected a threat or non-threat interpretation, ambiguous or missing response. Where the child gave more than one possible interpretation in their response only </w:t>
      </w:r>
      <w:r w:rsidRPr="00000CA8">
        <w:rPr>
          <w:rFonts w:ascii="Times New Roman" w:hAnsi="Times New Roman"/>
          <w:sz w:val="24"/>
          <w:szCs w:val="24"/>
          <w:lang w:val="en-GB"/>
        </w:rPr>
        <w:lastRenderedPageBreak/>
        <w:t xml:space="preserve">the first interpretation was coded. </w:t>
      </w:r>
      <w:r>
        <w:rPr>
          <w:rFonts w:ascii="Times New Roman" w:hAnsi="Times New Roman"/>
          <w:sz w:val="24"/>
          <w:szCs w:val="24"/>
          <w:lang w:val="en-GB"/>
        </w:rPr>
        <w:t xml:space="preserve">A second undergraduate student </w:t>
      </w:r>
      <w:r w:rsidRPr="00000CA8">
        <w:rPr>
          <w:rFonts w:ascii="Times New Roman" w:hAnsi="Times New Roman"/>
          <w:sz w:val="24"/>
          <w:szCs w:val="24"/>
          <w:lang w:val="en-GB"/>
        </w:rPr>
        <w:t>coded a randomly selected subset of responses (30%)</w:t>
      </w:r>
      <w:r>
        <w:rPr>
          <w:rFonts w:ascii="Times New Roman" w:hAnsi="Times New Roman"/>
          <w:sz w:val="24"/>
          <w:szCs w:val="24"/>
          <w:lang w:val="en-GB"/>
        </w:rPr>
        <w:t xml:space="preserve"> with </w:t>
      </w:r>
      <w:r w:rsidRPr="00000CA8">
        <w:rPr>
          <w:rFonts w:ascii="Times New Roman" w:hAnsi="Times New Roman"/>
          <w:sz w:val="24"/>
          <w:szCs w:val="24"/>
          <w:lang w:val="en-GB"/>
        </w:rPr>
        <w:t xml:space="preserve">inter-rater agreement </w:t>
      </w:r>
      <w:r>
        <w:rPr>
          <w:rFonts w:ascii="Times New Roman" w:hAnsi="Times New Roman"/>
          <w:sz w:val="24"/>
          <w:szCs w:val="24"/>
          <w:lang w:val="en-GB"/>
        </w:rPr>
        <w:t>of</w:t>
      </w:r>
      <w:r w:rsidRPr="00000CA8">
        <w:rPr>
          <w:rFonts w:ascii="Times New Roman" w:hAnsi="Times New Roman"/>
          <w:sz w:val="24"/>
          <w:szCs w:val="24"/>
          <w:lang w:val="en-GB"/>
        </w:rPr>
        <w:t xml:space="preserve"> </w:t>
      </w:r>
      <w:r w:rsidRPr="00A37B77">
        <w:rPr>
          <w:rStyle w:val="Emphasis"/>
          <w:rFonts w:ascii="Times New Roman" w:hAnsi="Times New Roman"/>
          <w:iCs w:val="0"/>
          <w:color w:val="2E2E2E"/>
          <w:sz w:val="24"/>
          <w:szCs w:val="24"/>
          <w:bdr w:val="none" w:sz="0" w:space="0" w:color="auto" w:frame="1"/>
          <w:lang w:val="en-GB"/>
        </w:rPr>
        <w:t>k</w:t>
      </w:r>
      <w:r>
        <w:rPr>
          <w:rStyle w:val="Emphasis"/>
          <w:rFonts w:ascii="Times New Roman" w:hAnsi="Times New Roman"/>
          <w:i w:val="0"/>
          <w:iCs w:val="0"/>
          <w:color w:val="2E2E2E"/>
          <w:sz w:val="24"/>
          <w:szCs w:val="24"/>
          <w:bdr w:val="none" w:sz="0" w:space="0" w:color="auto" w:frame="1"/>
          <w:lang w:val="en-GB"/>
        </w:rPr>
        <w:t xml:space="preserve"> </w:t>
      </w:r>
      <w:r w:rsidRPr="00000CA8">
        <w:rPr>
          <w:rFonts w:ascii="Times New Roman" w:hAnsi="Times New Roman"/>
          <w:color w:val="2E2E2E"/>
          <w:sz w:val="24"/>
          <w:szCs w:val="24"/>
          <w:lang w:val="en-GB"/>
        </w:rPr>
        <w:t>=</w:t>
      </w:r>
      <w:r>
        <w:rPr>
          <w:rFonts w:ascii="Times New Roman" w:hAnsi="Times New Roman"/>
          <w:color w:val="2E2E2E"/>
          <w:sz w:val="24"/>
          <w:szCs w:val="24"/>
          <w:lang w:val="en-GB"/>
        </w:rPr>
        <w:t xml:space="preserve"> </w:t>
      </w:r>
      <w:r w:rsidRPr="00000CA8">
        <w:rPr>
          <w:rFonts w:ascii="Times New Roman" w:hAnsi="Times New Roman"/>
          <w:color w:val="2E2E2E"/>
          <w:sz w:val="24"/>
          <w:szCs w:val="24"/>
          <w:lang w:val="en-GB"/>
        </w:rPr>
        <w:t>.82,</w:t>
      </w:r>
      <w:r w:rsidRPr="00000CA8">
        <w:rPr>
          <w:rStyle w:val="apple-converted-space"/>
          <w:rFonts w:ascii="Times New Roman" w:hAnsi="Times New Roman"/>
          <w:color w:val="2E2E2E"/>
          <w:sz w:val="24"/>
          <w:szCs w:val="24"/>
          <w:lang w:val="en-GB"/>
        </w:rPr>
        <w:t xml:space="preserve"> </w:t>
      </w:r>
      <w:r w:rsidRPr="00A37B77">
        <w:rPr>
          <w:rStyle w:val="Emphasis"/>
          <w:rFonts w:ascii="Times New Roman" w:hAnsi="Times New Roman"/>
          <w:iCs w:val="0"/>
          <w:color w:val="2E2E2E"/>
          <w:sz w:val="24"/>
          <w:szCs w:val="24"/>
          <w:bdr w:val="none" w:sz="0" w:space="0" w:color="auto" w:frame="1"/>
          <w:lang w:val="en-GB"/>
        </w:rPr>
        <w:t>p</w:t>
      </w:r>
      <w:r w:rsidRPr="00A37B77">
        <w:rPr>
          <w:rFonts w:ascii="Times New Roman" w:hAnsi="Times New Roman"/>
          <w:color w:val="2E2E2E"/>
          <w:sz w:val="24"/>
          <w:szCs w:val="24"/>
          <w:lang w:val="en-GB"/>
        </w:rPr>
        <w:t xml:space="preserve"> </w:t>
      </w:r>
      <w:r w:rsidRPr="00000CA8">
        <w:rPr>
          <w:rFonts w:ascii="Times New Roman" w:hAnsi="Times New Roman"/>
          <w:color w:val="2E2E2E"/>
          <w:sz w:val="24"/>
          <w:szCs w:val="24"/>
          <w:lang w:val="en-GB"/>
        </w:rPr>
        <w:t>&lt;.001</w:t>
      </w:r>
      <w:r w:rsidR="008104CB">
        <w:rPr>
          <w:rFonts w:ascii="Times New Roman" w:hAnsi="Times New Roman"/>
          <w:color w:val="2E2E2E"/>
          <w:sz w:val="24"/>
          <w:szCs w:val="24"/>
          <w:lang w:val="en-GB"/>
        </w:rPr>
        <w:t>.</w:t>
      </w:r>
    </w:p>
    <w:p w14:paraId="3B157900" w14:textId="41CFBA02" w:rsidR="00BE183B" w:rsidRDefault="00BE183B" w:rsidP="00000CA8">
      <w:pPr>
        <w:ind w:firstLine="0"/>
        <w:rPr>
          <w:rFonts w:ascii="Times New Roman" w:hAnsi="Times New Roman"/>
          <w:b/>
          <w:sz w:val="24"/>
          <w:szCs w:val="24"/>
          <w:lang w:val="en-GB"/>
        </w:rPr>
      </w:pPr>
      <w:r w:rsidRPr="00BE183B">
        <w:rPr>
          <w:rFonts w:ascii="Times New Roman" w:hAnsi="Times New Roman"/>
          <w:b/>
          <w:sz w:val="24"/>
          <w:szCs w:val="24"/>
          <w:lang w:val="en-GB"/>
        </w:rPr>
        <w:t>Description of Attentional Change Task</w:t>
      </w:r>
    </w:p>
    <w:p w14:paraId="286B060C" w14:textId="409BBE87" w:rsidR="00BE183B" w:rsidRPr="00000CA8" w:rsidRDefault="00BE183B" w:rsidP="00BE183B">
      <w:pPr>
        <w:rPr>
          <w:rFonts w:ascii="Times New Roman" w:hAnsi="Times New Roman"/>
          <w:sz w:val="24"/>
          <w:szCs w:val="24"/>
          <w:lang w:val="en-GB"/>
        </w:rPr>
      </w:pPr>
      <w:r w:rsidRPr="00000CA8">
        <w:rPr>
          <w:rFonts w:ascii="Times New Roman" w:hAnsi="Times New Roman"/>
          <w:sz w:val="24"/>
          <w:szCs w:val="24"/>
          <w:lang w:val="en-GB"/>
        </w:rPr>
        <w:t>During the attentional contingency phase, participants viewed 280 trials</w:t>
      </w:r>
      <w:r>
        <w:rPr>
          <w:rFonts w:ascii="Times New Roman" w:hAnsi="Times New Roman"/>
          <w:sz w:val="24"/>
          <w:szCs w:val="24"/>
          <w:lang w:val="en-GB"/>
        </w:rPr>
        <w:t xml:space="preserve"> (240 angry-neutral trials, 40 neutral-neutral trial</w:t>
      </w:r>
      <w:r w:rsidR="00DF311D">
        <w:rPr>
          <w:rFonts w:ascii="Times New Roman" w:hAnsi="Times New Roman"/>
          <w:sz w:val="24"/>
          <w:szCs w:val="24"/>
          <w:lang w:val="en-GB"/>
        </w:rPr>
        <w:t>s) of a modified dot probe task</w:t>
      </w:r>
      <w:r>
        <w:rPr>
          <w:rFonts w:ascii="Times New Roman" w:hAnsi="Times New Roman"/>
          <w:sz w:val="24"/>
          <w:szCs w:val="24"/>
          <w:lang w:val="en-GB"/>
        </w:rPr>
        <w:t xml:space="preserve">. </w:t>
      </w:r>
      <w:r w:rsidRPr="00000CA8">
        <w:rPr>
          <w:rFonts w:ascii="Times New Roman" w:hAnsi="Times New Roman"/>
          <w:sz w:val="24"/>
          <w:szCs w:val="24"/>
          <w:lang w:val="en-GB"/>
        </w:rPr>
        <w:t xml:space="preserve">Each trial began with the presentation of a fixation display (500ms; white cross 1*1 cm at the centre of the screen), on which the participants were requested to focus their gaze. The fixation display was followed by a face pair display (500ms). Participants were presented with pairs of faces of the same actor (e.g. neutral angry), which were 45mm in width and 34mm in height, and presented equidistant from the top and bottom of the fixation cross with a distance of 14mm between them. The face stimuli were displayed on a black background screen with the face stimuli surrounded by a single 58mm wide by 94mm tall white rectangle denoting the general area on the screen on which to focus. Immediately following the faces display, a target probe appeared consisting of an arrowhead pointing either left or right (&lt; or &gt;) in the location previously occupied by one of the faces. Participants were required to determine which probe appeared by pressing one of two specified mouse buttons with the probe remaining on screen until a response was detected. The inter-trial interval was 500ms. In the toward threat condition, the probe consistently appeared in the location previously occupied by the angry face of angry-neutral face pairs, thereby encouraging the emergence of individual differences in the adoption of a bias favouring selective attention to threat. In the away from threat condition, the probe consistently appeared in the location previously occupied by the neutral face of angry-neutral face pairs, thereby encouraging the emergence of individual differences in the adoption of a bias favouring selective attention away from threat and toward neutral stimuli. Participants received a short break every 40 trials. When accuracy in the preceding block fell below 70%, a warning slide was presented during the break, providing an </w:t>
      </w:r>
      <w:r w:rsidRPr="00000CA8">
        <w:rPr>
          <w:rFonts w:ascii="Times New Roman" w:hAnsi="Times New Roman"/>
          <w:sz w:val="24"/>
          <w:szCs w:val="24"/>
          <w:lang w:val="en-GB"/>
        </w:rPr>
        <w:lastRenderedPageBreak/>
        <w:t>opportunity for the experimenter to remind the participant not to compromise accuracy. This phase took approximately 14 minutes to complete.</w:t>
      </w:r>
    </w:p>
    <w:p w14:paraId="26911F50" w14:textId="20701540" w:rsidR="00BE183B" w:rsidRPr="008104CB" w:rsidRDefault="00BE183B" w:rsidP="00EC3DC2">
      <w:pPr>
        <w:rPr>
          <w:rFonts w:ascii="Times New Roman" w:hAnsi="Times New Roman"/>
          <w:sz w:val="24"/>
          <w:szCs w:val="24"/>
          <w:lang w:val="en-GB"/>
        </w:rPr>
      </w:pPr>
      <w:r w:rsidRPr="00000CA8">
        <w:rPr>
          <w:rFonts w:ascii="Times New Roman" w:hAnsi="Times New Roman"/>
          <w:sz w:val="24"/>
          <w:szCs w:val="24"/>
          <w:lang w:val="en-GB"/>
        </w:rPr>
        <w:t xml:space="preserve">The pre- and post-contingency assessment phases comprised of 120 trials of which 40 were neutral-neutral trials and 80 angry-neutral trials where the probe appeared with equal probability behind the angry and neutral stimulus. Each phase took approximately 6 minutes to complete. Reaction times (RTs) and accuracy of responses were recorded. </w:t>
      </w:r>
      <w:r w:rsidR="00684DA2" w:rsidRPr="00000CA8">
        <w:rPr>
          <w:rFonts w:ascii="Times New Roman" w:hAnsi="Times New Roman"/>
          <w:sz w:val="24"/>
          <w:szCs w:val="24"/>
          <w:lang w:val="en-GB"/>
        </w:rPr>
        <w:t xml:space="preserve"> </w:t>
      </w:r>
    </w:p>
    <w:p w14:paraId="561A7C14" w14:textId="676E968F" w:rsidR="0096401E" w:rsidRPr="00000CA8" w:rsidRDefault="0096401E" w:rsidP="00000CA8">
      <w:pPr>
        <w:pStyle w:val="Heading2"/>
        <w:rPr>
          <w:rFonts w:ascii="Times New Roman" w:hAnsi="Times New Roman"/>
          <w:sz w:val="24"/>
          <w:szCs w:val="24"/>
          <w:lang w:val="en-GB"/>
        </w:rPr>
      </w:pPr>
      <w:r w:rsidRPr="00000CA8">
        <w:rPr>
          <w:rFonts w:ascii="Times New Roman" w:hAnsi="Times New Roman"/>
          <w:sz w:val="24"/>
          <w:szCs w:val="24"/>
          <w:lang w:val="en-GB"/>
        </w:rPr>
        <w:t xml:space="preserve">Age and </w:t>
      </w:r>
      <w:r w:rsidR="00D40D16" w:rsidRPr="00000CA8">
        <w:rPr>
          <w:rFonts w:ascii="Times New Roman" w:hAnsi="Times New Roman"/>
          <w:sz w:val="24"/>
          <w:szCs w:val="24"/>
          <w:lang w:val="en-GB"/>
        </w:rPr>
        <w:t>Sex Effects on Anxiety S</w:t>
      </w:r>
      <w:r w:rsidRPr="00000CA8">
        <w:rPr>
          <w:rFonts w:ascii="Times New Roman" w:hAnsi="Times New Roman"/>
          <w:sz w:val="24"/>
          <w:szCs w:val="24"/>
          <w:lang w:val="en-GB"/>
        </w:rPr>
        <w:t>ymptoms</w:t>
      </w:r>
      <w:r w:rsidR="00D40D16" w:rsidRPr="00000CA8">
        <w:rPr>
          <w:rFonts w:ascii="Times New Roman" w:hAnsi="Times New Roman"/>
          <w:sz w:val="24"/>
          <w:szCs w:val="24"/>
          <w:lang w:val="en-GB"/>
        </w:rPr>
        <w:t xml:space="preserve"> and School Concerns at P</w:t>
      </w:r>
      <w:r w:rsidRPr="00000CA8">
        <w:rPr>
          <w:rFonts w:ascii="Times New Roman" w:hAnsi="Times New Roman"/>
          <w:sz w:val="24"/>
          <w:szCs w:val="24"/>
          <w:lang w:val="en-GB"/>
        </w:rPr>
        <w:t>re</w:t>
      </w:r>
      <w:r w:rsidR="00944197" w:rsidRPr="00000CA8">
        <w:rPr>
          <w:rFonts w:ascii="Times New Roman" w:hAnsi="Times New Roman"/>
          <w:sz w:val="24"/>
          <w:szCs w:val="24"/>
          <w:lang w:val="en-GB"/>
        </w:rPr>
        <w:t>-</w:t>
      </w:r>
      <w:r w:rsidR="00D40D16" w:rsidRPr="00000CA8">
        <w:rPr>
          <w:rFonts w:ascii="Times New Roman" w:hAnsi="Times New Roman"/>
          <w:sz w:val="24"/>
          <w:szCs w:val="24"/>
          <w:lang w:val="en-GB"/>
        </w:rPr>
        <w:t xml:space="preserve"> and P</w:t>
      </w:r>
      <w:r w:rsidRPr="00000CA8">
        <w:rPr>
          <w:rFonts w:ascii="Times New Roman" w:hAnsi="Times New Roman"/>
          <w:sz w:val="24"/>
          <w:szCs w:val="24"/>
          <w:lang w:val="en-GB"/>
        </w:rPr>
        <w:t>ost</w:t>
      </w:r>
      <w:r w:rsidR="00944197" w:rsidRPr="00000CA8">
        <w:rPr>
          <w:rFonts w:ascii="Times New Roman" w:hAnsi="Times New Roman"/>
          <w:sz w:val="24"/>
          <w:szCs w:val="24"/>
          <w:lang w:val="en-GB"/>
        </w:rPr>
        <w:t>-</w:t>
      </w:r>
      <w:r w:rsidR="00D40D16" w:rsidRPr="00000CA8">
        <w:rPr>
          <w:rFonts w:ascii="Times New Roman" w:hAnsi="Times New Roman"/>
          <w:sz w:val="24"/>
          <w:szCs w:val="24"/>
          <w:lang w:val="en-GB"/>
        </w:rPr>
        <w:t>T</w:t>
      </w:r>
      <w:r w:rsidRPr="00000CA8">
        <w:rPr>
          <w:rFonts w:ascii="Times New Roman" w:hAnsi="Times New Roman"/>
          <w:sz w:val="24"/>
          <w:szCs w:val="24"/>
          <w:lang w:val="en-GB"/>
        </w:rPr>
        <w:t>ransition</w:t>
      </w:r>
    </w:p>
    <w:p w14:paraId="36B5C31A" w14:textId="0641E5A1" w:rsidR="001552CE" w:rsidRPr="00A73213" w:rsidRDefault="0096401E" w:rsidP="00A73213">
      <w:pPr>
        <w:rPr>
          <w:rFonts w:ascii="Times New Roman" w:hAnsi="Times New Roman"/>
          <w:sz w:val="24"/>
          <w:szCs w:val="24"/>
          <w:lang w:val="en-GB"/>
        </w:rPr>
      </w:pPr>
      <w:r w:rsidRPr="00000CA8">
        <w:rPr>
          <w:rFonts w:ascii="Times New Roman" w:hAnsi="Times New Roman"/>
          <w:sz w:val="24"/>
          <w:szCs w:val="24"/>
          <w:lang w:val="en-GB"/>
        </w:rPr>
        <w:t>No significant correlations with age were observed for any measures at pre</w:t>
      </w:r>
      <w:r w:rsidR="00D40D16" w:rsidRPr="00000CA8">
        <w:rPr>
          <w:rFonts w:ascii="Times New Roman" w:hAnsi="Times New Roman"/>
          <w:sz w:val="24"/>
          <w:szCs w:val="24"/>
          <w:lang w:val="en-GB"/>
        </w:rPr>
        <w:t>-</w:t>
      </w:r>
      <w:r w:rsidRPr="00000CA8">
        <w:rPr>
          <w:rFonts w:ascii="Times New Roman" w:hAnsi="Times New Roman"/>
          <w:sz w:val="24"/>
          <w:szCs w:val="24"/>
          <w:lang w:val="en-GB"/>
        </w:rPr>
        <w:t xml:space="preserve"> or post</w:t>
      </w:r>
      <w:r w:rsidR="00D40D16" w:rsidRPr="00000CA8">
        <w:rPr>
          <w:rFonts w:ascii="Times New Roman" w:hAnsi="Times New Roman"/>
          <w:sz w:val="24"/>
          <w:szCs w:val="24"/>
          <w:lang w:val="en-GB"/>
        </w:rPr>
        <w:t>-</w:t>
      </w:r>
      <w:r w:rsidRPr="00000CA8">
        <w:rPr>
          <w:rFonts w:ascii="Times New Roman" w:hAnsi="Times New Roman"/>
          <w:sz w:val="24"/>
          <w:szCs w:val="24"/>
          <w:lang w:val="en-GB"/>
        </w:rPr>
        <w:t xml:space="preserve"> transition time points. Girls reported significantly higher pre transition school concerns than boys (</w:t>
      </w:r>
      <w:r w:rsidRPr="0089639F">
        <w:rPr>
          <w:rFonts w:ascii="Times New Roman" w:hAnsi="Times New Roman"/>
          <w:i/>
          <w:sz w:val="24"/>
          <w:szCs w:val="24"/>
          <w:lang w:val="en-GB"/>
        </w:rPr>
        <w:t>t</w:t>
      </w:r>
      <w:r w:rsidRPr="00000CA8">
        <w:rPr>
          <w:rFonts w:ascii="Times New Roman" w:hAnsi="Times New Roman"/>
          <w:sz w:val="24"/>
          <w:szCs w:val="24"/>
          <w:lang w:val="en-GB"/>
        </w:rPr>
        <w:t xml:space="preserve"> (107) = 3.41, </w:t>
      </w:r>
      <w:r w:rsidRPr="0089639F">
        <w:rPr>
          <w:rFonts w:ascii="Times New Roman" w:hAnsi="Times New Roman"/>
          <w:i/>
          <w:sz w:val="24"/>
          <w:szCs w:val="24"/>
          <w:lang w:val="en-GB"/>
        </w:rPr>
        <w:t>p</w:t>
      </w:r>
      <w:r w:rsidRPr="00000CA8">
        <w:rPr>
          <w:rFonts w:ascii="Times New Roman" w:hAnsi="Times New Roman"/>
          <w:sz w:val="24"/>
          <w:szCs w:val="24"/>
          <w:lang w:val="en-GB"/>
        </w:rPr>
        <w:t xml:space="preserve"> = .001; 87.67 (30.53) vs. 67.45 (31.27). This was also the case for anxiety symptoms (</w:t>
      </w:r>
      <w:r w:rsidRPr="0089639F">
        <w:rPr>
          <w:rFonts w:ascii="Times New Roman" w:hAnsi="Times New Roman"/>
          <w:i/>
          <w:sz w:val="24"/>
          <w:szCs w:val="24"/>
          <w:lang w:val="en-GB"/>
        </w:rPr>
        <w:t>t</w:t>
      </w:r>
      <w:r w:rsidRPr="00000CA8">
        <w:rPr>
          <w:rFonts w:ascii="Times New Roman" w:hAnsi="Times New Roman"/>
          <w:sz w:val="24"/>
          <w:szCs w:val="24"/>
          <w:lang w:val="en-GB"/>
        </w:rPr>
        <w:t xml:space="preserve"> (107) = 3.69, </w:t>
      </w:r>
      <w:r w:rsidRPr="0089639F">
        <w:rPr>
          <w:rFonts w:ascii="Times New Roman" w:hAnsi="Times New Roman"/>
          <w:i/>
          <w:sz w:val="24"/>
          <w:szCs w:val="24"/>
          <w:lang w:val="en-GB"/>
        </w:rPr>
        <w:t>p</w:t>
      </w:r>
      <w:r w:rsidRPr="00000CA8">
        <w:rPr>
          <w:rFonts w:ascii="Times New Roman" w:hAnsi="Times New Roman"/>
          <w:sz w:val="24"/>
          <w:szCs w:val="24"/>
          <w:lang w:val="en-GB"/>
        </w:rPr>
        <w:t xml:space="preserve"> &lt; .001; 31.31 (14.97) vs. 21.45 (12.65)</w:t>
      </w:r>
      <w:r w:rsidR="00C73069">
        <w:rPr>
          <w:rFonts w:ascii="Times New Roman" w:hAnsi="Times New Roman"/>
          <w:sz w:val="24"/>
          <w:szCs w:val="24"/>
          <w:lang w:val="en-GB"/>
        </w:rPr>
        <w:t xml:space="preserve">. </w:t>
      </w:r>
      <w:r w:rsidRPr="00000CA8">
        <w:rPr>
          <w:rFonts w:ascii="Times New Roman" w:hAnsi="Times New Roman"/>
          <w:sz w:val="24"/>
          <w:szCs w:val="24"/>
          <w:lang w:val="en-GB"/>
        </w:rPr>
        <w:t>No significant difference between boys and girls was observed at post-transition for school concerns (</w:t>
      </w:r>
      <w:r w:rsidRPr="0089639F">
        <w:rPr>
          <w:rFonts w:ascii="Times New Roman" w:hAnsi="Times New Roman"/>
          <w:i/>
          <w:sz w:val="24"/>
          <w:szCs w:val="24"/>
          <w:lang w:val="en-GB"/>
        </w:rPr>
        <w:t>p</w:t>
      </w:r>
      <w:r w:rsidRPr="00000CA8">
        <w:rPr>
          <w:rFonts w:ascii="Times New Roman" w:hAnsi="Times New Roman"/>
          <w:sz w:val="24"/>
          <w:szCs w:val="24"/>
          <w:lang w:val="en-GB"/>
        </w:rPr>
        <w:t xml:space="preserve"> </w:t>
      </w:r>
      <w:r w:rsidR="004A3C43" w:rsidRPr="00000CA8">
        <w:rPr>
          <w:rFonts w:ascii="Times New Roman" w:hAnsi="Times New Roman"/>
          <w:sz w:val="24"/>
          <w:szCs w:val="24"/>
          <w:lang w:val="en-GB"/>
        </w:rPr>
        <w:t>= .260</w:t>
      </w:r>
      <w:r w:rsidRPr="00000CA8">
        <w:rPr>
          <w:rFonts w:ascii="Times New Roman" w:hAnsi="Times New Roman"/>
          <w:sz w:val="24"/>
          <w:szCs w:val="24"/>
          <w:lang w:val="en-GB"/>
        </w:rPr>
        <w:t>), or anxi</w:t>
      </w:r>
      <w:r w:rsidR="00C73069">
        <w:rPr>
          <w:rFonts w:ascii="Times New Roman" w:hAnsi="Times New Roman"/>
          <w:sz w:val="24"/>
          <w:szCs w:val="24"/>
          <w:lang w:val="en-GB"/>
        </w:rPr>
        <w:t>ety symptoms</w:t>
      </w:r>
      <w:r w:rsidRPr="00000CA8">
        <w:rPr>
          <w:rFonts w:ascii="Times New Roman" w:hAnsi="Times New Roman"/>
          <w:sz w:val="24"/>
          <w:szCs w:val="24"/>
          <w:lang w:val="en-GB"/>
        </w:rPr>
        <w:t xml:space="preserve"> (</w:t>
      </w:r>
      <w:r w:rsidRPr="0089639F">
        <w:rPr>
          <w:rFonts w:ascii="Times New Roman" w:hAnsi="Times New Roman"/>
          <w:i/>
          <w:sz w:val="24"/>
          <w:szCs w:val="24"/>
          <w:lang w:val="en-GB"/>
        </w:rPr>
        <w:t>p</w:t>
      </w:r>
      <w:r w:rsidRPr="00000CA8">
        <w:rPr>
          <w:rFonts w:ascii="Times New Roman" w:hAnsi="Times New Roman"/>
          <w:sz w:val="24"/>
          <w:szCs w:val="24"/>
          <w:lang w:val="en-GB"/>
        </w:rPr>
        <w:t xml:space="preserve"> = </w:t>
      </w:r>
      <w:r w:rsidR="004A3C43" w:rsidRPr="00000CA8">
        <w:rPr>
          <w:rFonts w:ascii="Times New Roman" w:hAnsi="Times New Roman"/>
          <w:sz w:val="24"/>
          <w:szCs w:val="24"/>
          <w:lang w:val="en-GB"/>
        </w:rPr>
        <w:t>.125</w:t>
      </w:r>
      <w:r w:rsidRPr="00000CA8">
        <w:rPr>
          <w:rFonts w:ascii="Times New Roman" w:hAnsi="Times New Roman"/>
          <w:sz w:val="24"/>
          <w:szCs w:val="24"/>
          <w:lang w:val="en-GB"/>
        </w:rPr>
        <w:t>)</w:t>
      </w:r>
      <w:r w:rsidR="00C73069">
        <w:rPr>
          <w:rFonts w:ascii="Times New Roman" w:hAnsi="Times New Roman"/>
          <w:sz w:val="24"/>
          <w:szCs w:val="24"/>
          <w:lang w:val="en-GB"/>
        </w:rPr>
        <w:t>.</w:t>
      </w:r>
    </w:p>
    <w:p w14:paraId="2C6D9F9F" w14:textId="2A753AA8" w:rsidR="00E341BD" w:rsidRPr="00000CA8" w:rsidRDefault="00D40D16" w:rsidP="00000CA8">
      <w:pPr>
        <w:pStyle w:val="Heading2"/>
        <w:rPr>
          <w:rFonts w:ascii="Times New Roman" w:hAnsi="Times New Roman"/>
          <w:sz w:val="24"/>
          <w:szCs w:val="24"/>
          <w:lang w:val="en-GB"/>
        </w:rPr>
      </w:pPr>
      <w:r w:rsidRPr="00000CA8">
        <w:rPr>
          <w:rFonts w:ascii="Times New Roman" w:hAnsi="Times New Roman"/>
          <w:sz w:val="24"/>
          <w:szCs w:val="24"/>
          <w:lang w:val="en-GB"/>
        </w:rPr>
        <w:t>Attentional B</w:t>
      </w:r>
      <w:r w:rsidR="00E341BD" w:rsidRPr="00000CA8">
        <w:rPr>
          <w:rFonts w:ascii="Times New Roman" w:hAnsi="Times New Roman"/>
          <w:sz w:val="24"/>
          <w:szCs w:val="24"/>
          <w:lang w:val="en-GB"/>
        </w:rPr>
        <w:t xml:space="preserve">ias </w:t>
      </w:r>
      <w:r w:rsidRPr="00000CA8">
        <w:rPr>
          <w:rFonts w:ascii="Times New Roman" w:hAnsi="Times New Roman"/>
          <w:sz w:val="24"/>
          <w:szCs w:val="24"/>
          <w:lang w:val="en-GB"/>
        </w:rPr>
        <w:t>C</w:t>
      </w:r>
      <w:r w:rsidR="006467BE" w:rsidRPr="00000CA8">
        <w:rPr>
          <w:rFonts w:ascii="Times New Roman" w:hAnsi="Times New Roman"/>
          <w:sz w:val="24"/>
          <w:szCs w:val="24"/>
          <w:lang w:val="en-GB"/>
        </w:rPr>
        <w:t>hange</w:t>
      </w:r>
      <w:r w:rsidRPr="00000CA8">
        <w:rPr>
          <w:rFonts w:ascii="Times New Roman" w:hAnsi="Times New Roman"/>
          <w:sz w:val="24"/>
          <w:szCs w:val="24"/>
          <w:lang w:val="en-GB"/>
        </w:rPr>
        <w:t xml:space="preserve"> – Effect on Attentional Bias at a Sample L</w:t>
      </w:r>
      <w:r w:rsidR="00E341BD" w:rsidRPr="00000CA8">
        <w:rPr>
          <w:rFonts w:ascii="Times New Roman" w:hAnsi="Times New Roman"/>
          <w:sz w:val="24"/>
          <w:szCs w:val="24"/>
          <w:lang w:val="en-GB"/>
        </w:rPr>
        <w:t>evel</w:t>
      </w:r>
    </w:p>
    <w:p w14:paraId="0D0D5BB5" w14:textId="49DF9FF9" w:rsidR="00074983" w:rsidRPr="00000CA8" w:rsidRDefault="002A023A" w:rsidP="00000CA8">
      <w:pPr>
        <w:rPr>
          <w:rFonts w:ascii="Times New Roman" w:hAnsi="Times New Roman"/>
          <w:sz w:val="24"/>
          <w:szCs w:val="24"/>
          <w:lang w:val="en-GB"/>
        </w:rPr>
      </w:pPr>
      <w:r w:rsidRPr="00000CA8">
        <w:rPr>
          <w:rFonts w:ascii="Times New Roman" w:hAnsi="Times New Roman"/>
          <w:sz w:val="24"/>
          <w:szCs w:val="24"/>
          <w:lang w:val="en-GB"/>
        </w:rPr>
        <w:t xml:space="preserve">To determine the impact </w:t>
      </w:r>
      <w:r w:rsidR="00C64A8C" w:rsidRPr="00000CA8">
        <w:rPr>
          <w:rFonts w:ascii="Times New Roman" w:hAnsi="Times New Roman"/>
          <w:sz w:val="24"/>
          <w:szCs w:val="24"/>
          <w:lang w:val="en-GB"/>
        </w:rPr>
        <w:t>of the attentional</w:t>
      </w:r>
      <w:r w:rsidR="0038430F" w:rsidRPr="00000CA8">
        <w:rPr>
          <w:rFonts w:ascii="Times New Roman" w:hAnsi="Times New Roman"/>
          <w:sz w:val="24"/>
          <w:szCs w:val="24"/>
          <w:lang w:val="en-GB"/>
        </w:rPr>
        <w:t xml:space="preserve"> </w:t>
      </w:r>
      <w:r w:rsidR="00C64A8C" w:rsidRPr="00000CA8">
        <w:rPr>
          <w:rFonts w:ascii="Times New Roman" w:hAnsi="Times New Roman"/>
          <w:sz w:val="24"/>
          <w:szCs w:val="24"/>
          <w:lang w:val="en-GB"/>
        </w:rPr>
        <w:t xml:space="preserve">bias </w:t>
      </w:r>
      <w:r w:rsidR="0038430F" w:rsidRPr="00000CA8">
        <w:rPr>
          <w:rFonts w:ascii="Times New Roman" w:hAnsi="Times New Roman"/>
          <w:sz w:val="24"/>
          <w:szCs w:val="24"/>
          <w:lang w:val="en-GB"/>
        </w:rPr>
        <w:t xml:space="preserve">contingency phase on the </w:t>
      </w:r>
      <w:r w:rsidR="00A46A00" w:rsidRPr="00000CA8">
        <w:rPr>
          <w:rFonts w:ascii="Times New Roman" w:hAnsi="Times New Roman"/>
          <w:sz w:val="24"/>
          <w:szCs w:val="24"/>
          <w:lang w:val="en-GB"/>
        </w:rPr>
        <w:t>change in</w:t>
      </w:r>
      <w:r w:rsidR="0038430F" w:rsidRPr="00000CA8">
        <w:rPr>
          <w:rFonts w:ascii="Times New Roman" w:hAnsi="Times New Roman"/>
          <w:sz w:val="24"/>
          <w:szCs w:val="24"/>
          <w:lang w:val="en-GB"/>
        </w:rPr>
        <w:t xml:space="preserve"> attentional bias </w:t>
      </w:r>
      <w:r w:rsidR="00DE7D40" w:rsidRPr="00000CA8">
        <w:rPr>
          <w:rFonts w:ascii="Times New Roman" w:hAnsi="Times New Roman"/>
          <w:sz w:val="24"/>
          <w:szCs w:val="24"/>
          <w:lang w:val="en-GB"/>
        </w:rPr>
        <w:t xml:space="preserve">toward and away from </w:t>
      </w:r>
      <w:r w:rsidR="0038430F" w:rsidRPr="00000CA8">
        <w:rPr>
          <w:rFonts w:ascii="Times New Roman" w:hAnsi="Times New Roman"/>
          <w:sz w:val="24"/>
          <w:szCs w:val="24"/>
          <w:lang w:val="en-GB"/>
        </w:rPr>
        <w:t>threat stimuli</w:t>
      </w:r>
      <w:r w:rsidR="002F2ABF" w:rsidRPr="00000CA8">
        <w:rPr>
          <w:rFonts w:ascii="Times New Roman" w:hAnsi="Times New Roman"/>
          <w:sz w:val="24"/>
          <w:szCs w:val="24"/>
          <w:lang w:val="en-GB"/>
        </w:rPr>
        <w:t>, mean RTs were entered into a mixed ANOVA with time</w:t>
      </w:r>
      <w:r w:rsidR="00A46A00" w:rsidRPr="00000CA8">
        <w:rPr>
          <w:rFonts w:ascii="Times New Roman" w:hAnsi="Times New Roman"/>
          <w:sz w:val="24"/>
          <w:szCs w:val="24"/>
          <w:lang w:val="en-GB"/>
        </w:rPr>
        <w:t xml:space="preserve"> (pre, post</w:t>
      </w:r>
      <w:r w:rsidR="003F17BF" w:rsidRPr="00000CA8">
        <w:rPr>
          <w:rFonts w:ascii="Times New Roman" w:hAnsi="Times New Roman"/>
          <w:sz w:val="24"/>
          <w:szCs w:val="24"/>
          <w:lang w:val="en-GB"/>
        </w:rPr>
        <w:t>) and Probe valence (probe behind neutral, probe behind threat stimulus) as within subjects variables and Order (threat</w:t>
      </w:r>
      <w:r w:rsidR="002E45EE" w:rsidRPr="00000CA8">
        <w:rPr>
          <w:rFonts w:ascii="Times New Roman" w:hAnsi="Times New Roman"/>
          <w:sz w:val="24"/>
          <w:szCs w:val="24"/>
          <w:lang w:val="en-GB"/>
        </w:rPr>
        <w:t xml:space="preserve"> (neutral)</w:t>
      </w:r>
      <w:r w:rsidR="003F17BF" w:rsidRPr="00000CA8">
        <w:rPr>
          <w:rFonts w:ascii="Times New Roman" w:hAnsi="Times New Roman"/>
          <w:sz w:val="24"/>
          <w:szCs w:val="24"/>
          <w:lang w:val="en-GB"/>
        </w:rPr>
        <w:t xml:space="preserve"> </w:t>
      </w:r>
      <w:r w:rsidR="00A46A00" w:rsidRPr="00000CA8">
        <w:rPr>
          <w:rFonts w:ascii="Times New Roman" w:hAnsi="Times New Roman"/>
          <w:sz w:val="24"/>
          <w:szCs w:val="24"/>
          <w:lang w:val="en-GB"/>
        </w:rPr>
        <w:t>contingency</w:t>
      </w:r>
      <w:r w:rsidR="003F17BF" w:rsidRPr="00000CA8">
        <w:rPr>
          <w:rFonts w:ascii="Times New Roman" w:hAnsi="Times New Roman"/>
          <w:sz w:val="24"/>
          <w:szCs w:val="24"/>
          <w:lang w:val="en-GB"/>
        </w:rPr>
        <w:t xml:space="preserve"> condition received 1</w:t>
      </w:r>
      <w:r w:rsidR="003F17BF" w:rsidRPr="00000CA8">
        <w:rPr>
          <w:rFonts w:ascii="Times New Roman" w:hAnsi="Times New Roman"/>
          <w:sz w:val="24"/>
          <w:szCs w:val="24"/>
          <w:vertAlign w:val="superscript"/>
          <w:lang w:val="en-GB"/>
        </w:rPr>
        <w:t>st</w:t>
      </w:r>
      <w:r w:rsidR="003F17BF" w:rsidRPr="00000CA8">
        <w:rPr>
          <w:rFonts w:ascii="Times New Roman" w:hAnsi="Times New Roman"/>
          <w:sz w:val="24"/>
          <w:szCs w:val="24"/>
          <w:lang w:val="en-GB"/>
        </w:rPr>
        <w:t xml:space="preserve"> or 2</w:t>
      </w:r>
      <w:r w:rsidR="003F17BF" w:rsidRPr="00000CA8">
        <w:rPr>
          <w:rFonts w:ascii="Times New Roman" w:hAnsi="Times New Roman"/>
          <w:sz w:val="24"/>
          <w:szCs w:val="24"/>
          <w:vertAlign w:val="superscript"/>
          <w:lang w:val="en-GB"/>
        </w:rPr>
        <w:t>nd</w:t>
      </w:r>
      <w:r w:rsidR="003F17BF" w:rsidRPr="00000CA8">
        <w:rPr>
          <w:rFonts w:ascii="Times New Roman" w:hAnsi="Times New Roman"/>
          <w:sz w:val="24"/>
          <w:szCs w:val="24"/>
          <w:lang w:val="en-GB"/>
        </w:rPr>
        <w:t xml:space="preserve">) as a between subjects variable. </w:t>
      </w:r>
      <w:r w:rsidR="007A5AA9" w:rsidRPr="00000CA8">
        <w:rPr>
          <w:rFonts w:ascii="Times New Roman" w:hAnsi="Times New Roman"/>
          <w:sz w:val="24"/>
          <w:szCs w:val="24"/>
          <w:lang w:val="en-GB"/>
        </w:rPr>
        <w:t xml:space="preserve">This analysis was performed separately for each attentional contingency condition. </w:t>
      </w:r>
      <w:r w:rsidR="00C84578" w:rsidRPr="00000CA8">
        <w:rPr>
          <w:rFonts w:ascii="Times New Roman" w:hAnsi="Times New Roman"/>
          <w:sz w:val="24"/>
          <w:szCs w:val="24"/>
          <w:lang w:val="en-GB"/>
        </w:rPr>
        <w:t>The critical Time x Probe Valence intera</w:t>
      </w:r>
      <w:r w:rsidR="002E45EE" w:rsidRPr="00000CA8">
        <w:rPr>
          <w:rFonts w:ascii="Times New Roman" w:hAnsi="Times New Roman"/>
          <w:sz w:val="24"/>
          <w:szCs w:val="24"/>
          <w:lang w:val="en-GB"/>
        </w:rPr>
        <w:t>ctio</w:t>
      </w:r>
      <w:r w:rsidR="00983591" w:rsidRPr="00000CA8">
        <w:rPr>
          <w:rFonts w:ascii="Times New Roman" w:hAnsi="Times New Roman"/>
          <w:sz w:val="24"/>
          <w:szCs w:val="24"/>
          <w:lang w:val="en-GB"/>
        </w:rPr>
        <w:t>n</w:t>
      </w:r>
      <w:r w:rsidR="002E45EE" w:rsidRPr="00000CA8">
        <w:rPr>
          <w:rFonts w:ascii="Times New Roman" w:hAnsi="Times New Roman"/>
          <w:sz w:val="24"/>
          <w:szCs w:val="24"/>
          <w:lang w:val="en-GB"/>
        </w:rPr>
        <w:t xml:space="preserve"> w</w:t>
      </w:r>
      <w:r w:rsidR="00983591" w:rsidRPr="00000CA8">
        <w:rPr>
          <w:rFonts w:ascii="Times New Roman" w:hAnsi="Times New Roman"/>
          <w:sz w:val="24"/>
          <w:szCs w:val="24"/>
          <w:lang w:val="en-GB"/>
        </w:rPr>
        <w:t xml:space="preserve">as </w:t>
      </w:r>
      <w:r w:rsidR="002E45EE" w:rsidRPr="00000CA8">
        <w:rPr>
          <w:rFonts w:ascii="Times New Roman" w:hAnsi="Times New Roman"/>
          <w:sz w:val="24"/>
          <w:szCs w:val="24"/>
          <w:lang w:val="en-GB"/>
        </w:rPr>
        <w:t xml:space="preserve">non-significant for the </w:t>
      </w:r>
      <w:r w:rsidR="00DE7D40" w:rsidRPr="00000CA8">
        <w:rPr>
          <w:rFonts w:ascii="Times New Roman" w:hAnsi="Times New Roman"/>
          <w:sz w:val="24"/>
          <w:szCs w:val="24"/>
          <w:lang w:val="en-GB"/>
        </w:rPr>
        <w:t xml:space="preserve">toward </w:t>
      </w:r>
      <w:r w:rsidR="00506064" w:rsidRPr="00000CA8">
        <w:rPr>
          <w:rFonts w:ascii="Times New Roman" w:hAnsi="Times New Roman"/>
          <w:sz w:val="24"/>
          <w:szCs w:val="24"/>
          <w:lang w:val="en-GB"/>
        </w:rPr>
        <w:t xml:space="preserve">threat </w:t>
      </w:r>
      <w:r w:rsidR="00983591" w:rsidRPr="00000CA8">
        <w:rPr>
          <w:rFonts w:ascii="Times New Roman" w:hAnsi="Times New Roman"/>
          <w:sz w:val="24"/>
          <w:szCs w:val="24"/>
          <w:lang w:val="en-GB"/>
        </w:rPr>
        <w:t>contingency condition</w:t>
      </w:r>
      <w:r w:rsidR="00506064" w:rsidRPr="00000CA8">
        <w:rPr>
          <w:rFonts w:ascii="Times New Roman" w:hAnsi="Times New Roman"/>
          <w:sz w:val="24"/>
          <w:szCs w:val="24"/>
          <w:lang w:val="en-GB"/>
        </w:rPr>
        <w:t xml:space="preserve"> (</w:t>
      </w:r>
      <w:r w:rsidR="00506064" w:rsidRPr="0089639F">
        <w:rPr>
          <w:rFonts w:ascii="Times New Roman" w:hAnsi="Times New Roman"/>
          <w:i/>
          <w:sz w:val="24"/>
          <w:szCs w:val="24"/>
          <w:lang w:val="en-GB"/>
        </w:rPr>
        <w:t>F</w:t>
      </w:r>
      <w:r w:rsidR="00506064" w:rsidRPr="00000CA8">
        <w:rPr>
          <w:rFonts w:ascii="Times New Roman" w:hAnsi="Times New Roman"/>
          <w:sz w:val="24"/>
          <w:szCs w:val="24"/>
          <w:lang w:val="en-GB"/>
        </w:rPr>
        <w:t xml:space="preserve"> (</w:t>
      </w:r>
      <w:r w:rsidR="00DB596F" w:rsidRPr="00000CA8">
        <w:rPr>
          <w:rFonts w:ascii="Times New Roman" w:hAnsi="Times New Roman"/>
          <w:sz w:val="24"/>
          <w:szCs w:val="24"/>
          <w:lang w:val="en-GB"/>
        </w:rPr>
        <w:t>1, 98</w:t>
      </w:r>
      <w:r w:rsidR="00DA04D5" w:rsidRPr="00000CA8">
        <w:rPr>
          <w:rFonts w:ascii="Times New Roman" w:hAnsi="Times New Roman"/>
          <w:sz w:val="24"/>
          <w:szCs w:val="24"/>
          <w:lang w:val="en-GB"/>
        </w:rPr>
        <w:t>) = 0.07</w:t>
      </w:r>
      <w:r w:rsidR="002619F8" w:rsidRPr="00000CA8">
        <w:rPr>
          <w:rFonts w:ascii="Times New Roman" w:hAnsi="Times New Roman"/>
          <w:sz w:val="24"/>
          <w:szCs w:val="24"/>
          <w:lang w:val="en-GB"/>
        </w:rPr>
        <w:t xml:space="preserve">, </w:t>
      </w:r>
      <w:r w:rsidR="002619F8" w:rsidRPr="0089639F">
        <w:rPr>
          <w:rFonts w:ascii="Times New Roman" w:hAnsi="Times New Roman"/>
          <w:i/>
          <w:sz w:val="24"/>
          <w:szCs w:val="24"/>
          <w:lang w:val="en-GB"/>
        </w:rPr>
        <w:t>p</w:t>
      </w:r>
      <w:r w:rsidR="002619F8" w:rsidRPr="00000CA8">
        <w:rPr>
          <w:rFonts w:ascii="Times New Roman" w:hAnsi="Times New Roman"/>
          <w:sz w:val="24"/>
          <w:szCs w:val="24"/>
          <w:lang w:val="en-GB"/>
        </w:rPr>
        <w:t xml:space="preserve"> </w:t>
      </w:r>
      <w:r w:rsidR="00DA04D5" w:rsidRPr="00000CA8">
        <w:rPr>
          <w:rFonts w:ascii="Times New Roman" w:hAnsi="Times New Roman"/>
          <w:sz w:val="24"/>
          <w:szCs w:val="24"/>
          <w:lang w:val="en-GB"/>
        </w:rPr>
        <w:t>= .790</w:t>
      </w:r>
      <w:r w:rsidR="00F65EF9" w:rsidRPr="00000CA8">
        <w:rPr>
          <w:rFonts w:ascii="Times New Roman" w:hAnsi="Times New Roman"/>
          <w:sz w:val="24"/>
          <w:szCs w:val="24"/>
          <w:lang w:val="en-GB"/>
        </w:rPr>
        <w:t>)</w:t>
      </w:r>
      <w:r w:rsidR="00983591" w:rsidRPr="00000CA8">
        <w:rPr>
          <w:rFonts w:ascii="Times New Roman" w:hAnsi="Times New Roman"/>
          <w:sz w:val="24"/>
          <w:szCs w:val="24"/>
          <w:lang w:val="en-GB"/>
        </w:rPr>
        <w:t xml:space="preserve">. For the </w:t>
      </w:r>
      <w:r w:rsidR="00DE7D40" w:rsidRPr="00000CA8">
        <w:rPr>
          <w:rFonts w:ascii="Times New Roman" w:hAnsi="Times New Roman"/>
          <w:sz w:val="24"/>
          <w:szCs w:val="24"/>
          <w:lang w:val="en-GB"/>
        </w:rPr>
        <w:t>avoid threat</w:t>
      </w:r>
      <w:r w:rsidR="00983591" w:rsidRPr="00000CA8">
        <w:rPr>
          <w:rFonts w:ascii="Times New Roman" w:hAnsi="Times New Roman"/>
          <w:sz w:val="24"/>
          <w:szCs w:val="24"/>
          <w:lang w:val="en-GB"/>
        </w:rPr>
        <w:t xml:space="preserve"> contingency condition</w:t>
      </w:r>
      <w:r w:rsidR="00F65EF9" w:rsidRPr="00000CA8">
        <w:rPr>
          <w:rFonts w:ascii="Times New Roman" w:hAnsi="Times New Roman"/>
          <w:sz w:val="24"/>
          <w:szCs w:val="24"/>
          <w:lang w:val="en-GB"/>
        </w:rPr>
        <w:t xml:space="preserve">, there was a </w:t>
      </w:r>
      <w:r w:rsidR="004B42C4" w:rsidRPr="00000CA8">
        <w:rPr>
          <w:rFonts w:ascii="Times New Roman" w:hAnsi="Times New Roman"/>
          <w:sz w:val="24"/>
          <w:szCs w:val="24"/>
          <w:lang w:val="en-GB"/>
        </w:rPr>
        <w:t>significant Time x Probe Valence x Order interaction (</w:t>
      </w:r>
      <w:r w:rsidR="004B42C4" w:rsidRPr="0089639F">
        <w:rPr>
          <w:rFonts w:ascii="Times New Roman" w:hAnsi="Times New Roman"/>
          <w:i/>
          <w:sz w:val="24"/>
          <w:szCs w:val="24"/>
          <w:lang w:val="en-GB"/>
        </w:rPr>
        <w:t>F</w:t>
      </w:r>
      <w:r w:rsidR="000F528D" w:rsidRPr="00000CA8">
        <w:rPr>
          <w:rFonts w:ascii="Times New Roman" w:hAnsi="Times New Roman"/>
          <w:sz w:val="24"/>
          <w:szCs w:val="24"/>
          <w:lang w:val="en-GB"/>
        </w:rPr>
        <w:t xml:space="preserve"> (1, 94) = 4.96</w:t>
      </w:r>
      <w:r w:rsidR="004B42C4" w:rsidRPr="00000CA8">
        <w:rPr>
          <w:rFonts w:ascii="Times New Roman" w:hAnsi="Times New Roman"/>
          <w:sz w:val="24"/>
          <w:szCs w:val="24"/>
          <w:lang w:val="en-GB"/>
        </w:rPr>
        <w:t xml:space="preserve">, </w:t>
      </w:r>
      <w:r w:rsidR="004B42C4" w:rsidRPr="0089639F">
        <w:rPr>
          <w:rFonts w:ascii="Times New Roman" w:hAnsi="Times New Roman"/>
          <w:i/>
          <w:sz w:val="24"/>
          <w:szCs w:val="24"/>
          <w:lang w:val="en-GB"/>
        </w:rPr>
        <w:t>p</w:t>
      </w:r>
      <w:r w:rsidR="004B42C4" w:rsidRPr="00000CA8">
        <w:rPr>
          <w:rFonts w:ascii="Times New Roman" w:hAnsi="Times New Roman"/>
          <w:sz w:val="24"/>
          <w:szCs w:val="24"/>
          <w:lang w:val="en-GB"/>
        </w:rPr>
        <w:t xml:space="preserve"> </w:t>
      </w:r>
      <w:r w:rsidR="000F528D" w:rsidRPr="00000CA8">
        <w:rPr>
          <w:rFonts w:ascii="Times New Roman" w:hAnsi="Times New Roman"/>
          <w:sz w:val="24"/>
          <w:szCs w:val="24"/>
          <w:lang w:val="en-GB"/>
        </w:rPr>
        <w:t>= .028</w:t>
      </w:r>
      <w:r w:rsidR="004B42C4" w:rsidRPr="00000CA8">
        <w:rPr>
          <w:rFonts w:ascii="Times New Roman" w:hAnsi="Times New Roman"/>
          <w:sz w:val="24"/>
          <w:szCs w:val="24"/>
          <w:lang w:val="en-GB"/>
        </w:rPr>
        <w:t xml:space="preserve">). To interpret this effect, we independently tested the Time x Probe Valence interaction in the subset of the sample who received the </w:t>
      </w:r>
      <w:r w:rsidR="00DE7D40" w:rsidRPr="00000CA8">
        <w:rPr>
          <w:rFonts w:ascii="Times New Roman" w:hAnsi="Times New Roman"/>
          <w:sz w:val="24"/>
          <w:szCs w:val="24"/>
          <w:lang w:val="en-GB"/>
        </w:rPr>
        <w:t>avoid threat</w:t>
      </w:r>
      <w:r w:rsidR="004B42C4" w:rsidRPr="00000CA8">
        <w:rPr>
          <w:rFonts w:ascii="Times New Roman" w:hAnsi="Times New Roman"/>
          <w:sz w:val="24"/>
          <w:szCs w:val="24"/>
          <w:lang w:val="en-GB"/>
        </w:rPr>
        <w:t xml:space="preserve"> </w:t>
      </w:r>
      <w:r w:rsidR="004B42C4" w:rsidRPr="00000CA8">
        <w:rPr>
          <w:rFonts w:ascii="Times New Roman" w:hAnsi="Times New Roman"/>
          <w:sz w:val="24"/>
          <w:szCs w:val="24"/>
          <w:lang w:val="en-GB"/>
        </w:rPr>
        <w:lastRenderedPageBreak/>
        <w:t xml:space="preserve">contingency condition first and second respectively. For those who received </w:t>
      </w:r>
      <w:r w:rsidR="00DE7D40" w:rsidRPr="00000CA8">
        <w:rPr>
          <w:rFonts w:ascii="Times New Roman" w:hAnsi="Times New Roman"/>
          <w:sz w:val="24"/>
          <w:szCs w:val="24"/>
          <w:lang w:val="en-GB"/>
        </w:rPr>
        <w:t>the avoid threat</w:t>
      </w:r>
      <w:r w:rsidR="004B42C4" w:rsidRPr="00000CA8">
        <w:rPr>
          <w:rFonts w:ascii="Times New Roman" w:hAnsi="Times New Roman"/>
          <w:sz w:val="24"/>
          <w:szCs w:val="24"/>
          <w:lang w:val="en-GB"/>
        </w:rPr>
        <w:t xml:space="preserve"> contingency condition second, the critical Time x Probe valence interaction was non-signi</w:t>
      </w:r>
      <w:r w:rsidR="00554170" w:rsidRPr="00000CA8">
        <w:rPr>
          <w:rFonts w:ascii="Times New Roman" w:hAnsi="Times New Roman"/>
          <w:sz w:val="24"/>
          <w:szCs w:val="24"/>
          <w:lang w:val="en-GB"/>
        </w:rPr>
        <w:t>ficant. However, the T</w:t>
      </w:r>
      <w:r w:rsidR="004B42C4" w:rsidRPr="00000CA8">
        <w:rPr>
          <w:rFonts w:ascii="Times New Roman" w:hAnsi="Times New Roman"/>
          <w:sz w:val="24"/>
          <w:szCs w:val="24"/>
          <w:lang w:val="en-GB"/>
        </w:rPr>
        <w:t xml:space="preserve">ime x Probe valence interaction was significant for those who received the </w:t>
      </w:r>
      <w:r w:rsidR="00DE7D40" w:rsidRPr="00000CA8">
        <w:rPr>
          <w:rFonts w:ascii="Times New Roman" w:hAnsi="Times New Roman"/>
          <w:sz w:val="24"/>
          <w:szCs w:val="24"/>
          <w:lang w:val="en-GB"/>
        </w:rPr>
        <w:t>avoid threat</w:t>
      </w:r>
      <w:r w:rsidR="004B42C4" w:rsidRPr="00000CA8">
        <w:rPr>
          <w:rFonts w:ascii="Times New Roman" w:hAnsi="Times New Roman"/>
          <w:sz w:val="24"/>
          <w:szCs w:val="24"/>
          <w:lang w:val="en-GB"/>
        </w:rPr>
        <w:t xml:space="preserve"> contingency condition first (</w:t>
      </w:r>
      <w:r w:rsidR="004B42C4" w:rsidRPr="00EC680C">
        <w:rPr>
          <w:rFonts w:ascii="Times New Roman" w:hAnsi="Times New Roman"/>
          <w:i/>
          <w:sz w:val="24"/>
          <w:szCs w:val="24"/>
          <w:lang w:val="en-GB"/>
        </w:rPr>
        <w:t>F</w:t>
      </w:r>
      <w:r w:rsidR="00554170" w:rsidRPr="00000CA8">
        <w:rPr>
          <w:rFonts w:ascii="Times New Roman" w:hAnsi="Times New Roman"/>
          <w:sz w:val="24"/>
          <w:szCs w:val="24"/>
          <w:lang w:val="en-GB"/>
        </w:rPr>
        <w:t xml:space="preserve"> (1, 43) = 5.77</w:t>
      </w:r>
      <w:r w:rsidR="004B42C4" w:rsidRPr="00000CA8">
        <w:rPr>
          <w:rFonts w:ascii="Times New Roman" w:hAnsi="Times New Roman"/>
          <w:sz w:val="24"/>
          <w:szCs w:val="24"/>
          <w:lang w:val="en-GB"/>
        </w:rPr>
        <w:t xml:space="preserve">, </w:t>
      </w:r>
      <w:r w:rsidR="004B42C4" w:rsidRPr="00EC680C">
        <w:rPr>
          <w:rFonts w:ascii="Times New Roman" w:hAnsi="Times New Roman"/>
          <w:i/>
          <w:sz w:val="24"/>
          <w:szCs w:val="24"/>
          <w:lang w:val="en-GB"/>
        </w:rPr>
        <w:t>p</w:t>
      </w:r>
      <w:r w:rsidR="004B42C4" w:rsidRPr="00000CA8">
        <w:rPr>
          <w:rFonts w:ascii="Times New Roman" w:hAnsi="Times New Roman"/>
          <w:sz w:val="24"/>
          <w:szCs w:val="24"/>
          <w:lang w:val="en-GB"/>
        </w:rPr>
        <w:t xml:space="preserve"> </w:t>
      </w:r>
      <w:r w:rsidR="00554170" w:rsidRPr="00000CA8">
        <w:rPr>
          <w:rFonts w:ascii="Times New Roman" w:hAnsi="Times New Roman"/>
          <w:sz w:val="24"/>
          <w:szCs w:val="24"/>
          <w:lang w:val="en-GB"/>
        </w:rPr>
        <w:t>= .021</w:t>
      </w:r>
      <w:r w:rsidR="004B42C4" w:rsidRPr="00000CA8">
        <w:rPr>
          <w:rFonts w:ascii="Times New Roman" w:hAnsi="Times New Roman"/>
          <w:sz w:val="24"/>
          <w:szCs w:val="24"/>
          <w:lang w:val="en-GB"/>
        </w:rPr>
        <w:t xml:space="preserve">. Participants were significantly faster to respond to probes that appeared behind both neutral and threat stimuli at post evocation compared to pre evocation. However, contrary to </w:t>
      </w:r>
      <w:r w:rsidR="00AF19EC" w:rsidRPr="00000CA8">
        <w:rPr>
          <w:rFonts w:ascii="Times New Roman" w:hAnsi="Times New Roman"/>
          <w:sz w:val="24"/>
          <w:szCs w:val="24"/>
          <w:lang w:val="en-GB"/>
        </w:rPr>
        <w:t>expectations</w:t>
      </w:r>
      <w:r w:rsidR="004B42C4" w:rsidRPr="00000CA8">
        <w:rPr>
          <w:rFonts w:ascii="Times New Roman" w:hAnsi="Times New Roman"/>
          <w:sz w:val="24"/>
          <w:szCs w:val="24"/>
          <w:lang w:val="en-GB"/>
        </w:rPr>
        <w:t xml:space="preserve">, the magnitude of this speeding in response was larger when the probe appeared behind threat (pre: </w:t>
      </w:r>
      <w:r w:rsidR="00554170" w:rsidRPr="00000CA8">
        <w:rPr>
          <w:rFonts w:ascii="Times New Roman" w:hAnsi="Times New Roman"/>
          <w:sz w:val="24"/>
          <w:szCs w:val="24"/>
          <w:lang w:val="en-GB"/>
        </w:rPr>
        <w:t>611.0</w:t>
      </w:r>
      <w:r w:rsidR="00AF19EC" w:rsidRPr="00000CA8">
        <w:rPr>
          <w:rFonts w:ascii="Times New Roman" w:hAnsi="Times New Roman"/>
          <w:sz w:val="24"/>
          <w:szCs w:val="24"/>
          <w:lang w:val="en-GB"/>
        </w:rPr>
        <w:t xml:space="preserve">3ms </w:t>
      </w:r>
      <w:r w:rsidR="004B42C4" w:rsidRPr="00000CA8">
        <w:rPr>
          <w:rFonts w:ascii="Times New Roman" w:hAnsi="Times New Roman"/>
          <w:sz w:val="24"/>
          <w:szCs w:val="24"/>
          <w:lang w:val="en-GB"/>
        </w:rPr>
        <w:t xml:space="preserve">post: </w:t>
      </w:r>
      <w:r w:rsidR="00554170" w:rsidRPr="00000CA8">
        <w:rPr>
          <w:rFonts w:ascii="Times New Roman" w:hAnsi="Times New Roman"/>
          <w:sz w:val="24"/>
          <w:szCs w:val="24"/>
          <w:lang w:val="en-GB"/>
        </w:rPr>
        <w:t>559.18</w:t>
      </w:r>
      <w:r w:rsidR="00AF19EC" w:rsidRPr="00000CA8">
        <w:rPr>
          <w:rFonts w:ascii="Times New Roman" w:hAnsi="Times New Roman"/>
          <w:sz w:val="24"/>
          <w:szCs w:val="24"/>
          <w:lang w:val="en-GB"/>
        </w:rPr>
        <w:t xml:space="preserve">ms) </w:t>
      </w:r>
      <w:r w:rsidR="004B42C4" w:rsidRPr="00000CA8">
        <w:rPr>
          <w:rFonts w:ascii="Times New Roman" w:hAnsi="Times New Roman"/>
          <w:sz w:val="24"/>
          <w:szCs w:val="24"/>
          <w:lang w:val="en-GB"/>
        </w:rPr>
        <w:t>stimuli relative to neutral stimuli</w:t>
      </w:r>
      <w:r w:rsidR="00554170" w:rsidRPr="00000CA8">
        <w:rPr>
          <w:rFonts w:ascii="Times New Roman" w:hAnsi="Times New Roman"/>
          <w:sz w:val="24"/>
          <w:szCs w:val="24"/>
          <w:lang w:val="en-GB"/>
        </w:rPr>
        <w:t xml:space="preserve"> (pre: 602.79 post: 571.12</w:t>
      </w:r>
      <w:r w:rsidR="00AF19EC" w:rsidRPr="00000CA8">
        <w:rPr>
          <w:rFonts w:ascii="Times New Roman" w:hAnsi="Times New Roman"/>
          <w:sz w:val="24"/>
          <w:szCs w:val="24"/>
          <w:lang w:val="en-GB"/>
        </w:rPr>
        <w:t>)</w:t>
      </w:r>
      <w:r w:rsidR="004B42C4" w:rsidRPr="00000CA8">
        <w:rPr>
          <w:rFonts w:ascii="Times New Roman" w:hAnsi="Times New Roman"/>
          <w:sz w:val="24"/>
          <w:szCs w:val="24"/>
          <w:lang w:val="en-GB"/>
        </w:rPr>
        <w:t xml:space="preserve">. </w:t>
      </w:r>
      <w:r w:rsidR="000F528D" w:rsidRPr="00000CA8">
        <w:rPr>
          <w:rFonts w:ascii="Times New Roman" w:hAnsi="Times New Roman"/>
          <w:sz w:val="24"/>
          <w:szCs w:val="24"/>
          <w:lang w:val="en-GB"/>
        </w:rPr>
        <w:t>O</w:t>
      </w:r>
      <w:r w:rsidR="00AF19EC" w:rsidRPr="00000CA8">
        <w:rPr>
          <w:rFonts w:ascii="Times New Roman" w:hAnsi="Times New Roman"/>
          <w:sz w:val="24"/>
          <w:szCs w:val="24"/>
          <w:lang w:val="en-GB"/>
        </w:rPr>
        <w:t xml:space="preserve">verall, at a sample level, the attentional bias contingency phase was ineffective at evoking an attentional bias </w:t>
      </w:r>
      <w:r w:rsidR="00DE7D40" w:rsidRPr="00000CA8">
        <w:rPr>
          <w:rFonts w:ascii="Times New Roman" w:hAnsi="Times New Roman"/>
          <w:sz w:val="24"/>
          <w:szCs w:val="24"/>
          <w:lang w:val="en-GB"/>
        </w:rPr>
        <w:t>toward or away from</w:t>
      </w:r>
      <w:r w:rsidR="00AF19EC" w:rsidRPr="00000CA8">
        <w:rPr>
          <w:rFonts w:ascii="Times New Roman" w:hAnsi="Times New Roman"/>
          <w:sz w:val="24"/>
          <w:szCs w:val="24"/>
          <w:lang w:val="en-GB"/>
        </w:rPr>
        <w:t xml:space="preserve"> threat stimuli. </w:t>
      </w:r>
    </w:p>
    <w:p w14:paraId="1B54600F" w14:textId="6126B45E" w:rsidR="00F612DC" w:rsidRPr="00000CA8" w:rsidRDefault="00F612DC" w:rsidP="00000CA8">
      <w:pPr>
        <w:pStyle w:val="Heading2"/>
        <w:rPr>
          <w:rFonts w:ascii="Times New Roman" w:hAnsi="Times New Roman"/>
          <w:sz w:val="24"/>
          <w:szCs w:val="24"/>
          <w:lang w:val="en-GB"/>
        </w:rPr>
      </w:pPr>
      <w:r w:rsidRPr="00000CA8">
        <w:rPr>
          <w:rFonts w:ascii="Times New Roman" w:hAnsi="Times New Roman"/>
          <w:sz w:val="24"/>
          <w:szCs w:val="24"/>
          <w:lang w:val="en-GB"/>
        </w:rPr>
        <w:t xml:space="preserve">Variability in </w:t>
      </w:r>
      <w:r w:rsidR="00D40D16" w:rsidRPr="00000CA8">
        <w:rPr>
          <w:rFonts w:ascii="Times New Roman" w:hAnsi="Times New Roman"/>
          <w:sz w:val="24"/>
          <w:szCs w:val="24"/>
          <w:lang w:val="en-GB"/>
        </w:rPr>
        <w:t>the Magnitude of C</w:t>
      </w:r>
      <w:r w:rsidR="00A46A00" w:rsidRPr="00000CA8">
        <w:rPr>
          <w:rFonts w:ascii="Times New Roman" w:hAnsi="Times New Roman"/>
          <w:sz w:val="24"/>
          <w:szCs w:val="24"/>
          <w:lang w:val="en-GB"/>
        </w:rPr>
        <w:t>hange in</w:t>
      </w:r>
      <w:r w:rsidR="00D40D16" w:rsidRPr="00000CA8">
        <w:rPr>
          <w:rFonts w:ascii="Times New Roman" w:hAnsi="Times New Roman"/>
          <w:sz w:val="24"/>
          <w:szCs w:val="24"/>
          <w:lang w:val="en-GB"/>
        </w:rPr>
        <w:t xml:space="preserve"> Attentional Bias to Emotional S</w:t>
      </w:r>
      <w:r w:rsidRPr="00000CA8">
        <w:rPr>
          <w:rFonts w:ascii="Times New Roman" w:hAnsi="Times New Roman"/>
          <w:sz w:val="24"/>
          <w:szCs w:val="24"/>
          <w:lang w:val="en-GB"/>
        </w:rPr>
        <w:t>timuli</w:t>
      </w:r>
    </w:p>
    <w:p w14:paraId="03249B62" w14:textId="09D629BF" w:rsidR="00F612DC" w:rsidRPr="00000CA8" w:rsidRDefault="006467BE" w:rsidP="00000CA8">
      <w:pPr>
        <w:rPr>
          <w:rFonts w:ascii="Times New Roman" w:hAnsi="Times New Roman"/>
          <w:sz w:val="24"/>
          <w:szCs w:val="24"/>
          <w:lang w:val="en-GB"/>
        </w:rPr>
      </w:pPr>
      <w:r w:rsidRPr="00000CA8">
        <w:rPr>
          <w:rFonts w:ascii="Times New Roman" w:hAnsi="Times New Roman"/>
          <w:sz w:val="24"/>
          <w:szCs w:val="24"/>
          <w:lang w:val="en-GB"/>
        </w:rPr>
        <w:t>V</w:t>
      </w:r>
      <w:r w:rsidR="00F612DC" w:rsidRPr="00000CA8">
        <w:rPr>
          <w:rFonts w:ascii="Times New Roman" w:hAnsi="Times New Roman"/>
          <w:sz w:val="24"/>
          <w:szCs w:val="24"/>
          <w:lang w:val="en-GB"/>
        </w:rPr>
        <w:t xml:space="preserve">ariability in </w:t>
      </w:r>
      <w:r w:rsidRPr="00000CA8">
        <w:rPr>
          <w:rFonts w:ascii="Times New Roman" w:hAnsi="Times New Roman"/>
          <w:sz w:val="24"/>
          <w:szCs w:val="24"/>
          <w:lang w:val="en-GB"/>
        </w:rPr>
        <w:t>AB</w:t>
      </w:r>
      <w:r w:rsidRPr="00000CA8">
        <w:rPr>
          <w:rFonts w:ascii="Times New Roman" w:hAnsi="Times New Roman"/>
          <w:sz w:val="24"/>
          <w:szCs w:val="24"/>
          <w:vertAlign w:val="subscript"/>
          <w:lang w:val="en-GB"/>
        </w:rPr>
        <w:t xml:space="preserve">CHANGE </w:t>
      </w:r>
      <w:r w:rsidR="00DE7D40" w:rsidRPr="00000CA8">
        <w:rPr>
          <w:rFonts w:ascii="Times New Roman" w:hAnsi="Times New Roman"/>
          <w:sz w:val="24"/>
          <w:szCs w:val="24"/>
          <w:vertAlign w:val="subscript"/>
          <w:lang w:val="en-GB"/>
        </w:rPr>
        <w:t>–</w:t>
      </w:r>
      <w:r w:rsidRPr="00000CA8">
        <w:rPr>
          <w:rFonts w:ascii="Times New Roman" w:hAnsi="Times New Roman"/>
          <w:sz w:val="24"/>
          <w:szCs w:val="24"/>
          <w:vertAlign w:val="subscript"/>
          <w:lang w:val="en-GB"/>
        </w:rPr>
        <w:t xml:space="preserve"> </w:t>
      </w:r>
      <w:r w:rsidR="00DE7D40" w:rsidRPr="00000CA8">
        <w:rPr>
          <w:rFonts w:ascii="Times New Roman" w:hAnsi="Times New Roman"/>
          <w:sz w:val="24"/>
          <w:szCs w:val="24"/>
          <w:vertAlign w:val="subscript"/>
          <w:lang w:val="en-GB"/>
        </w:rPr>
        <w:t xml:space="preserve">TOWARD </w:t>
      </w:r>
      <w:r w:rsidRPr="00000CA8">
        <w:rPr>
          <w:rFonts w:ascii="Times New Roman" w:hAnsi="Times New Roman"/>
          <w:sz w:val="24"/>
          <w:szCs w:val="24"/>
          <w:vertAlign w:val="subscript"/>
          <w:lang w:val="en-GB"/>
        </w:rPr>
        <w:t>THREAT</w:t>
      </w:r>
      <w:r w:rsidR="00F612DC" w:rsidRPr="00000CA8">
        <w:rPr>
          <w:rFonts w:ascii="Times New Roman" w:hAnsi="Times New Roman"/>
          <w:sz w:val="24"/>
          <w:szCs w:val="24"/>
          <w:lang w:val="en-GB"/>
        </w:rPr>
        <w:t xml:space="preserve"> ranged from -153.76ms to a maximum of 141.17ms (mean = -0.05ms, SD = 51.45). </w:t>
      </w:r>
      <w:r w:rsidRPr="00000CA8">
        <w:rPr>
          <w:rFonts w:ascii="Times New Roman" w:hAnsi="Times New Roman"/>
          <w:sz w:val="24"/>
          <w:szCs w:val="24"/>
          <w:lang w:val="en-GB"/>
        </w:rPr>
        <w:t>AB</w:t>
      </w:r>
      <w:r w:rsidRPr="00000CA8">
        <w:rPr>
          <w:rFonts w:ascii="Times New Roman" w:hAnsi="Times New Roman"/>
          <w:sz w:val="24"/>
          <w:szCs w:val="24"/>
          <w:vertAlign w:val="subscript"/>
          <w:lang w:val="en-GB"/>
        </w:rPr>
        <w:t xml:space="preserve">PRE-CONTINGENCY </w:t>
      </w:r>
      <w:r w:rsidRPr="00000CA8">
        <w:rPr>
          <w:rFonts w:ascii="Times New Roman" w:hAnsi="Times New Roman"/>
          <w:sz w:val="24"/>
          <w:szCs w:val="24"/>
          <w:lang w:val="en-GB"/>
        </w:rPr>
        <w:t>scores w</w:t>
      </w:r>
      <w:r w:rsidR="00F612DC" w:rsidRPr="00000CA8">
        <w:rPr>
          <w:rFonts w:ascii="Times New Roman" w:hAnsi="Times New Roman"/>
          <w:sz w:val="24"/>
          <w:szCs w:val="24"/>
          <w:lang w:val="en-GB"/>
        </w:rPr>
        <w:t xml:space="preserve">ere significantly correlated with </w:t>
      </w:r>
      <w:r w:rsidRPr="00000CA8">
        <w:rPr>
          <w:rFonts w:ascii="Times New Roman" w:hAnsi="Times New Roman"/>
          <w:sz w:val="24"/>
          <w:szCs w:val="24"/>
          <w:lang w:val="en-GB"/>
        </w:rPr>
        <w:t>AB</w:t>
      </w:r>
      <w:r w:rsidRPr="00000CA8">
        <w:rPr>
          <w:rFonts w:ascii="Times New Roman" w:hAnsi="Times New Roman"/>
          <w:sz w:val="24"/>
          <w:szCs w:val="24"/>
          <w:vertAlign w:val="subscript"/>
          <w:lang w:val="en-GB"/>
        </w:rPr>
        <w:t xml:space="preserve">POST-CONTINGENCY </w:t>
      </w:r>
      <w:r w:rsidRPr="00000CA8">
        <w:rPr>
          <w:rFonts w:ascii="Times New Roman" w:hAnsi="Times New Roman"/>
          <w:sz w:val="24"/>
          <w:szCs w:val="24"/>
          <w:lang w:val="en-GB"/>
        </w:rPr>
        <w:t xml:space="preserve">scores </w:t>
      </w:r>
      <w:r w:rsidR="00F612DC" w:rsidRPr="00000CA8">
        <w:rPr>
          <w:rFonts w:ascii="Times New Roman" w:hAnsi="Times New Roman"/>
          <w:sz w:val="24"/>
          <w:szCs w:val="24"/>
          <w:lang w:val="en-GB"/>
        </w:rPr>
        <w:t>(</w:t>
      </w:r>
      <w:r w:rsidR="00F612DC" w:rsidRPr="00EC680C">
        <w:rPr>
          <w:rFonts w:ascii="Times New Roman" w:hAnsi="Times New Roman"/>
          <w:i/>
          <w:sz w:val="24"/>
          <w:szCs w:val="24"/>
          <w:lang w:val="en-GB"/>
        </w:rPr>
        <w:t>r</w:t>
      </w:r>
      <w:r w:rsidR="00F612DC" w:rsidRPr="00000CA8">
        <w:rPr>
          <w:rFonts w:ascii="Times New Roman" w:hAnsi="Times New Roman"/>
          <w:sz w:val="24"/>
          <w:szCs w:val="24"/>
          <w:lang w:val="en-GB"/>
        </w:rPr>
        <w:t xml:space="preserve"> (101) = .22, </w:t>
      </w:r>
      <w:r w:rsidR="00F612DC" w:rsidRPr="00EC680C">
        <w:rPr>
          <w:rFonts w:ascii="Times New Roman" w:hAnsi="Times New Roman"/>
          <w:i/>
          <w:sz w:val="24"/>
          <w:szCs w:val="24"/>
          <w:lang w:val="en-GB"/>
        </w:rPr>
        <w:t>p</w:t>
      </w:r>
      <w:r w:rsidR="00F612DC" w:rsidRPr="00000CA8">
        <w:rPr>
          <w:rFonts w:ascii="Times New Roman" w:hAnsi="Times New Roman"/>
          <w:sz w:val="24"/>
          <w:szCs w:val="24"/>
          <w:lang w:val="en-GB"/>
        </w:rPr>
        <w:t xml:space="preserve"> = .031), although only 5% of the variance was shared. This indicates attentional responses to the threat condition were highly variable. </w:t>
      </w:r>
      <w:r w:rsidRPr="00000CA8">
        <w:rPr>
          <w:rFonts w:ascii="Times New Roman" w:hAnsi="Times New Roman"/>
          <w:sz w:val="24"/>
          <w:szCs w:val="24"/>
          <w:lang w:val="en-GB"/>
        </w:rPr>
        <w:t>AB</w:t>
      </w:r>
      <w:r w:rsidRPr="00000CA8">
        <w:rPr>
          <w:rFonts w:ascii="Times New Roman" w:hAnsi="Times New Roman"/>
          <w:sz w:val="24"/>
          <w:szCs w:val="24"/>
          <w:vertAlign w:val="subscript"/>
          <w:lang w:val="en-GB"/>
        </w:rPr>
        <w:t xml:space="preserve">PRE-CONTINGENCY </w:t>
      </w:r>
      <w:r w:rsidRPr="00000CA8">
        <w:rPr>
          <w:rFonts w:ascii="Times New Roman" w:hAnsi="Times New Roman"/>
          <w:sz w:val="24"/>
          <w:szCs w:val="24"/>
          <w:lang w:val="en-GB"/>
        </w:rPr>
        <w:t>scores</w:t>
      </w:r>
      <w:r w:rsidR="00F612DC" w:rsidRPr="00000CA8">
        <w:rPr>
          <w:rFonts w:ascii="Times New Roman" w:hAnsi="Times New Roman"/>
          <w:sz w:val="24"/>
          <w:szCs w:val="24"/>
          <w:lang w:val="en-GB"/>
        </w:rPr>
        <w:t xml:space="preserve"> were also significantly correlated with </w:t>
      </w:r>
      <w:r w:rsidR="00DE7D40" w:rsidRPr="00000CA8">
        <w:rPr>
          <w:rFonts w:ascii="Times New Roman" w:hAnsi="Times New Roman"/>
          <w:sz w:val="24"/>
          <w:szCs w:val="24"/>
          <w:lang w:val="en-GB"/>
        </w:rPr>
        <w:t>AB</w:t>
      </w:r>
      <w:r w:rsidR="00DE7D40" w:rsidRPr="00000CA8">
        <w:rPr>
          <w:rFonts w:ascii="Times New Roman" w:hAnsi="Times New Roman"/>
          <w:sz w:val="24"/>
          <w:szCs w:val="24"/>
          <w:vertAlign w:val="subscript"/>
          <w:lang w:val="en-GB"/>
        </w:rPr>
        <w:t>CHANGE – TOWARD THREAT</w:t>
      </w:r>
      <w:r w:rsidR="00DE7D40" w:rsidRPr="00000CA8">
        <w:rPr>
          <w:rFonts w:ascii="Times New Roman" w:hAnsi="Times New Roman"/>
          <w:sz w:val="24"/>
          <w:szCs w:val="24"/>
          <w:lang w:val="en-GB"/>
        </w:rPr>
        <w:t xml:space="preserve"> </w:t>
      </w:r>
      <w:r w:rsidR="00F612DC" w:rsidRPr="00000CA8">
        <w:rPr>
          <w:rFonts w:ascii="Times New Roman" w:hAnsi="Times New Roman"/>
          <w:sz w:val="24"/>
          <w:szCs w:val="24"/>
          <w:lang w:val="en-GB"/>
        </w:rPr>
        <w:t>score</w:t>
      </w:r>
      <w:r w:rsidRPr="00000CA8">
        <w:rPr>
          <w:rFonts w:ascii="Times New Roman" w:hAnsi="Times New Roman"/>
          <w:sz w:val="24"/>
          <w:szCs w:val="24"/>
          <w:lang w:val="en-GB"/>
        </w:rPr>
        <w:t>s</w:t>
      </w:r>
      <w:r w:rsidR="00F612DC" w:rsidRPr="00000CA8">
        <w:rPr>
          <w:rFonts w:ascii="Times New Roman" w:hAnsi="Times New Roman"/>
          <w:sz w:val="24"/>
          <w:szCs w:val="24"/>
          <w:lang w:val="en-GB"/>
        </w:rPr>
        <w:t xml:space="preserve"> (</w:t>
      </w:r>
      <w:r w:rsidR="00F612DC" w:rsidRPr="00EC680C">
        <w:rPr>
          <w:rFonts w:ascii="Times New Roman" w:hAnsi="Times New Roman"/>
          <w:i/>
          <w:sz w:val="24"/>
          <w:szCs w:val="24"/>
          <w:lang w:val="en-GB"/>
        </w:rPr>
        <w:t>r</w:t>
      </w:r>
      <w:r w:rsidR="00F612DC" w:rsidRPr="00000CA8">
        <w:rPr>
          <w:rFonts w:ascii="Times New Roman" w:hAnsi="Times New Roman"/>
          <w:sz w:val="24"/>
          <w:szCs w:val="24"/>
          <w:lang w:val="en-GB"/>
        </w:rPr>
        <w:t xml:space="preserve"> (101) = -.44, </w:t>
      </w:r>
      <w:r w:rsidR="00F612DC" w:rsidRPr="00EC680C">
        <w:rPr>
          <w:rFonts w:ascii="Times New Roman" w:hAnsi="Times New Roman"/>
          <w:i/>
          <w:sz w:val="24"/>
          <w:szCs w:val="24"/>
          <w:lang w:val="en-GB"/>
        </w:rPr>
        <w:t>p</w:t>
      </w:r>
      <w:r w:rsidR="00F612DC" w:rsidRPr="00000CA8">
        <w:rPr>
          <w:rFonts w:ascii="Times New Roman" w:hAnsi="Times New Roman"/>
          <w:sz w:val="24"/>
          <w:szCs w:val="24"/>
          <w:lang w:val="en-GB"/>
        </w:rPr>
        <w:t xml:space="preserve"> &lt; .001) indicating that a weaker attentional bias toward threat in the pre-</w:t>
      </w:r>
      <w:r w:rsidR="00840878" w:rsidRPr="00000CA8">
        <w:rPr>
          <w:rFonts w:ascii="Times New Roman" w:hAnsi="Times New Roman"/>
          <w:sz w:val="24"/>
          <w:szCs w:val="24"/>
          <w:lang w:val="en-GB"/>
        </w:rPr>
        <w:t>contingency</w:t>
      </w:r>
      <w:r w:rsidR="00F612DC" w:rsidRPr="00000CA8">
        <w:rPr>
          <w:rFonts w:ascii="Times New Roman" w:hAnsi="Times New Roman"/>
          <w:sz w:val="24"/>
          <w:szCs w:val="24"/>
          <w:lang w:val="en-GB"/>
        </w:rPr>
        <w:t xml:space="preserve"> phase was associated with greater </w:t>
      </w:r>
      <w:r w:rsidR="00840878" w:rsidRPr="00000CA8">
        <w:rPr>
          <w:rFonts w:ascii="Times New Roman" w:hAnsi="Times New Roman"/>
          <w:sz w:val="24"/>
          <w:szCs w:val="24"/>
          <w:lang w:val="en-GB"/>
        </w:rPr>
        <w:t>magnitude of change in attentional bias toward threat</w:t>
      </w:r>
      <w:r w:rsidR="00F612DC" w:rsidRPr="00000CA8">
        <w:rPr>
          <w:rFonts w:ascii="Times New Roman" w:hAnsi="Times New Roman"/>
          <w:sz w:val="24"/>
          <w:szCs w:val="24"/>
          <w:lang w:val="en-GB"/>
        </w:rPr>
        <w:t xml:space="preserve">. </w:t>
      </w:r>
    </w:p>
    <w:p w14:paraId="69F3DA74" w14:textId="77777777" w:rsidR="00E82B18" w:rsidRPr="00000CA8" w:rsidRDefault="00840878" w:rsidP="00000CA8">
      <w:pPr>
        <w:rPr>
          <w:rFonts w:ascii="Times New Roman" w:hAnsi="Times New Roman"/>
          <w:sz w:val="24"/>
          <w:szCs w:val="24"/>
          <w:lang w:val="en-GB"/>
        </w:rPr>
      </w:pPr>
      <w:r w:rsidRPr="00000CA8">
        <w:rPr>
          <w:rFonts w:ascii="Times New Roman" w:hAnsi="Times New Roman"/>
          <w:sz w:val="24"/>
          <w:szCs w:val="24"/>
          <w:lang w:val="en-GB"/>
        </w:rPr>
        <w:t>V</w:t>
      </w:r>
      <w:r w:rsidR="00F612DC" w:rsidRPr="00000CA8">
        <w:rPr>
          <w:rFonts w:ascii="Times New Roman" w:hAnsi="Times New Roman"/>
          <w:sz w:val="24"/>
          <w:szCs w:val="24"/>
          <w:lang w:val="en-GB"/>
        </w:rPr>
        <w:t>ariabilit</w:t>
      </w:r>
      <w:r w:rsidR="00D34894" w:rsidRPr="00000CA8">
        <w:rPr>
          <w:rFonts w:ascii="Times New Roman" w:hAnsi="Times New Roman"/>
          <w:sz w:val="24"/>
          <w:szCs w:val="24"/>
          <w:lang w:val="en-GB"/>
        </w:rPr>
        <w:t xml:space="preserve">y in </w:t>
      </w:r>
      <w:r w:rsidRPr="00000CA8">
        <w:rPr>
          <w:rFonts w:ascii="Times New Roman" w:hAnsi="Times New Roman"/>
          <w:sz w:val="24"/>
          <w:szCs w:val="24"/>
          <w:lang w:val="en-GB"/>
        </w:rPr>
        <w:t>AB</w:t>
      </w:r>
      <w:r w:rsidRPr="00000CA8">
        <w:rPr>
          <w:rFonts w:ascii="Times New Roman" w:hAnsi="Times New Roman"/>
          <w:sz w:val="24"/>
          <w:szCs w:val="24"/>
          <w:vertAlign w:val="subscript"/>
          <w:lang w:val="en-GB"/>
        </w:rPr>
        <w:t xml:space="preserve">CHANGE – </w:t>
      </w:r>
      <w:r w:rsidR="00DE7D40" w:rsidRPr="00000CA8">
        <w:rPr>
          <w:rFonts w:ascii="Times New Roman" w:hAnsi="Times New Roman"/>
          <w:sz w:val="24"/>
          <w:szCs w:val="24"/>
          <w:vertAlign w:val="subscript"/>
          <w:lang w:val="en-GB"/>
        </w:rPr>
        <w:t>AVOID THREAT</w:t>
      </w:r>
      <w:r w:rsidRPr="00000CA8">
        <w:rPr>
          <w:rFonts w:ascii="Times New Roman" w:hAnsi="Times New Roman"/>
          <w:sz w:val="24"/>
          <w:szCs w:val="24"/>
          <w:vertAlign w:val="subscript"/>
          <w:lang w:val="en-GB"/>
        </w:rPr>
        <w:t xml:space="preserve"> </w:t>
      </w:r>
      <w:r w:rsidR="00D34894" w:rsidRPr="00000CA8">
        <w:rPr>
          <w:rFonts w:ascii="Times New Roman" w:hAnsi="Times New Roman"/>
          <w:sz w:val="24"/>
          <w:szCs w:val="24"/>
          <w:lang w:val="en-GB"/>
        </w:rPr>
        <w:t>ranged from -168.70</w:t>
      </w:r>
      <w:r w:rsidR="00F612DC" w:rsidRPr="00000CA8">
        <w:rPr>
          <w:rFonts w:ascii="Times New Roman" w:hAnsi="Times New Roman"/>
          <w:sz w:val="24"/>
          <w:szCs w:val="24"/>
          <w:lang w:val="en-GB"/>
        </w:rPr>
        <w:t>ms to a maximum of 16</w:t>
      </w:r>
      <w:r w:rsidR="00D34894" w:rsidRPr="00000CA8">
        <w:rPr>
          <w:rFonts w:ascii="Times New Roman" w:hAnsi="Times New Roman"/>
          <w:sz w:val="24"/>
          <w:szCs w:val="24"/>
          <w:lang w:val="en-GB"/>
        </w:rPr>
        <w:t>9.48</w:t>
      </w:r>
      <w:r w:rsidR="00F612DC" w:rsidRPr="00000CA8">
        <w:rPr>
          <w:rFonts w:ascii="Times New Roman" w:hAnsi="Times New Roman"/>
          <w:sz w:val="24"/>
          <w:szCs w:val="24"/>
          <w:lang w:val="en-GB"/>
        </w:rPr>
        <w:t xml:space="preserve">ms (mean = </w:t>
      </w:r>
      <w:r w:rsidR="00D34894" w:rsidRPr="00000CA8">
        <w:rPr>
          <w:rFonts w:ascii="Times New Roman" w:hAnsi="Times New Roman"/>
          <w:sz w:val="24"/>
          <w:szCs w:val="24"/>
          <w:lang w:val="en-GB"/>
        </w:rPr>
        <w:t>-</w:t>
      </w:r>
      <w:r w:rsidR="00F612DC" w:rsidRPr="00000CA8">
        <w:rPr>
          <w:rFonts w:ascii="Times New Roman" w:hAnsi="Times New Roman"/>
          <w:sz w:val="24"/>
          <w:szCs w:val="24"/>
          <w:lang w:val="en-GB"/>
        </w:rPr>
        <w:t xml:space="preserve">6.04ms, SD = 56.43). </w:t>
      </w:r>
      <w:r w:rsidR="00A46A00" w:rsidRPr="00000CA8">
        <w:rPr>
          <w:rFonts w:ascii="Times New Roman" w:hAnsi="Times New Roman"/>
          <w:sz w:val="24"/>
          <w:szCs w:val="24"/>
          <w:lang w:val="en-GB"/>
        </w:rPr>
        <w:t>AB</w:t>
      </w:r>
      <w:r w:rsidR="00A46A00" w:rsidRPr="00000CA8">
        <w:rPr>
          <w:rFonts w:ascii="Times New Roman" w:hAnsi="Times New Roman"/>
          <w:sz w:val="24"/>
          <w:szCs w:val="24"/>
          <w:vertAlign w:val="subscript"/>
          <w:lang w:val="en-GB"/>
        </w:rPr>
        <w:t xml:space="preserve">PRE-CONTINGENCY </w:t>
      </w:r>
      <w:r w:rsidR="00A46A00" w:rsidRPr="00000CA8">
        <w:rPr>
          <w:rFonts w:ascii="Times New Roman" w:hAnsi="Times New Roman"/>
          <w:sz w:val="24"/>
          <w:szCs w:val="24"/>
          <w:lang w:val="en-GB"/>
        </w:rPr>
        <w:t xml:space="preserve">scores </w:t>
      </w:r>
      <w:r w:rsidR="00F612DC" w:rsidRPr="00000CA8">
        <w:rPr>
          <w:rFonts w:ascii="Times New Roman" w:hAnsi="Times New Roman"/>
          <w:sz w:val="24"/>
          <w:szCs w:val="24"/>
          <w:lang w:val="en-GB"/>
        </w:rPr>
        <w:t xml:space="preserve">were not significantly correlated with </w:t>
      </w:r>
      <w:r w:rsidRPr="00000CA8">
        <w:rPr>
          <w:rFonts w:ascii="Times New Roman" w:hAnsi="Times New Roman"/>
          <w:sz w:val="24"/>
          <w:szCs w:val="24"/>
          <w:lang w:val="en-GB"/>
        </w:rPr>
        <w:t>AB</w:t>
      </w:r>
      <w:r w:rsidRPr="00000CA8">
        <w:rPr>
          <w:rFonts w:ascii="Times New Roman" w:hAnsi="Times New Roman"/>
          <w:sz w:val="24"/>
          <w:szCs w:val="24"/>
          <w:vertAlign w:val="subscript"/>
          <w:lang w:val="en-GB"/>
        </w:rPr>
        <w:t xml:space="preserve">POST-CONTINGENCY </w:t>
      </w:r>
      <w:r w:rsidRPr="00000CA8">
        <w:rPr>
          <w:rFonts w:ascii="Times New Roman" w:hAnsi="Times New Roman"/>
          <w:sz w:val="24"/>
          <w:szCs w:val="24"/>
          <w:lang w:val="en-GB"/>
        </w:rPr>
        <w:t xml:space="preserve">scores </w:t>
      </w:r>
      <w:r w:rsidR="00F612DC" w:rsidRPr="00000CA8">
        <w:rPr>
          <w:rFonts w:ascii="Times New Roman" w:hAnsi="Times New Roman"/>
          <w:sz w:val="24"/>
          <w:szCs w:val="24"/>
          <w:lang w:val="en-GB"/>
        </w:rPr>
        <w:t>(</w:t>
      </w:r>
      <w:r w:rsidR="00F612DC" w:rsidRPr="00EC680C">
        <w:rPr>
          <w:rFonts w:ascii="Times New Roman" w:hAnsi="Times New Roman"/>
          <w:i/>
          <w:sz w:val="24"/>
          <w:szCs w:val="24"/>
          <w:lang w:val="en-GB"/>
        </w:rPr>
        <w:t>r</w:t>
      </w:r>
      <w:r w:rsidR="00F612DC" w:rsidRPr="00000CA8">
        <w:rPr>
          <w:rFonts w:ascii="Times New Roman" w:hAnsi="Times New Roman"/>
          <w:sz w:val="24"/>
          <w:szCs w:val="24"/>
          <w:lang w:val="en-GB"/>
        </w:rPr>
        <w:t xml:space="preserve"> (98) = .</w:t>
      </w:r>
      <w:r w:rsidR="0066148D" w:rsidRPr="00000CA8">
        <w:rPr>
          <w:rFonts w:ascii="Times New Roman" w:hAnsi="Times New Roman"/>
          <w:sz w:val="24"/>
          <w:szCs w:val="24"/>
          <w:lang w:val="en-GB"/>
        </w:rPr>
        <w:t>097</w:t>
      </w:r>
      <w:r w:rsidR="00F612DC" w:rsidRPr="00000CA8">
        <w:rPr>
          <w:rFonts w:ascii="Times New Roman" w:hAnsi="Times New Roman"/>
          <w:sz w:val="24"/>
          <w:szCs w:val="24"/>
          <w:lang w:val="en-GB"/>
        </w:rPr>
        <w:t xml:space="preserve">, </w:t>
      </w:r>
      <w:r w:rsidR="00F612DC" w:rsidRPr="00EC680C">
        <w:rPr>
          <w:rFonts w:ascii="Times New Roman" w:hAnsi="Times New Roman"/>
          <w:i/>
          <w:sz w:val="24"/>
          <w:szCs w:val="24"/>
          <w:lang w:val="en-GB"/>
        </w:rPr>
        <w:t>p</w:t>
      </w:r>
      <w:r w:rsidR="00F612DC" w:rsidRPr="00000CA8">
        <w:rPr>
          <w:rFonts w:ascii="Times New Roman" w:hAnsi="Times New Roman"/>
          <w:sz w:val="24"/>
          <w:szCs w:val="24"/>
          <w:lang w:val="en-GB"/>
        </w:rPr>
        <w:t xml:space="preserve"> = .341), suggesting substantial individual differences in the effectiveness of the neutral </w:t>
      </w:r>
      <w:r w:rsidR="00A46A00" w:rsidRPr="00000CA8">
        <w:rPr>
          <w:rFonts w:ascii="Times New Roman" w:hAnsi="Times New Roman"/>
          <w:sz w:val="24"/>
          <w:szCs w:val="24"/>
          <w:lang w:val="en-GB"/>
        </w:rPr>
        <w:t>contingency</w:t>
      </w:r>
      <w:r w:rsidRPr="00000CA8">
        <w:rPr>
          <w:rFonts w:ascii="Times New Roman" w:hAnsi="Times New Roman"/>
          <w:sz w:val="24"/>
          <w:szCs w:val="24"/>
          <w:lang w:val="en-GB"/>
        </w:rPr>
        <w:t xml:space="preserve"> </w:t>
      </w:r>
      <w:r w:rsidR="00F612DC" w:rsidRPr="00000CA8">
        <w:rPr>
          <w:rFonts w:ascii="Times New Roman" w:hAnsi="Times New Roman"/>
          <w:sz w:val="24"/>
          <w:szCs w:val="24"/>
          <w:lang w:val="en-GB"/>
        </w:rPr>
        <w:t xml:space="preserve">condition. </w:t>
      </w:r>
      <w:r w:rsidR="00A46A00" w:rsidRPr="00000CA8">
        <w:rPr>
          <w:rFonts w:ascii="Times New Roman" w:hAnsi="Times New Roman"/>
          <w:sz w:val="24"/>
          <w:szCs w:val="24"/>
          <w:lang w:val="en-GB"/>
        </w:rPr>
        <w:t>AB</w:t>
      </w:r>
      <w:r w:rsidR="00A46A00" w:rsidRPr="00000CA8">
        <w:rPr>
          <w:rFonts w:ascii="Times New Roman" w:hAnsi="Times New Roman"/>
          <w:sz w:val="24"/>
          <w:szCs w:val="24"/>
          <w:vertAlign w:val="subscript"/>
          <w:lang w:val="en-GB"/>
        </w:rPr>
        <w:t xml:space="preserve">PRE-CONTINGENCY </w:t>
      </w:r>
      <w:r w:rsidR="00A46A00" w:rsidRPr="00000CA8">
        <w:rPr>
          <w:rFonts w:ascii="Times New Roman" w:hAnsi="Times New Roman"/>
          <w:sz w:val="24"/>
          <w:szCs w:val="24"/>
          <w:lang w:val="en-GB"/>
        </w:rPr>
        <w:t xml:space="preserve">scores </w:t>
      </w:r>
      <w:r w:rsidR="00F612DC" w:rsidRPr="00000CA8">
        <w:rPr>
          <w:rFonts w:ascii="Times New Roman" w:hAnsi="Times New Roman"/>
          <w:sz w:val="24"/>
          <w:szCs w:val="24"/>
          <w:lang w:val="en-GB"/>
        </w:rPr>
        <w:t xml:space="preserve">were also significantly correlated with </w:t>
      </w:r>
      <w:r w:rsidR="00DE7D40" w:rsidRPr="00000CA8">
        <w:rPr>
          <w:rFonts w:ascii="Times New Roman" w:hAnsi="Times New Roman"/>
          <w:sz w:val="24"/>
          <w:szCs w:val="24"/>
          <w:lang w:val="en-GB"/>
        </w:rPr>
        <w:t>AB</w:t>
      </w:r>
      <w:r w:rsidR="00DE7D40" w:rsidRPr="00000CA8">
        <w:rPr>
          <w:rFonts w:ascii="Times New Roman" w:hAnsi="Times New Roman"/>
          <w:sz w:val="24"/>
          <w:szCs w:val="24"/>
          <w:vertAlign w:val="subscript"/>
          <w:lang w:val="en-GB"/>
        </w:rPr>
        <w:t xml:space="preserve">CHANGE – AVOID THREAT </w:t>
      </w:r>
      <w:r w:rsidR="00F612DC" w:rsidRPr="00000CA8">
        <w:rPr>
          <w:rFonts w:ascii="Times New Roman" w:hAnsi="Times New Roman"/>
          <w:sz w:val="24"/>
          <w:szCs w:val="24"/>
          <w:lang w:val="en-GB"/>
        </w:rPr>
        <w:t>score</w:t>
      </w:r>
      <w:r w:rsidR="00A46A00" w:rsidRPr="00000CA8">
        <w:rPr>
          <w:rFonts w:ascii="Times New Roman" w:hAnsi="Times New Roman"/>
          <w:sz w:val="24"/>
          <w:szCs w:val="24"/>
          <w:lang w:val="en-GB"/>
        </w:rPr>
        <w:t>s</w:t>
      </w:r>
      <w:r w:rsidR="00F612DC" w:rsidRPr="00000CA8">
        <w:rPr>
          <w:rFonts w:ascii="Times New Roman" w:hAnsi="Times New Roman"/>
          <w:sz w:val="24"/>
          <w:szCs w:val="24"/>
          <w:lang w:val="en-GB"/>
        </w:rPr>
        <w:t xml:space="preserve"> (</w:t>
      </w:r>
      <w:r w:rsidR="00F612DC" w:rsidRPr="00EC680C">
        <w:rPr>
          <w:rFonts w:ascii="Times New Roman" w:hAnsi="Times New Roman"/>
          <w:i/>
          <w:sz w:val="24"/>
          <w:szCs w:val="24"/>
          <w:lang w:val="en-GB"/>
        </w:rPr>
        <w:t>r</w:t>
      </w:r>
      <w:r w:rsidR="00F612DC" w:rsidRPr="00000CA8">
        <w:rPr>
          <w:rFonts w:ascii="Times New Roman" w:hAnsi="Times New Roman"/>
          <w:sz w:val="24"/>
          <w:szCs w:val="24"/>
          <w:lang w:val="en-GB"/>
        </w:rPr>
        <w:t xml:space="preserve"> </w:t>
      </w:r>
      <w:r w:rsidR="00B06FA4" w:rsidRPr="00000CA8">
        <w:rPr>
          <w:rFonts w:ascii="Times New Roman" w:hAnsi="Times New Roman"/>
          <w:sz w:val="24"/>
          <w:szCs w:val="24"/>
          <w:lang w:val="en-GB"/>
        </w:rPr>
        <w:t xml:space="preserve">(98) = </w:t>
      </w:r>
      <w:r w:rsidR="00F612DC" w:rsidRPr="00000CA8">
        <w:rPr>
          <w:rFonts w:ascii="Times New Roman" w:hAnsi="Times New Roman"/>
          <w:sz w:val="24"/>
          <w:szCs w:val="24"/>
          <w:lang w:val="en-GB"/>
        </w:rPr>
        <w:t>.57</w:t>
      </w:r>
      <w:r w:rsidR="0066148D" w:rsidRPr="00000CA8">
        <w:rPr>
          <w:rFonts w:ascii="Times New Roman" w:hAnsi="Times New Roman"/>
          <w:sz w:val="24"/>
          <w:szCs w:val="24"/>
          <w:lang w:val="en-GB"/>
        </w:rPr>
        <w:t>4</w:t>
      </w:r>
      <w:r w:rsidR="00F612DC" w:rsidRPr="00000CA8">
        <w:rPr>
          <w:rFonts w:ascii="Times New Roman" w:hAnsi="Times New Roman"/>
          <w:sz w:val="24"/>
          <w:szCs w:val="24"/>
          <w:lang w:val="en-GB"/>
        </w:rPr>
        <w:t xml:space="preserve">, </w:t>
      </w:r>
      <w:r w:rsidR="00F612DC" w:rsidRPr="00EC680C">
        <w:rPr>
          <w:rFonts w:ascii="Times New Roman" w:hAnsi="Times New Roman"/>
          <w:i/>
          <w:sz w:val="24"/>
          <w:szCs w:val="24"/>
          <w:lang w:val="en-GB"/>
        </w:rPr>
        <w:t>p</w:t>
      </w:r>
      <w:r w:rsidR="00F612DC" w:rsidRPr="00000CA8">
        <w:rPr>
          <w:rFonts w:ascii="Times New Roman" w:hAnsi="Times New Roman"/>
          <w:sz w:val="24"/>
          <w:szCs w:val="24"/>
          <w:lang w:val="en-GB"/>
        </w:rPr>
        <w:t xml:space="preserve"> &lt; .001) indicating that a weaker attentional bias toward neutral stimuli in the </w:t>
      </w:r>
      <w:r w:rsidR="00F612DC" w:rsidRPr="00000CA8">
        <w:rPr>
          <w:rFonts w:ascii="Times New Roman" w:hAnsi="Times New Roman"/>
          <w:sz w:val="24"/>
          <w:szCs w:val="24"/>
          <w:lang w:val="en-GB"/>
        </w:rPr>
        <w:lastRenderedPageBreak/>
        <w:t>pre-</w:t>
      </w:r>
      <w:r w:rsidR="00A46A00" w:rsidRPr="00000CA8">
        <w:rPr>
          <w:rFonts w:ascii="Times New Roman" w:hAnsi="Times New Roman"/>
          <w:sz w:val="24"/>
          <w:szCs w:val="24"/>
          <w:lang w:val="en-GB"/>
        </w:rPr>
        <w:t>contingency</w:t>
      </w:r>
      <w:r w:rsidR="00F612DC" w:rsidRPr="00000CA8">
        <w:rPr>
          <w:rFonts w:ascii="Times New Roman" w:hAnsi="Times New Roman"/>
          <w:sz w:val="24"/>
          <w:szCs w:val="24"/>
          <w:lang w:val="en-GB"/>
        </w:rPr>
        <w:t xml:space="preserve"> phase was associated with greater </w:t>
      </w:r>
      <w:r w:rsidR="00A46A00" w:rsidRPr="00000CA8">
        <w:rPr>
          <w:rFonts w:ascii="Times New Roman" w:hAnsi="Times New Roman"/>
          <w:sz w:val="24"/>
          <w:szCs w:val="24"/>
          <w:lang w:val="en-GB"/>
        </w:rPr>
        <w:t>magnitude of change</w:t>
      </w:r>
      <w:r w:rsidR="00F612DC" w:rsidRPr="00000CA8">
        <w:rPr>
          <w:rFonts w:ascii="Times New Roman" w:hAnsi="Times New Roman"/>
          <w:sz w:val="24"/>
          <w:szCs w:val="24"/>
          <w:lang w:val="en-GB"/>
        </w:rPr>
        <w:t xml:space="preserve"> in attentional bias toward neutral stimuli.</w:t>
      </w:r>
    </w:p>
    <w:p w14:paraId="5302D904" w14:textId="77777777" w:rsidR="00D8578A" w:rsidRDefault="00D8578A" w:rsidP="00D8578A">
      <w:pPr>
        <w:ind w:firstLine="0"/>
        <w:rPr>
          <w:rFonts w:ascii="Times New Roman" w:hAnsi="Times New Roman"/>
          <w:b/>
          <w:sz w:val="24"/>
          <w:szCs w:val="24"/>
          <w:lang w:val="en-GB"/>
        </w:rPr>
      </w:pPr>
      <w:r w:rsidRPr="001B038B">
        <w:rPr>
          <w:rFonts w:ascii="Times New Roman" w:hAnsi="Times New Roman"/>
          <w:b/>
          <w:sz w:val="24"/>
          <w:szCs w:val="24"/>
          <w:lang w:val="en-GB"/>
        </w:rPr>
        <w:t xml:space="preserve">Sensitivity Analyses </w:t>
      </w:r>
    </w:p>
    <w:p w14:paraId="10F835E1" w14:textId="476E2846" w:rsidR="00387EAB" w:rsidRDefault="00D8578A" w:rsidP="00D9665D">
      <w:pPr>
        <w:ind w:firstLine="0"/>
        <w:rPr>
          <w:rFonts w:ascii="Times New Roman" w:hAnsi="Times New Roman"/>
          <w:sz w:val="24"/>
          <w:szCs w:val="24"/>
          <w:lang w:val="en-GB"/>
        </w:rPr>
      </w:pPr>
      <w:r>
        <w:rPr>
          <w:rFonts w:ascii="Times New Roman" w:hAnsi="Times New Roman"/>
          <w:b/>
          <w:sz w:val="24"/>
          <w:szCs w:val="24"/>
          <w:lang w:val="en-GB"/>
        </w:rPr>
        <w:tab/>
      </w:r>
      <w:r>
        <w:rPr>
          <w:rFonts w:ascii="Times New Roman" w:hAnsi="Times New Roman"/>
          <w:sz w:val="24"/>
          <w:szCs w:val="24"/>
          <w:lang w:val="en-GB"/>
        </w:rPr>
        <w:t xml:space="preserve"> </w:t>
      </w:r>
      <w:bookmarkStart w:id="0" w:name="_GoBack"/>
      <w:bookmarkEnd w:id="0"/>
      <w:r w:rsidRPr="00605206">
        <w:rPr>
          <w:rFonts w:ascii="Times New Roman" w:hAnsi="Times New Roman"/>
          <w:sz w:val="24"/>
          <w:szCs w:val="24"/>
          <w:lang w:val="en-GB"/>
        </w:rPr>
        <w:t>Sensitivity analyses were conducted in which participants who were outliers for attentional bias scores or for AB</w:t>
      </w:r>
      <w:r w:rsidRPr="00605206">
        <w:rPr>
          <w:rFonts w:ascii="Times New Roman" w:hAnsi="Times New Roman"/>
          <w:sz w:val="24"/>
          <w:szCs w:val="24"/>
          <w:vertAlign w:val="subscript"/>
          <w:lang w:val="en-GB"/>
        </w:rPr>
        <w:t xml:space="preserve">CHANGE-TOWARD THREAT </w:t>
      </w:r>
      <w:r w:rsidRPr="00605206">
        <w:rPr>
          <w:rFonts w:ascii="Times New Roman" w:hAnsi="Times New Roman"/>
          <w:sz w:val="24"/>
          <w:szCs w:val="24"/>
          <w:lang w:val="en-GB"/>
        </w:rPr>
        <w:t>or AB</w:t>
      </w:r>
      <w:r w:rsidRPr="00605206">
        <w:rPr>
          <w:rFonts w:ascii="Times New Roman" w:hAnsi="Times New Roman"/>
          <w:sz w:val="24"/>
          <w:szCs w:val="24"/>
          <w:vertAlign w:val="subscript"/>
          <w:lang w:val="en-GB"/>
        </w:rPr>
        <w:t xml:space="preserve">CHANGE-AVOID THREAT </w:t>
      </w:r>
      <w:r w:rsidRPr="00605206">
        <w:rPr>
          <w:rFonts w:ascii="Times New Roman" w:hAnsi="Times New Roman"/>
          <w:sz w:val="24"/>
          <w:szCs w:val="24"/>
          <w:lang w:val="en-GB"/>
        </w:rPr>
        <w:t>scores were not removed from analyses. All correlations with pre- and post-transition anxiety symptom and school concern scores, and the change in these outcomes showed the same direction of effects compared to the analyses with outliers removed. The magnitude and significance of the associations also remained very similar. All associations that were nonsignificant (taking into account multiple testing corrections) in the analyses with outliers removed were also non-significant in the sensitivity analyses, aside from one exception. The association between AB</w:t>
      </w:r>
      <w:r w:rsidRPr="00605206">
        <w:rPr>
          <w:rFonts w:ascii="Times New Roman" w:hAnsi="Times New Roman"/>
          <w:sz w:val="24"/>
          <w:szCs w:val="24"/>
          <w:vertAlign w:val="subscript"/>
          <w:lang w:val="en-GB"/>
        </w:rPr>
        <w:t>CHANGE-TOWARD THREAT</w:t>
      </w:r>
      <w:r w:rsidRPr="00605206">
        <w:rPr>
          <w:rFonts w:ascii="Times New Roman" w:hAnsi="Times New Roman"/>
          <w:sz w:val="24"/>
          <w:szCs w:val="24"/>
          <w:lang w:val="en-GB"/>
        </w:rPr>
        <w:t xml:space="preserve"> and post-transition SCARED score had a </w:t>
      </w:r>
      <w:r w:rsidRPr="00605206">
        <w:rPr>
          <w:rFonts w:ascii="Times New Roman" w:hAnsi="Times New Roman"/>
          <w:i/>
          <w:sz w:val="24"/>
          <w:szCs w:val="24"/>
          <w:lang w:val="en-GB"/>
        </w:rPr>
        <w:t xml:space="preserve">p </w:t>
      </w:r>
      <w:r w:rsidRPr="00605206">
        <w:rPr>
          <w:rFonts w:ascii="Times New Roman" w:hAnsi="Times New Roman"/>
          <w:sz w:val="24"/>
          <w:szCs w:val="24"/>
          <w:lang w:val="en-GB"/>
        </w:rPr>
        <w:t>value of .009 (</w:t>
      </w:r>
      <w:r w:rsidRPr="00605206">
        <w:rPr>
          <w:rFonts w:ascii="Times New Roman" w:hAnsi="Times New Roman"/>
          <w:i/>
          <w:sz w:val="24"/>
          <w:szCs w:val="24"/>
          <w:lang w:val="en-GB"/>
        </w:rPr>
        <w:t xml:space="preserve">r </w:t>
      </w:r>
      <w:r w:rsidRPr="00605206">
        <w:rPr>
          <w:rFonts w:ascii="Times New Roman" w:hAnsi="Times New Roman"/>
          <w:sz w:val="24"/>
          <w:szCs w:val="24"/>
          <w:lang w:val="en-GB"/>
        </w:rPr>
        <w:t>= -.314) in the analyses with outliers removed</w:t>
      </w:r>
      <w:r w:rsidR="00D9665D" w:rsidRPr="00605206">
        <w:rPr>
          <w:rFonts w:ascii="Times New Roman" w:hAnsi="Times New Roman"/>
          <w:sz w:val="24"/>
          <w:szCs w:val="24"/>
          <w:lang w:val="en-GB"/>
        </w:rPr>
        <w:t xml:space="preserve"> (and thus did not surviv</w:t>
      </w:r>
      <w:r w:rsidRPr="00605206">
        <w:rPr>
          <w:rFonts w:ascii="Times New Roman" w:hAnsi="Times New Roman"/>
          <w:sz w:val="24"/>
          <w:szCs w:val="24"/>
          <w:lang w:val="en-GB"/>
        </w:rPr>
        <w:t xml:space="preserve">e multiple testing correction), compared to </w:t>
      </w:r>
      <w:r w:rsidRPr="00605206">
        <w:rPr>
          <w:rFonts w:ascii="Times New Roman" w:hAnsi="Times New Roman"/>
          <w:i/>
          <w:sz w:val="24"/>
          <w:szCs w:val="24"/>
          <w:lang w:val="en-GB"/>
        </w:rPr>
        <w:t xml:space="preserve">p </w:t>
      </w:r>
      <w:r w:rsidRPr="00605206">
        <w:rPr>
          <w:rFonts w:ascii="Times New Roman" w:hAnsi="Times New Roman"/>
          <w:sz w:val="24"/>
          <w:szCs w:val="24"/>
          <w:lang w:val="en-GB"/>
        </w:rPr>
        <w:t>= .002 (</w:t>
      </w:r>
      <w:r w:rsidRPr="00605206">
        <w:rPr>
          <w:rFonts w:ascii="Times New Roman" w:hAnsi="Times New Roman"/>
          <w:i/>
          <w:sz w:val="24"/>
          <w:szCs w:val="24"/>
          <w:lang w:val="en-GB"/>
        </w:rPr>
        <w:t>r</w:t>
      </w:r>
      <w:r w:rsidRPr="00605206">
        <w:rPr>
          <w:rFonts w:ascii="Times New Roman" w:hAnsi="Times New Roman"/>
          <w:sz w:val="24"/>
          <w:szCs w:val="24"/>
          <w:lang w:val="en-GB"/>
        </w:rPr>
        <w:t xml:space="preserve"> = -.348) in the sensitivity analyses. Additionally, the significant association between AB</w:t>
      </w:r>
      <w:r w:rsidRPr="00605206">
        <w:rPr>
          <w:rFonts w:ascii="Times New Roman" w:hAnsi="Times New Roman"/>
          <w:sz w:val="24"/>
          <w:szCs w:val="24"/>
          <w:vertAlign w:val="subscript"/>
          <w:lang w:val="en-GB"/>
        </w:rPr>
        <w:t>CHANGE-TOWARD THREAT</w:t>
      </w:r>
      <w:r w:rsidRPr="00605206">
        <w:rPr>
          <w:rFonts w:ascii="Times New Roman" w:hAnsi="Times New Roman"/>
          <w:sz w:val="24"/>
          <w:szCs w:val="24"/>
          <w:lang w:val="en-GB"/>
        </w:rPr>
        <w:t xml:space="preserve"> and SCARED</w:t>
      </w:r>
      <w:r w:rsidRPr="00605206">
        <w:rPr>
          <w:rFonts w:ascii="Times New Roman" w:hAnsi="Times New Roman"/>
          <w:sz w:val="24"/>
          <w:szCs w:val="24"/>
          <w:vertAlign w:val="subscript"/>
          <w:lang w:val="en-GB"/>
        </w:rPr>
        <w:t>CHANGE</w:t>
      </w:r>
      <w:r w:rsidRPr="00605206">
        <w:rPr>
          <w:rFonts w:ascii="Times New Roman" w:hAnsi="Times New Roman"/>
          <w:sz w:val="24"/>
          <w:szCs w:val="24"/>
          <w:lang w:val="en-GB"/>
        </w:rPr>
        <w:t xml:space="preserve"> score (</w:t>
      </w:r>
      <w:r w:rsidRPr="00605206">
        <w:rPr>
          <w:rFonts w:ascii="Times New Roman" w:hAnsi="Times New Roman"/>
          <w:i/>
          <w:sz w:val="24"/>
          <w:szCs w:val="24"/>
          <w:lang w:val="en-GB"/>
        </w:rPr>
        <w:t xml:space="preserve">p </w:t>
      </w:r>
      <w:r w:rsidRPr="00605206">
        <w:rPr>
          <w:rFonts w:ascii="Times New Roman" w:hAnsi="Times New Roman"/>
          <w:sz w:val="24"/>
          <w:szCs w:val="24"/>
          <w:lang w:val="en-GB"/>
        </w:rPr>
        <w:t xml:space="preserve"> = .001) was only nominally significant in the sensitivity analyses (</w:t>
      </w:r>
      <w:r w:rsidRPr="00605206">
        <w:rPr>
          <w:rFonts w:ascii="Times New Roman" w:hAnsi="Times New Roman"/>
          <w:i/>
          <w:sz w:val="24"/>
          <w:szCs w:val="24"/>
          <w:lang w:val="en-GB"/>
        </w:rPr>
        <w:t>p</w:t>
      </w:r>
      <w:r w:rsidRPr="00605206">
        <w:rPr>
          <w:rFonts w:ascii="Times New Roman" w:hAnsi="Times New Roman"/>
          <w:sz w:val="24"/>
          <w:szCs w:val="24"/>
          <w:lang w:val="en-GB"/>
        </w:rPr>
        <w:t xml:space="preserve"> = .027). Sensitivity analyses were also performed for the regression analyses predicting change in anxiety symptom and school concern scores. For the anxiety symptom analyses, the direction and significance of effects were highly similar to the analyses with outliers removed. For the school concern analyses, increases in attentional bias toward threat predicted a decrease in school concerns across the transition period, but this effect was no longer statistically significant</w:t>
      </w:r>
      <w:r w:rsidR="000D2A28" w:rsidRPr="00605206">
        <w:rPr>
          <w:rFonts w:ascii="Times New Roman" w:hAnsi="Times New Roman"/>
          <w:sz w:val="24"/>
          <w:szCs w:val="24"/>
          <w:lang w:val="en-GB"/>
        </w:rPr>
        <w:t xml:space="preserve"> (</w:t>
      </w:r>
      <w:r w:rsidR="000D2A28" w:rsidRPr="00605206">
        <w:rPr>
          <w:rFonts w:ascii="Times New Roman" w:hAnsi="Times New Roman"/>
          <w:i/>
          <w:sz w:val="24"/>
          <w:szCs w:val="24"/>
          <w:lang w:val="en-GB"/>
        </w:rPr>
        <w:t xml:space="preserve">t = </w:t>
      </w:r>
      <w:r w:rsidR="000D2A28" w:rsidRPr="00605206">
        <w:rPr>
          <w:rFonts w:ascii="Times New Roman" w:hAnsi="Times New Roman"/>
          <w:sz w:val="24"/>
          <w:szCs w:val="24"/>
          <w:lang w:val="en-GB"/>
        </w:rPr>
        <w:t xml:space="preserve">-1.37, </w:t>
      </w:r>
      <w:r w:rsidR="000D2A28" w:rsidRPr="00605206">
        <w:rPr>
          <w:rFonts w:ascii="Times New Roman" w:hAnsi="Times New Roman"/>
          <w:i/>
          <w:sz w:val="24"/>
          <w:szCs w:val="24"/>
          <w:lang w:val="en-GB"/>
        </w:rPr>
        <w:t>p</w:t>
      </w:r>
      <w:r w:rsidR="000D2A28" w:rsidRPr="00605206">
        <w:rPr>
          <w:rFonts w:ascii="Times New Roman" w:hAnsi="Times New Roman"/>
          <w:sz w:val="24"/>
          <w:szCs w:val="24"/>
          <w:lang w:val="en-GB"/>
        </w:rPr>
        <w:t xml:space="preserve"> = .18)</w:t>
      </w:r>
      <w:r w:rsidRPr="00605206">
        <w:rPr>
          <w:rFonts w:ascii="Times New Roman" w:hAnsi="Times New Roman"/>
          <w:sz w:val="24"/>
          <w:szCs w:val="24"/>
          <w:lang w:val="en-GB"/>
        </w:rPr>
        <w:t xml:space="preserve">. Overall, the substantive conclusions remained unchanged despite minor fluctuations in effect size and </w:t>
      </w:r>
      <w:r w:rsidRPr="00605206">
        <w:rPr>
          <w:rFonts w:ascii="Times New Roman" w:hAnsi="Times New Roman"/>
          <w:i/>
          <w:sz w:val="24"/>
          <w:szCs w:val="24"/>
          <w:lang w:val="en-GB"/>
        </w:rPr>
        <w:t xml:space="preserve">p </w:t>
      </w:r>
      <w:r w:rsidRPr="00605206">
        <w:rPr>
          <w:rFonts w:ascii="Times New Roman" w:hAnsi="Times New Roman"/>
          <w:sz w:val="24"/>
          <w:szCs w:val="24"/>
          <w:lang w:val="en-GB"/>
        </w:rPr>
        <w:t>value.</w:t>
      </w:r>
      <w:r>
        <w:rPr>
          <w:rFonts w:ascii="Times New Roman" w:hAnsi="Times New Roman"/>
          <w:sz w:val="24"/>
          <w:szCs w:val="24"/>
          <w:lang w:val="en-GB"/>
        </w:rPr>
        <w:t xml:space="preserve">   </w:t>
      </w:r>
    </w:p>
    <w:p w14:paraId="545CCE7A" w14:textId="77777777" w:rsidR="005469F6" w:rsidRPr="005469F6" w:rsidRDefault="005469F6" w:rsidP="005469F6">
      <w:pPr>
        <w:ind w:firstLine="0"/>
        <w:rPr>
          <w:rFonts w:ascii="Times New Roman" w:hAnsi="Times New Roman"/>
          <w:b/>
          <w:sz w:val="24"/>
          <w:szCs w:val="24"/>
          <w:lang w:val="en-GB"/>
        </w:rPr>
      </w:pPr>
      <w:r w:rsidRPr="005469F6">
        <w:rPr>
          <w:rFonts w:ascii="Times New Roman" w:hAnsi="Times New Roman"/>
          <w:b/>
          <w:sz w:val="24"/>
          <w:szCs w:val="24"/>
          <w:lang w:val="en-GB"/>
        </w:rPr>
        <w:t>Exploratory Analyses Confined to Individuals Exceeding Clinical Cut-off for Anxiety Symptoms</w:t>
      </w:r>
    </w:p>
    <w:p w14:paraId="076A1323" w14:textId="77777777" w:rsidR="005469F6" w:rsidRPr="00A558C8" w:rsidRDefault="005469F6" w:rsidP="005469F6">
      <w:pPr>
        <w:rPr>
          <w:rFonts w:ascii="Times New Roman" w:hAnsi="Times New Roman"/>
          <w:sz w:val="24"/>
          <w:szCs w:val="24"/>
          <w:lang w:val="en-GB"/>
        </w:rPr>
      </w:pPr>
      <w:r w:rsidRPr="005469F6">
        <w:rPr>
          <w:rFonts w:ascii="Times New Roman" w:hAnsi="Times New Roman"/>
          <w:sz w:val="24"/>
          <w:szCs w:val="24"/>
          <w:lang w:val="en-GB"/>
        </w:rPr>
        <w:lastRenderedPageBreak/>
        <w:t>We conducted exploratory analyses confined to the subset of the sample with anxiety symptom scores exceeding the suggested clinical cut-off (</w:t>
      </w:r>
      <w:proofErr w:type="spellStart"/>
      <w:r w:rsidRPr="005469F6">
        <w:rPr>
          <w:rFonts w:ascii="Times New Roman" w:hAnsi="Times New Roman"/>
          <w:sz w:val="24"/>
          <w:szCs w:val="24"/>
          <w:lang w:val="en-GB"/>
        </w:rPr>
        <w:t>Birmaher</w:t>
      </w:r>
      <w:proofErr w:type="spellEnd"/>
      <w:r w:rsidRPr="005469F6">
        <w:rPr>
          <w:rFonts w:ascii="Times New Roman" w:hAnsi="Times New Roman"/>
          <w:sz w:val="24"/>
          <w:szCs w:val="24"/>
          <w:lang w:val="en-GB"/>
        </w:rPr>
        <w:t xml:space="preserve"> et al., 1999). Pre-transition anxiety symptoms, and school concern scores were significantly correlated with interpretation bias (</w:t>
      </w:r>
      <w:r w:rsidRPr="005469F6">
        <w:rPr>
          <w:rFonts w:ascii="Times New Roman" w:hAnsi="Times New Roman"/>
          <w:i/>
          <w:sz w:val="24"/>
          <w:szCs w:val="24"/>
          <w:lang w:val="en-GB"/>
        </w:rPr>
        <w:t xml:space="preserve">r = </w:t>
      </w:r>
      <w:r w:rsidRPr="005469F6">
        <w:rPr>
          <w:rFonts w:ascii="Times New Roman" w:hAnsi="Times New Roman"/>
          <w:sz w:val="24"/>
          <w:szCs w:val="24"/>
          <w:lang w:val="en-GB"/>
        </w:rPr>
        <w:t xml:space="preserve">.503, </w:t>
      </w:r>
      <w:r w:rsidRPr="005469F6">
        <w:rPr>
          <w:rFonts w:ascii="Times New Roman" w:hAnsi="Times New Roman"/>
          <w:i/>
          <w:sz w:val="24"/>
          <w:szCs w:val="24"/>
          <w:lang w:val="en-GB"/>
        </w:rPr>
        <w:t>p</w:t>
      </w:r>
      <w:r w:rsidRPr="005469F6">
        <w:rPr>
          <w:rFonts w:ascii="Times New Roman" w:hAnsi="Times New Roman"/>
          <w:sz w:val="24"/>
          <w:szCs w:val="24"/>
          <w:lang w:val="en-GB"/>
        </w:rPr>
        <w:t xml:space="preserve"> &lt; .001 and </w:t>
      </w:r>
      <w:r w:rsidRPr="005469F6">
        <w:rPr>
          <w:rFonts w:ascii="Times New Roman" w:hAnsi="Times New Roman"/>
          <w:i/>
          <w:sz w:val="24"/>
          <w:szCs w:val="24"/>
          <w:lang w:val="en-GB"/>
        </w:rPr>
        <w:t xml:space="preserve">r = </w:t>
      </w:r>
      <w:r w:rsidRPr="005469F6">
        <w:rPr>
          <w:rFonts w:ascii="Times New Roman" w:hAnsi="Times New Roman"/>
          <w:sz w:val="24"/>
          <w:szCs w:val="24"/>
          <w:lang w:val="en-GB"/>
        </w:rPr>
        <w:t xml:space="preserve">.436, </w:t>
      </w:r>
      <w:r w:rsidRPr="005469F6">
        <w:rPr>
          <w:rFonts w:ascii="Times New Roman" w:hAnsi="Times New Roman"/>
          <w:i/>
          <w:sz w:val="24"/>
          <w:szCs w:val="24"/>
          <w:lang w:val="en-GB"/>
        </w:rPr>
        <w:t>p</w:t>
      </w:r>
      <w:r w:rsidRPr="005469F6">
        <w:rPr>
          <w:rFonts w:ascii="Times New Roman" w:hAnsi="Times New Roman"/>
          <w:sz w:val="24"/>
          <w:szCs w:val="24"/>
          <w:lang w:val="en-GB"/>
        </w:rPr>
        <w:t xml:space="preserve"> &lt; .001). The attentional bias score observed in this subset did not differ significantly from 0 (</w:t>
      </w:r>
      <w:r w:rsidRPr="005469F6">
        <w:rPr>
          <w:rFonts w:ascii="Times New Roman" w:hAnsi="Times New Roman"/>
          <w:i/>
          <w:sz w:val="24"/>
          <w:szCs w:val="24"/>
          <w:lang w:val="en-GB"/>
        </w:rPr>
        <w:t>t</w:t>
      </w:r>
      <w:r w:rsidRPr="005469F6">
        <w:rPr>
          <w:rFonts w:ascii="Times New Roman" w:hAnsi="Times New Roman"/>
          <w:sz w:val="24"/>
          <w:szCs w:val="24"/>
          <w:lang w:val="en-GB"/>
        </w:rPr>
        <w:t xml:space="preserve"> (52) = -0.615, </w:t>
      </w:r>
      <w:r w:rsidRPr="005469F6">
        <w:rPr>
          <w:rFonts w:ascii="Times New Roman" w:hAnsi="Times New Roman"/>
          <w:i/>
          <w:sz w:val="24"/>
          <w:szCs w:val="24"/>
          <w:lang w:val="en-GB"/>
        </w:rPr>
        <w:t xml:space="preserve">p </w:t>
      </w:r>
      <w:r w:rsidRPr="005469F6">
        <w:rPr>
          <w:rFonts w:ascii="Times New Roman" w:hAnsi="Times New Roman"/>
          <w:sz w:val="24"/>
          <w:szCs w:val="24"/>
          <w:lang w:val="en-GB"/>
        </w:rPr>
        <w:t>= .541) and did not differ from those scoring below the suggested cut-off (</w:t>
      </w:r>
      <w:r w:rsidRPr="005469F6">
        <w:rPr>
          <w:rFonts w:ascii="Times New Roman" w:hAnsi="Times New Roman"/>
          <w:i/>
          <w:sz w:val="24"/>
          <w:szCs w:val="24"/>
          <w:lang w:val="en-GB"/>
        </w:rPr>
        <w:t xml:space="preserve">t </w:t>
      </w:r>
      <w:r w:rsidRPr="005469F6">
        <w:rPr>
          <w:rFonts w:ascii="Times New Roman" w:hAnsi="Times New Roman"/>
          <w:sz w:val="24"/>
          <w:szCs w:val="24"/>
          <w:lang w:val="en-GB"/>
        </w:rPr>
        <w:t xml:space="preserve">(104) = .039, </w:t>
      </w:r>
      <w:r w:rsidRPr="005469F6">
        <w:rPr>
          <w:rFonts w:ascii="Times New Roman" w:hAnsi="Times New Roman"/>
          <w:i/>
          <w:sz w:val="24"/>
          <w:szCs w:val="24"/>
          <w:lang w:val="en-GB"/>
        </w:rPr>
        <w:t xml:space="preserve">p </w:t>
      </w:r>
      <w:r w:rsidRPr="005469F6">
        <w:rPr>
          <w:rFonts w:ascii="Times New Roman" w:hAnsi="Times New Roman"/>
          <w:sz w:val="24"/>
          <w:szCs w:val="24"/>
          <w:lang w:val="en-GB"/>
        </w:rPr>
        <w:t>= .969). We observed a small association between higher anxiety symptoms and attentional avoidance of threat (</w:t>
      </w:r>
      <w:r w:rsidRPr="005469F6">
        <w:rPr>
          <w:rFonts w:ascii="Times New Roman" w:hAnsi="Times New Roman"/>
          <w:i/>
          <w:sz w:val="24"/>
          <w:szCs w:val="24"/>
          <w:lang w:val="en-GB"/>
        </w:rPr>
        <w:t>r</w:t>
      </w:r>
      <w:r w:rsidRPr="005469F6">
        <w:rPr>
          <w:rFonts w:ascii="Times New Roman" w:hAnsi="Times New Roman"/>
          <w:sz w:val="24"/>
          <w:szCs w:val="24"/>
          <w:lang w:val="en-GB"/>
        </w:rPr>
        <w:t xml:space="preserve"> = -.270, </w:t>
      </w:r>
      <w:r w:rsidRPr="005469F6">
        <w:rPr>
          <w:rFonts w:ascii="Times New Roman" w:hAnsi="Times New Roman"/>
          <w:i/>
          <w:sz w:val="24"/>
          <w:szCs w:val="24"/>
          <w:lang w:val="en-GB"/>
        </w:rPr>
        <w:t>p</w:t>
      </w:r>
      <w:r w:rsidRPr="005469F6">
        <w:rPr>
          <w:rFonts w:ascii="Times New Roman" w:hAnsi="Times New Roman"/>
          <w:sz w:val="24"/>
          <w:szCs w:val="24"/>
          <w:lang w:val="en-GB"/>
        </w:rPr>
        <w:t xml:space="preserve"> = .05) at pre-transition only and not with any other measures. Change in anxiety symptom scores was significantly associated with change in attentional bias toward threat stimuli only, with the direction of effects the same as that observed in the full dataset (</w:t>
      </w:r>
      <w:r w:rsidRPr="005469F6">
        <w:rPr>
          <w:rFonts w:ascii="Times New Roman" w:hAnsi="Times New Roman"/>
          <w:i/>
          <w:sz w:val="24"/>
          <w:szCs w:val="24"/>
          <w:lang w:val="en-GB"/>
        </w:rPr>
        <w:t xml:space="preserve">r </w:t>
      </w:r>
      <w:r w:rsidRPr="005469F6">
        <w:rPr>
          <w:rFonts w:ascii="Times New Roman" w:hAnsi="Times New Roman"/>
          <w:sz w:val="24"/>
          <w:szCs w:val="24"/>
          <w:lang w:val="en-GB"/>
        </w:rPr>
        <w:t xml:space="preserve">= -.418, </w:t>
      </w:r>
      <w:r w:rsidRPr="005469F6">
        <w:rPr>
          <w:rFonts w:ascii="Times New Roman" w:hAnsi="Times New Roman"/>
          <w:i/>
          <w:sz w:val="24"/>
          <w:szCs w:val="24"/>
          <w:lang w:val="en-GB"/>
        </w:rPr>
        <w:t>p</w:t>
      </w:r>
      <w:r w:rsidRPr="005469F6">
        <w:rPr>
          <w:rFonts w:ascii="Times New Roman" w:hAnsi="Times New Roman"/>
          <w:sz w:val="24"/>
          <w:szCs w:val="24"/>
          <w:lang w:val="en-GB"/>
        </w:rPr>
        <w:t xml:space="preserve"> = .030). Change in school concerns was not significantly associated with any variables in this subset.</w:t>
      </w:r>
    </w:p>
    <w:p w14:paraId="27CF3CD0" w14:textId="77777777" w:rsidR="005469F6" w:rsidRPr="00000CA8" w:rsidRDefault="005469F6" w:rsidP="00D9665D">
      <w:pPr>
        <w:ind w:firstLine="0"/>
        <w:rPr>
          <w:rFonts w:ascii="Times New Roman" w:hAnsi="Times New Roman"/>
          <w:sz w:val="24"/>
          <w:szCs w:val="24"/>
          <w:lang w:val="en-GB"/>
        </w:rPr>
      </w:pPr>
    </w:p>
    <w:sectPr w:rsidR="005469F6" w:rsidRPr="00000CA8" w:rsidSect="00000CA8">
      <w:headerReference w:type="even" r:id="rId12"/>
      <w:headerReference w:type="default" r:id="rId13"/>
      <w:footerReference w:type="even" r:id="rId14"/>
      <w:footerReference w:type="default" r:id="rId15"/>
      <w:headerReference w:type="first" r:id="rId16"/>
      <w:pgSz w:w="11900" w:h="16840"/>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F6756" w14:textId="77777777" w:rsidR="009B5965" w:rsidRDefault="009B5965" w:rsidP="00A46A00">
      <w:pPr>
        <w:spacing w:line="240" w:lineRule="auto"/>
      </w:pPr>
      <w:r>
        <w:separator/>
      </w:r>
    </w:p>
  </w:endnote>
  <w:endnote w:type="continuationSeparator" w:id="0">
    <w:p w14:paraId="7AF29C61" w14:textId="77777777" w:rsidR="009B5965" w:rsidRDefault="009B5965" w:rsidP="00A46A00">
      <w:pPr>
        <w:spacing w:line="240" w:lineRule="auto"/>
      </w:pPr>
      <w:r>
        <w:continuationSeparator/>
      </w:r>
    </w:p>
  </w:endnote>
  <w:endnote w:type="continuationNotice" w:id="1">
    <w:p w14:paraId="140602D6" w14:textId="77777777" w:rsidR="009B5965" w:rsidRDefault="009B596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Avenir Book">
    <w:panose1 w:val="02000503020000020003"/>
    <w:charset w:val="00"/>
    <w:family w:val="auto"/>
    <w:pitch w:val="variable"/>
    <w:sig w:usb0="800000AF" w:usb1="5000204A" w:usb2="00000000" w:usb3="00000000" w:csb0="0000009B" w:csb1="00000000"/>
  </w:font>
  <w:font w:name="Lucida Grande">
    <w:panose1 w:val="020B0600040502020204"/>
    <w:charset w:val="00"/>
    <w:family w:val="swiss"/>
    <w:pitch w:val="variable"/>
    <w:sig w:usb0="E1000AEF" w:usb1="5000A1FF" w:usb2="00000000" w:usb3="00000000" w:csb0="000001BF" w:csb1="00000000"/>
  </w:font>
  <w:font w:name="Times">
    <w:altName w:val="Times Roman"/>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venir">
    <w:altName w:val="Avenir Oblique"/>
    <w:panose1 w:val="02000503020000020003"/>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B7049" w14:textId="77777777" w:rsidR="00D8578A" w:rsidRDefault="00D8578A" w:rsidP="00A46A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E6BE33" w14:textId="77777777" w:rsidR="00D8578A" w:rsidRDefault="00D8578A" w:rsidP="00A46A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405FB" w14:textId="77777777" w:rsidR="00D8578A" w:rsidRDefault="00D8578A" w:rsidP="00A46A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04608" w14:textId="77777777" w:rsidR="009B5965" w:rsidRDefault="009B5965" w:rsidP="00A46A00">
      <w:pPr>
        <w:spacing w:line="240" w:lineRule="auto"/>
      </w:pPr>
      <w:r>
        <w:separator/>
      </w:r>
    </w:p>
  </w:footnote>
  <w:footnote w:type="continuationSeparator" w:id="0">
    <w:p w14:paraId="35BABCDA" w14:textId="77777777" w:rsidR="009B5965" w:rsidRDefault="009B5965" w:rsidP="00A46A00">
      <w:pPr>
        <w:spacing w:line="240" w:lineRule="auto"/>
      </w:pPr>
      <w:r>
        <w:continuationSeparator/>
      </w:r>
    </w:p>
  </w:footnote>
  <w:footnote w:type="continuationNotice" w:id="1">
    <w:p w14:paraId="0BC7E311" w14:textId="77777777" w:rsidR="009B5965" w:rsidRDefault="009B596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BAC3A" w14:textId="77777777" w:rsidR="00D8578A" w:rsidRDefault="00D8578A" w:rsidP="00BE183B">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A8C8FB" w14:textId="77777777" w:rsidR="00D8578A" w:rsidRDefault="00D8578A" w:rsidP="00844BF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AEDCF" w14:textId="77777777" w:rsidR="00D8578A" w:rsidRDefault="00D8578A" w:rsidP="00BE183B">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69F6">
      <w:rPr>
        <w:rStyle w:val="PageNumber"/>
        <w:noProof/>
      </w:rPr>
      <w:t>6</w:t>
    </w:r>
    <w:r>
      <w:rPr>
        <w:rStyle w:val="PageNumber"/>
      </w:rPr>
      <w:fldChar w:fldCharType="end"/>
    </w:r>
  </w:p>
  <w:p w14:paraId="126FFB4B" w14:textId="0350184D" w:rsidR="00D8578A" w:rsidRDefault="00D8578A" w:rsidP="00844BF4">
    <w:pPr>
      <w:pStyle w:val="Header"/>
      <w:ind w:right="360"/>
    </w:pPr>
    <w:r>
      <w:t>SCHOOL TRANSITION AND EMOTIONAL SYMPTOMS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E8A69" w14:textId="77777777" w:rsidR="00D8578A" w:rsidRPr="00000CA8" w:rsidRDefault="00D8578A" w:rsidP="001D0D85">
    <w:pPr>
      <w:pStyle w:val="Header"/>
      <w:framePr w:wrap="none" w:vAnchor="text" w:hAnchor="margin" w:xAlign="right" w:y="1"/>
      <w:rPr>
        <w:rStyle w:val="PageNumber"/>
        <w:rFonts w:ascii="Times New Roman" w:hAnsi="Times New Roman"/>
        <w:sz w:val="24"/>
      </w:rPr>
    </w:pPr>
    <w:r w:rsidRPr="00000CA8">
      <w:rPr>
        <w:rStyle w:val="PageNumber"/>
        <w:rFonts w:ascii="Times New Roman" w:hAnsi="Times New Roman"/>
        <w:sz w:val="24"/>
      </w:rPr>
      <w:fldChar w:fldCharType="begin"/>
    </w:r>
    <w:r w:rsidRPr="00000CA8">
      <w:rPr>
        <w:rStyle w:val="PageNumber"/>
        <w:rFonts w:ascii="Times New Roman" w:hAnsi="Times New Roman"/>
        <w:sz w:val="24"/>
      </w:rPr>
      <w:instrText xml:space="preserve">PAGE  </w:instrText>
    </w:r>
    <w:r w:rsidRPr="00000CA8">
      <w:rPr>
        <w:rStyle w:val="PageNumber"/>
        <w:rFonts w:ascii="Times New Roman" w:hAnsi="Times New Roman"/>
        <w:sz w:val="24"/>
      </w:rPr>
      <w:fldChar w:fldCharType="separate"/>
    </w:r>
    <w:r w:rsidR="005469F6">
      <w:rPr>
        <w:rStyle w:val="PageNumber"/>
        <w:rFonts w:ascii="Times New Roman" w:hAnsi="Times New Roman"/>
        <w:noProof/>
        <w:sz w:val="24"/>
      </w:rPr>
      <w:t>1</w:t>
    </w:r>
    <w:r w:rsidRPr="00000CA8">
      <w:rPr>
        <w:rStyle w:val="PageNumber"/>
        <w:rFonts w:ascii="Times New Roman" w:hAnsi="Times New Roman"/>
        <w:sz w:val="24"/>
      </w:rPr>
      <w:fldChar w:fldCharType="end"/>
    </w:r>
  </w:p>
  <w:p w14:paraId="6FB0960D" w14:textId="13DEEE36" w:rsidR="00D8578A" w:rsidRPr="00000CA8" w:rsidRDefault="00D8578A" w:rsidP="00B11926">
    <w:pPr>
      <w:pStyle w:val="Header"/>
      <w:tabs>
        <w:tab w:val="clear" w:pos="8640"/>
        <w:tab w:val="left" w:pos="8165"/>
      </w:tabs>
      <w:ind w:right="360"/>
      <w:jc w:val="both"/>
      <w:rPr>
        <w:rFonts w:ascii="Times New Roman" w:hAnsi="Times New Roman"/>
      </w:rPr>
    </w:pPr>
    <w:r>
      <w:rPr>
        <w:rFonts w:ascii="Times New Roman" w:hAnsi="Times New Roman"/>
        <w:sz w:val="24"/>
      </w:rPr>
      <w:t xml:space="preserve">Running Head: </w:t>
    </w:r>
    <w:r w:rsidRPr="00000CA8">
      <w:rPr>
        <w:rFonts w:ascii="Times New Roman" w:hAnsi="Times New Roman"/>
        <w:sz w:val="24"/>
      </w:rPr>
      <w:t>SCHOOL TRANSITION AND EMOTIONAL SYMPTOMS</w:t>
    </w:r>
    <w:r w:rsidRPr="00000CA8">
      <w:rPr>
        <w:rFonts w:ascii="Times New Roman" w:hAnsi="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02392B"/>
    <w:multiLevelType w:val="hybridMultilevel"/>
    <w:tmpl w:val="0EA07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Avenir&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rrpeaeex922zxhe5s2epv55jdvxz2asfradv&quot;&gt;Cognitive Psychology_Aug15&lt;record-ids&gt;&lt;item&gt;175&lt;/item&gt;&lt;item&gt;220&lt;/item&gt;&lt;item&gt;485&lt;/item&gt;&lt;item&gt;511&lt;/item&gt;&lt;item&gt;584&lt;/item&gt;&lt;item&gt;935&lt;/item&gt;&lt;item&gt;936&lt;/item&gt;&lt;item&gt;1035&lt;/item&gt;&lt;item&gt;1049&lt;/item&gt;&lt;item&gt;1072&lt;/item&gt;&lt;item&gt;2221&lt;/item&gt;&lt;item&gt;2255&lt;/item&gt;&lt;item&gt;2256&lt;/item&gt;&lt;item&gt;2592&lt;/item&gt;&lt;item&gt;2595&lt;/item&gt;&lt;item&gt;2693&lt;/item&gt;&lt;item&gt;2694&lt;/item&gt;&lt;item&gt;2695&lt;/item&gt;&lt;item&gt;2696&lt;/item&gt;&lt;item&gt;2697&lt;/item&gt;&lt;item&gt;2698&lt;/item&gt;&lt;item&gt;2699&lt;/item&gt;&lt;item&gt;2700&lt;/item&gt;&lt;item&gt;2702&lt;/item&gt;&lt;item&gt;2703&lt;/item&gt;&lt;item&gt;2704&lt;/item&gt;&lt;item&gt;2705&lt;/item&gt;&lt;item&gt;2706&lt;/item&gt;&lt;item&gt;2707&lt;/item&gt;&lt;item&gt;2708&lt;/item&gt;&lt;item&gt;2709&lt;/item&gt;&lt;item&gt;2710&lt;/item&gt;&lt;item&gt;2711&lt;/item&gt;&lt;item&gt;2712&lt;/item&gt;&lt;item&gt;2713&lt;/item&gt;&lt;item&gt;2714&lt;/item&gt;&lt;item&gt;2715&lt;/item&gt;&lt;item&gt;2716&lt;/item&gt;&lt;item&gt;2717&lt;/item&gt;&lt;item&gt;2718&lt;/item&gt;&lt;item&gt;2719&lt;/item&gt;&lt;item&gt;2720&lt;/item&gt;&lt;item&gt;2721&lt;/item&gt;&lt;item&gt;2722&lt;/item&gt;&lt;item&gt;2723&lt;/item&gt;&lt;item&gt;2734&lt;/item&gt;&lt;item&gt;2736&lt;/item&gt;&lt;item&gt;2737&lt;/item&gt;&lt;item&gt;2738&lt;/item&gt;&lt;item&gt;2739&lt;/item&gt;&lt;item&gt;2740&lt;/item&gt;&lt;item&gt;2741&lt;/item&gt;&lt;item&gt;2742&lt;/item&gt;&lt;item&gt;2743&lt;/item&gt;&lt;item&gt;2744&lt;/item&gt;&lt;item&gt;2745&lt;/item&gt;&lt;item&gt;2746&lt;/item&gt;&lt;item&gt;2747&lt;/item&gt;&lt;/record-ids&gt;&lt;/item&gt;&lt;/Libraries&gt;"/>
  </w:docVars>
  <w:rsids>
    <w:rsidRoot w:val="00074983"/>
    <w:rsid w:val="00000CA8"/>
    <w:rsid w:val="00001526"/>
    <w:rsid w:val="0000194A"/>
    <w:rsid w:val="000020F4"/>
    <w:rsid w:val="00002635"/>
    <w:rsid w:val="00002B7A"/>
    <w:rsid w:val="00002C87"/>
    <w:rsid w:val="00003DEF"/>
    <w:rsid w:val="00005BF9"/>
    <w:rsid w:val="00006A06"/>
    <w:rsid w:val="00011557"/>
    <w:rsid w:val="000145C4"/>
    <w:rsid w:val="000154BE"/>
    <w:rsid w:val="00015A80"/>
    <w:rsid w:val="00017ED0"/>
    <w:rsid w:val="00020766"/>
    <w:rsid w:val="000213C1"/>
    <w:rsid w:val="00022AF4"/>
    <w:rsid w:val="00022B7A"/>
    <w:rsid w:val="00024663"/>
    <w:rsid w:val="000248D0"/>
    <w:rsid w:val="000262DA"/>
    <w:rsid w:val="000269BB"/>
    <w:rsid w:val="0002744F"/>
    <w:rsid w:val="0002747A"/>
    <w:rsid w:val="00027DA3"/>
    <w:rsid w:val="00030D51"/>
    <w:rsid w:val="00031905"/>
    <w:rsid w:val="00031AAD"/>
    <w:rsid w:val="00031B37"/>
    <w:rsid w:val="000336FD"/>
    <w:rsid w:val="00034950"/>
    <w:rsid w:val="00034E16"/>
    <w:rsid w:val="00035339"/>
    <w:rsid w:val="0003543D"/>
    <w:rsid w:val="0003593E"/>
    <w:rsid w:val="00035DE7"/>
    <w:rsid w:val="0003615C"/>
    <w:rsid w:val="00040EC9"/>
    <w:rsid w:val="00042139"/>
    <w:rsid w:val="0004282F"/>
    <w:rsid w:val="00044028"/>
    <w:rsid w:val="00044123"/>
    <w:rsid w:val="00046C52"/>
    <w:rsid w:val="0005218B"/>
    <w:rsid w:val="000561D5"/>
    <w:rsid w:val="00057307"/>
    <w:rsid w:val="000607D6"/>
    <w:rsid w:val="00061014"/>
    <w:rsid w:val="000613FB"/>
    <w:rsid w:val="000621DD"/>
    <w:rsid w:val="00062CE6"/>
    <w:rsid w:val="000631B0"/>
    <w:rsid w:val="00063699"/>
    <w:rsid w:val="00065CC6"/>
    <w:rsid w:val="00065FA0"/>
    <w:rsid w:val="0006762E"/>
    <w:rsid w:val="00070B39"/>
    <w:rsid w:val="00070F2A"/>
    <w:rsid w:val="000710BC"/>
    <w:rsid w:val="00072484"/>
    <w:rsid w:val="00072A9C"/>
    <w:rsid w:val="0007342E"/>
    <w:rsid w:val="00074983"/>
    <w:rsid w:val="00074A7E"/>
    <w:rsid w:val="00074F0A"/>
    <w:rsid w:val="00075CBF"/>
    <w:rsid w:val="00076024"/>
    <w:rsid w:val="00076588"/>
    <w:rsid w:val="00076AC0"/>
    <w:rsid w:val="00076E7E"/>
    <w:rsid w:val="0008176B"/>
    <w:rsid w:val="000817B0"/>
    <w:rsid w:val="0008392A"/>
    <w:rsid w:val="00083FA1"/>
    <w:rsid w:val="00084039"/>
    <w:rsid w:val="00084DE4"/>
    <w:rsid w:val="00086748"/>
    <w:rsid w:val="00087814"/>
    <w:rsid w:val="00087CF1"/>
    <w:rsid w:val="0009096D"/>
    <w:rsid w:val="000925CB"/>
    <w:rsid w:val="000939D8"/>
    <w:rsid w:val="00097ED7"/>
    <w:rsid w:val="000A030D"/>
    <w:rsid w:val="000A13D7"/>
    <w:rsid w:val="000A28BE"/>
    <w:rsid w:val="000A386A"/>
    <w:rsid w:val="000A3D50"/>
    <w:rsid w:val="000A41E4"/>
    <w:rsid w:val="000A4A31"/>
    <w:rsid w:val="000A6493"/>
    <w:rsid w:val="000A65A2"/>
    <w:rsid w:val="000A7D4B"/>
    <w:rsid w:val="000B0255"/>
    <w:rsid w:val="000B0613"/>
    <w:rsid w:val="000B7DCB"/>
    <w:rsid w:val="000C0778"/>
    <w:rsid w:val="000C11C5"/>
    <w:rsid w:val="000C3642"/>
    <w:rsid w:val="000C5065"/>
    <w:rsid w:val="000C58EB"/>
    <w:rsid w:val="000C67A4"/>
    <w:rsid w:val="000C6AF9"/>
    <w:rsid w:val="000C7088"/>
    <w:rsid w:val="000C73AF"/>
    <w:rsid w:val="000D0FCF"/>
    <w:rsid w:val="000D21AC"/>
    <w:rsid w:val="000D2A28"/>
    <w:rsid w:val="000D4E33"/>
    <w:rsid w:val="000D5C57"/>
    <w:rsid w:val="000D60DC"/>
    <w:rsid w:val="000D672B"/>
    <w:rsid w:val="000D6B07"/>
    <w:rsid w:val="000D6E3D"/>
    <w:rsid w:val="000E03CF"/>
    <w:rsid w:val="000E0E44"/>
    <w:rsid w:val="000E1579"/>
    <w:rsid w:val="000E336B"/>
    <w:rsid w:val="000E573E"/>
    <w:rsid w:val="000E5EE4"/>
    <w:rsid w:val="000E6079"/>
    <w:rsid w:val="000E6090"/>
    <w:rsid w:val="000E73AD"/>
    <w:rsid w:val="000F04E7"/>
    <w:rsid w:val="000F12D1"/>
    <w:rsid w:val="000F1BEC"/>
    <w:rsid w:val="000F30FB"/>
    <w:rsid w:val="000F3584"/>
    <w:rsid w:val="000F3DDA"/>
    <w:rsid w:val="000F528D"/>
    <w:rsid w:val="000F5C07"/>
    <w:rsid w:val="000F5DB8"/>
    <w:rsid w:val="000F61CC"/>
    <w:rsid w:val="000F676F"/>
    <w:rsid w:val="00100228"/>
    <w:rsid w:val="00100720"/>
    <w:rsid w:val="00100CCC"/>
    <w:rsid w:val="00101FA7"/>
    <w:rsid w:val="00105E0E"/>
    <w:rsid w:val="0010657C"/>
    <w:rsid w:val="0010734C"/>
    <w:rsid w:val="0010779F"/>
    <w:rsid w:val="0011024E"/>
    <w:rsid w:val="00113AF5"/>
    <w:rsid w:val="001151C7"/>
    <w:rsid w:val="0011663B"/>
    <w:rsid w:val="001172D9"/>
    <w:rsid w:val="00120155"/>
    <w:rsid w:val="00120360"/>
    <w:rsid w:val="001223BD"/>
    <w:rsid w:val="001229C1"/>
    <w:rsid w:val="001237D9"/>
    <w:rsid w:val="00124D45"/>
    <w:rsid w:val="00125DB8"/>
    <w:rsid w:val="00126EA9"/>
    <w:rsid w:val="00127B35"/>
    <w:rsid w:val="00131BAB"/>
    <w:rsid w:val="00134D3C"/>
    <w:rsid w:val="00134E10"/>
    <w:rsid w:val="00135432"/>
    <w:rsid w:val="001363C5"/>
    <w:rsid w:val="00137FEA"/>
    <w:rsid w:val="00140075"/>
    <w:rsid w:val="0014228B"/>
    <w:rsid w:val="0014334B"/>
    <w:rsid w:val="00143ADA"/>
    <w:rsid w:val="00143E95"/>
    <w:rsid w:val="001443FA"/>
    <w:rsid w:val="00145AE9"/>
    <w:rsid w:val="00147D8F"/>
    <w:rsid w:val="00150CC7"/>
    <w:rsid w:val="00153170"/>
    <w:rsid w:val="00154A94"/>
    <w:rsid w:val="001552CE"/>
    <w:rsid w:val="001564BC"/>
    <w:rsid w:val="001574B0"/>
    <w:rsid w:val="00157A18"/>
    <w:rsid w:val="001630E9"/>
    <w:rsid w:val="00163DC2"/>
    <w:rsid w:val="00164B4D"/>
    <w:rsid w:val="00164CB0"/>
    <w:rsid w:val="00164E57"/>
    <w:rsid w:val="001654D2"/>
    <w:rsid w:val="00166370"/>
    <w:rsid w:val="00166C27"/>
    <w:rsid w:val="001672C2"/>
    <w:rsid w:val="001679D9"/>
    <w:rsid w:val="00170294"/>
    <w:rsid w:val="00171766"/>
    <w:rsid w:val="00171C63"/>
    <w:rsid w:val="001734D6"/>
    <w:rsid w:val="0017471A"/>
    <w:rsid w:val="00176E31"/>
    <w:rsid w:val="00177F83"/>
    <w:rsid w:val="00182F15"/>
    <w:rsid w:val="001838AE"/>
    <w:rsid w:val="00185142"/>
    <w:rsid w:val="001851BC"/>
    <w:rsid w:val="00186EC0"/>
    <w:rsid w:val="001871C6"/>
    <w:rsid w:val="00191FED"/>
    <w:rsid w:val="00192881"/>
    <w:rsid w:val="00193D5F"/>
    <w:rsid w:val="00193D80"/>
    <w:rsid w:val="00195CB0"/>
    <w:rsid w:val="0019718B"/>
    <w:rsid w:val="001979B9"/>
    <w:rsid w:val="001A1241"/>
    <w:rsid w:val="001A148D"/>
    <w:rsid w:val="001A1D0C"/>
    <w:rsid w:val="001A246D"/>
    <w:rsid w:val="001A4F84"/>
    <w:rsid w:val="001A5365"/>
    <w:rsid w:val="001A76E4"/>
    <w:rsid w:val="001B0D15"/>
    <w:rsid w:val="001B128E"/>
    <w:rsid w:val="001B1FEB"/>
    <w:rsid w:val="001B334A"/>
    <w:rsid w:val="001B3A56"/>
    <w:rsid w:val="001B4403"/>
    <w:rsid w:val="001B5DF4"/>
    <w:rsid w:val="001B646C"/>
    <w:rsid w:val="001B734F"/>
    <w:rsid w:val="001B791A"/>
    <w:rsid w:val="001C0D71"/>
    <w:rsid w:val="001C0E91"/>
    <w:rsid w:val="001C14AE"/>
    <w:rsid w:val="001C2B3C"/>
    <w:rsid w:val="001C2F0A"/>
    <w:rsid w:val="001C4003"/>
    <w:rsid w:val="001C489E"/>
    <w:rsid w:val="001C51F5"/>
    <w:rsid w:val="001D0D85"/>
    <w:rsid w:val="001D1B8B"/>
    <w:rsid w:val="001D1BA5"/>
    <w:rsid w:val="001D527B"/>
    <w:rsid w:val="001D54C9"/>
    <w:rsid w:val="001D5562"/>
    <w:rsid w:val="001D6DEE"/>
    <w:rsid w:val="001D7189"/>
    <w:rsid w:val="001D7B11"/>
    <w:rsid w:val="001E09CC"/>
    <w:rsid w:val="001E2ED6"/>
    <w:rsid w:val="001E3ECE"/>
    <w:rsid w:val="001E5DD0"/>
    <w:rsid w:val="001E62D2"/>
    <w:rsid w:val="001E6664"/>
    <w:rsid w:val="001E736E"/>
    <w:rsid w:val="001F1015"/>
    <w:rsid w:val="001F2456"/>
    <w:rsid w:val="001F2D1A"/>
    <w:rsid w:val="001F3EBA"/>
    <w:rsid w:val="001F4440"/>
    <w:rsid w:val="001F4660"/>
    <w:rsid w:val="001F4C31"/>
    <w:rsid w:val="001F6E11"/>
    <w:rsid w:val="001F72C7"/>
    <w:rsid w:val="00200452"/>
    <w:rsid w:val="0020076D"/>
    <w:rsid w:val="0020088E"/>
    <w:rsid w:val="00201EBA"/>
    <w:rsid w:val="00203491"/>
    <w:rsid w:val="0020485C"/>
    <w:rsid w:val="0020581C"/>
    <w:rsid w:val="00210C4F"/>
    <w:rsid w:val="0021155C"/>
    <w:rsid w:val="00211642"/>
    <w:rsid w:val="00211CB6"/>
    <w:rsid w:val="002125CF"/>
    <w:rsid w:val="00212D1E"/>
    <w:rsid w:val="00213368"/>
    <w:rsid w:val="0021411F"/>
    <w:rsid w:val="00214277"/>
    <w:rsid w:val="00214842"/>
    <w:rsid w:val="00214EF8"/>
    <w:rsid w:val="00220EE9"/>
    <w:rsid w:val="00224391"/>
    <w:rsid w:val="0022533B"/>
    <w:rsid w:val="00225C7C"/>
    <w:rsid w:val="0022710B"/>
    <w:rsid w:val="00227890"/>
    <w:rsid w:val="00232B03"/>
    <w:rsid w:val="00236545"/>
    <w:rsid w:val="002406DD"/>
    <w:rsid w:val="00241DA8"/>
    <w:rsid w:val="00243D87"/>
    <w:rsid w:val="0024597E"/>
    <w:rsid w:val="002467A5"/>
    <w:rsid w:val="00246A17"/>
    <w:rsid w:val="0024788C"/>
    <w:rsid w:val="002509A2"/>
    <w:rsid w:val="00250BEB"/>
    <w:rsid w:val="002526AF"/>
    <w:rsid w:val="00253915"/>
    <w:rsid w:val="00253B3D"/>
    <w:rsid w:val="002562CE"/>
    <w:rsid w:val="002573A0"/>
    <w:rsid w:val="00260267"/>
    <w:rsid w:val="002618A4"/>
    <w:rsid w:val="002619F8"/>
    <w:rsid w:val="00264537"/>
    <w:rsid w:val="00266F03"/>
    <w:rsid w:val="00267580"/>
    <w:rsid w:val="0026776B"/>
    <w:rsid w:val="00270008"/>
    <w:rsid w:val="00270312"/>
    <w:rsid w:val="002704EB"/>
    <w:rsid w:val="00270938"/>
    <w:rsid w:val="00272342"/>
    <w:rsid w:val="00275014"/>
    <w:rsid w:val="00275681"/>
    <w:rsid w:val="00276A1F"/>
    <w:rsid w:val="00277A1C"/>
    <w:rsid w:val="00281C02"/>
    <w:rsid w:val="00282BE2"/>
    <w:rsid w:val="00285120"/>
    <w:rsid w:val="00285A51"/>
    <w:rsid w:val="00285DB1"/>
    <w:rsid w:val="0028629D"/>
    <w:rsid w:val="00286A32"/>
    <w:rsid w:val="002876EC"/>
    <w:rsid w:val="00291209"/>
    <w:rsid w:val="0029122F"/>
    <w:rsid w:val="002916F4"/>
    <w:rsid w:val="00291E32"/>
    <w:rsid w:val="0029271C"/>
    <w:rsid w:val="00292B37"/>
    <w:rsid w:val="00292E0F"/>
    <w:rsid w:val="0029394A"/>
    <w:rsid w:val="00294B51"/>
    <w:rsid w:val="00295EAB"/>
    <w:rsid w:val="002967DB"/>
    <w:rsid w:val="00296EDA"/>
    <w:rsid w:val="00297BFB"/>
    <w:rsid w:val="002A023A"/>
    <w:rsid w:val="002A12E7"/>
    <w:rsid w:val="002A178D"/>
    <w:rsid w:val="002A2AD7"/>
    <w:rsid w:val="002A42F4"/>
    <w:rsid w:val="002B2EAA"/>
    <w:rsid w:val="002B3288"/>
    <w:rsid w:val="002B32FE"/>
    <w:rsid w:val="002B38ED"/>
    <w:rsid w:val="002B57A3"/>
    <w:rsid w:val="002B57C9"/>
    <w:rsid w:val="002B74A4"/>
    <w:rsid w:val="002B7D4B"/>
    <w:rsid w:val="002C1D9E"/>
    <w:rsid w:val="002C2AF9"/>
    <w:rsid w:val="002C41B4"/>
    <w:rsid w:val="002C5C63"/>
    <w:rsid w:val="002C6D06"/>
    <w:rsid w:val="002C794C"/>
    <w:rsid w:val="002D0762"/>
    <w:rsid w:val="002D0A87"/>
    <w:rsid w:val="002D10B4"/>
    <w:rsid w:val="002D37C0"/>
    <w:rsid w:val="002D409D"/>
    <w:rsid w:val="002D4EA8"/>
    <w:rsid w:val="002D67A1"/>
    <w:rsid w:val="002D6B50"/>
    <w:rsid w:val="002D7723"/>
    <w:rsid w:val="002D777C"/>
    <w:rsid w:val="002E37E0"/>
    <w:rsid w:val="002E3A86"/>
    <w:rsid w:val="002E3EC5"/>
    <w:rsid w:val="002E4317"/>
    <w:rsid w:val="002E45EE"/>
    <w:rsid w:val="002E76C2"/>
    <w:rsid w:val="002F0665"/>
    <w:rsid w:val="002F2ABF"/>
    <w:rsid w:val="002F328B"/>
    <w:rsid w:val="002F4F57"/>
    <w:rsid w:val="002F5C90"/>
    <w:rsid w:val="002F64E6"/>
    <w:rsid w:val="002F6B1E"/>
    <w:rsid w:val="002F6E92"/>
    <w:rsid w:val="003018FF"/>
    <w:rsid w:val="00302FC9"/>
    <w:rsid w:val="00303F41"/>
    <w:rsid w:val="00304BCD"/>
    <w:rsid w:val="00305555"/>
    <w:rsid w:val="003062A5"/>
    <w:rsid w:val="00310FF0"/>
    <w:rsid w:val="00311243"/>
    <w:rsid w:val="003115FB"/>
    <w:rsid w:val="00311794"/>
    <w:rsid w:val="003140F8"/>
    <w:rsid w:val="00314E2A"/>
    <w:rsid w:val="003157AB"/>
    <w:rsid w:val="00315BD2"/>
    <w:rsid w:val="00320F77"/>
    <w:rsid w:val="0032401A"/>
    <w:rsid w:val="0032419F"/>
    <w:rsid w:val="00324DB9"/>
    <w:rsid w:val="003261F4"/>
    <w:rsid w:val="00327E3F"/>
    <w:rsid w:val="00333CF2"/>
    <w:rsid w:val="00334C67"/>
    <w:rsid w:val="00334FEC"/>
    <w:rsid w:val="00335E40"/>
    <w:rsid w:val="00336B5F"/>
    <w:rsid w:val="00341948"/>
    <w:rsid w:val="003436CA"/>
    <w:rsid w:val="00344B21"/>
    <w:rsid w:val="00347743"/>
    <w:rsid w:val="00347B29"/>
    <w:rsid w:val="00350287"/>
    <w:rsid w:val="00350507"/>
    <w:rsid w:val="003511EA"/>
    <w:rsid w:val="0035160B"/>
    <w:rsid w:val="0035282B"/>
    <w:rsid w:val="00353126"/>
    <w:rsid w:val="0035458C"/>
    <w:rsid w:val="00354B6F"/>
    <w:rsid w:val="00355807"/>
    <w:rsid w:val="00355C50"/>
    <w:rsid w:val="00356DA2"/>
    <w:rsid w:val="0035719E"/>
    <w:rsid w:val="0035754F"/>
    <w:rsid w:val="00361224"/>
    <w:rsid w:val="00362267"/>
    <w:rsid w:val="00363548"/>
    <w:rsid w:val="00365D07"/>
    <w:rsid w:val="00370DE9"/>
    <w:rsid w:val="00371B36"/>
    <w:rsid w:val="00373998"/>
    <w:rsid w:val="00374550"/>
    <w:rsid w:val="00375EA7"/>
    <w:rsid w:val="00377CEB"/>
    <w:rsid w:val="00380083"/>
    <w:rsid w:val="0038153C"/>
    <w:rsid w:val="003837F5"/>
    <w:rsid w:val="0038430F"/>
    <w:rsid w:val="00384935"/>
    <w:rsid w:val="00386A6C"/>
    <w:rsid w:val="00387EAB"/>
    <w:rsid w:val="00390C59"/>
    <w:rsid w:val="003928DA"/>
    <w:rsid w:val="00392D04"/>
    <w:rsid w:val="003931A0"/>
    <w:rsid w:val="00393C43"/>
    <w:rsid w:val="00393E80"/>
    <w:rsid w:val="00394027"/>
    <w:rsid w:val="00395FB5"/>
    <w:rsid w:val="003A0C3E"/>
    <w:rsid w:val="003A0C68"/>
    <w:rsid w:val="003A1816"/>
    <w:rsid w:val="003A1CE1"/>
    <w:rsid w:val="003A2A1C"/>
    <w:rsid w:val="003A2D58"/>
    <w:rsid w:val="003A3036"/>
    <w:rsid w:val="003A3207"/>
    <w:rsid w:val="003A36B3"/>
    <w:rsid w:val="003A3A03"/>
    <w:rsid w:val="003A3B12"/>
    <w:rsid w:val="003A3C6C"/>
    <w:rsid w:val="003A78ED"/>
    <w:rsid w:val="003B0EA2"/>
    <w:rsid w:val="003B2189"/>
    <w:rsid w:val="003B4AF8"/>
    <w:rsid w:val="003B5B96"/>
    <w:rsid w:val="003B710A"/>
    <w:rsid w:val="003B76A4"/>
    <w:rsid w:val="003C1553"/>
    <w:rsid w:val="003C4134"/>
    <w:rsid w:val="003C437F"/>
    <w:rsid w:val="003C6D55"/>
    <w:rsid w:val="003C6F89"/>
    <w:rsid w:val="003D267C"/>
    <w:rsid w:val="003D2CC8"/>
    <w:rsid w:val="003D3127"/>
    <w:rsid w:val="003D5092"/>
    <w:rsid w:val="003D5F99"/>
    <w:rsid w:val="003E0B43"/>
    <w:rsid w:val="003E13CD"/>
    <w:rsid w:val="003E1A30"/>
    <w:rsid w:val="003E2038"/>
    <w:rsid w:val="003E24DE"/>
    <w:rsid w:val="003E41B6"/>
    <w:rsid w:val="003E4985"/>
    <w:rsid w:val="003E699B"/>
    <w:rsid w:val="003E7D2A"/>
    <w:rsid w:val="003F119E"/>
    <w:rsid w:val="003F17BF"/>
    <w:rsid w:val="003F32A7"/>
    <w:rsid w:val="003F3BB9"/>
    <w:rsid w:val="003F60C3"/>
    <w:rsid w:val="003F780A"/>
    <w:rsid w:val="0040013C"/>
    <w:rsid w:val="004036EF"/>
    <w:rsid w:val="00404446"/>
    <w:rsid w:val="004061BA"/>
    <w:rsid w:val="004066AD"/>
    <w:rsid w:val="00406A1A"/>
    <w:rsid w:val="004073D0"/>
    <w:rsid w:val="0041004B"/>
    <w:rsid w:val="004106E2"/>
    <w:rsid w:val="004119B6"/>
    <w:rsid w:val="004124DA"/>
    <w:rsid w:val="0041308A"/>
    <w:rsid w:val="00413F34"/>
    <w:rsid w:val="0042136E"/>
    <w:rsid w:val="004215F2"/>
    <w:rsid w:val="00421B9A"/>
    <w:rsid w:val="00422754"/>
    <w:rsid w:val="00423C7C"/>
    <w:rsid w:val="004253EE"/>
    <w:rsid w:val="004258D2"/>
    <w:rsid w:val="00430010"/>
    <w:rsid w:val="00433A63"/>
    <w:rsid w:val="00434020"/>
    <w:rsid w:val="004367DD"/>
    <w:rsid w:val="004374E4"/>
    <w:rsid w:val="004416E5"/>
    <w:rsid w:val="00441A49"/>
    <w:rsid w:val="00442143"/>
    <w:rsid w:val="004451C3"/>
    <w:rsid w:val="00445631"/>
    <w:rsid w:val="004468CF"/>
    <w:rsid w:val="00450D31"/>
    <w:rsid w:val="0045175E"/>
    <w:rsid w:val="00453C94"/>
    <w:rsid w:val="0045476F"/>
    <w:rsid w:val="00454D2B"/>
    <w:rsid w:val="00455156"/>
    <w:rsid w:val="0045591D"/>
    <w:rsid w:val="004562D3"/>
    <w:rsid w:val="0046191F"/>
    <w:rsid w:val="00462433"/>
    <w:rsid w:val="00462CF5"/>
    <w:rsid w:val="00462D3F"/>
    <w:rsid w:val="00463715"/>
    <w:rsid w:val="0046389B"/>
    <w:rsid w:val="004645BF"/>
    <w:rsid w:val="00464667"/>
    <w:rsid w:val="0046541D"/>
    <w:rsid w:val="00465F61"/>
    <w:rsid w:val="00470D19"/>
    <w:rsid w:val="00471587"/>
    <w:rsid w:val="00472E6D"/>
    <w:rsid w:val="00474F2B"/>
    <w:rsid w:val="00474F89"/>
    <w:rsid w:val="004804EC"/>
    <w:rsid w:val="004814F1"/>
    <w:rsid w:val="0048267D"/>
    <w:rsid w:val="0048349A"/>
    <w:rsid w:val="0048386B"/>
    <w:rsid w:val="0048493C"/>
    <w:rsid w:val="00484BDE"/>
    <w:rsid w:val="004864D5"/>
    <w:rsid w:val="004872FE"/>
    <w:rsid w:val="00491B69"/>
    <w:rsid w:val="00495264"/>
    <w:rsid w:val="00496116"/>
    <w:rsid w:val="004A03C6"/>
    <w:rsid w:val="004A1599"/>
    <w:rsid w:val="004A24F6"/>
    <w:rsid w:val="004A2D37"/>
    <w:rsid w:val="004A3115"/>
    <w:rsid w:val="004A3C43"/>
    <w:rsid w:val="004A4444"/>
    <w:rsid w:val="004A46E3"/>
    <w:rsid w:val="004A597A"/>
    <w:rsid w:val="004B12A2"/>
    <w:rsid w:val="004B1F20"/>
    <w:rsid w:val="004B2202"/>
    <w:rsid w:val="004B35E3"/>
    <w:rsid w:val="004B42C4"/>
    <w:rsid w:val="004B48FE"/>
    <w:rsid w:val="004B625D"/>
    <w:rsid w:val="004B7AAA"/>
    <w:rsid w:val="004C0512"/>
    <w:rsid w:val="004C1E3F"/>
    <w:rsid w:val="004C1E85"/>
    <w:rsid w:val="004C2458"/>
    <w:rsid w:val="004C25CF"/>
    <w:rsid w:val="004C3FA0"/>
    <w:rsid w:val="004C4CD0"/>
    <w:rsid w:val="004C57EA"/>
    <w:rsid w:val="004C651C"/>
    <w:rsid w:val="004D0A7F"/>
    <w:rsid w:val="004D14E3"/>
    <w:rsid w:val="004D193E"/>
    <w:rsid w:val="004D1E27"/>
    <w:rsid w:val="004D2617"/>
    <w:rsid w:val="004D34C2"/>
    <w:rsid w:val="004D42ED"/>
    <w:rsid w:val="004D44D4"/>
    <w:rsid w:val="004D620A"/>
    <w:rsid w:val="004D6CBF"/>
    <w:rsid w:val="004D7001"/>
    <w:rsid w:val="004D78ED"/>
    <w:rsid w:val="004E001C"/>
    <w:rsid w:val="004E099B"/>
    <w:rsid w:val="004E1CDC"/>
    <w:rsid w:val="004E39ED"/>
    <w:rsid w:val="004E6438"/>
    <w:rsid w:val="004E6B6A"/>
    <w:rsid w:val="004F14E7"/>
    <w:rsid w:val="004F1B44"/>
    <w:rsid w:val="004F1F07"/>
    <w:rsid w:val="004F42E5"/>
    <w:rsid w:val="004F4AAC"/>
    <w:rsid w:val="004F58A7"/>
    <w:rsid w:val="004F639B"/>
    <w:rsid w:val="004F66AD"/>
    <w:rsid w:val="00500C05"/>
    <w:rsid w:val="005012B2"/>
    <w:rsid w:val="00501C87"/>
    <w:rsid w:val="00503871"/>
    <w:rsid w:val="00503A2B"/>
    <w:rsid w:val="005049C0"/>
    <w:rsid w:val="00504EF6"/>
    <w:rsid w:val="00506010"/>
    <w:rsid w:val="00506064"/>
    <w:rsid w:val="005108F7"/>
    <w:rsid w:val="0051128E"/>
    <w:rsid w:val="005115B4"/>
    <w:rsid w:val="005122BB"/>
    <w:rsid w:val="005126A8"/>
    <w:rsid w:val="0051301E"/>
    <w:rsid w:val="005131BD"/>
    <w:rsid w:val="0051536F"/>
    <w:rsid w:val="00516AF5"/>
    <w:rsid w:val="00516F6D"/>
    <w:rsid w:val="005173F4"/>
    <w:rsid w:val="00520209"/>
    <w:rsid w:val="00521377"/>
    <w:rsid w:val="00521D05"/>
    <w:rsid w:val="00524D6C"/>
    <w:rsid w:val="005251E1"/>
    <w:rsid w:val="00526628"/>
    <w:rsid w:val="00526AF4"/>
    <w:rsid w:val="005278E6"/>
    <w:rsid w:val="0053052E"/>
    <w:rsid w:val="005341D9"/>
    <w:rsid w:val="00535553"/>
    <w:rsid w:val="00535750"/>
    <w:rsid w:val="00536BE4"/>
    <w:rsid w:val="00537912"/>
    <w:rsid w:val="00537A93"/>
    <w:rsid w:val="00541984"/>
    <w:rsid w:val="0054227E"/>
    <w:rsid w:val="005437FD"/>
    <w:rsid w:val="0054441E"/>
    <w:rsid w:val="005444E9"/>
    <w:rsid w:val="00545655"/>
    <w:rsid w:val="005469F6"/>
    <w:rsid w:val="005506B4"/>
    <w:rsid w:val="00552CE4"/>
    <w:rsid w:val="00553E90"/>
    <w:rsid w:val="00554170"/>
    <w:rsid w:val="00554923"/>
    <w:rsid w:val="00554D07"/>
    <w:rsid w:val="005552D5"/>
    <w:rsid w:val="00556659"/>
    <w:rsid w:val="00557E71"/>
    <w:rsid w:val="0056176D"/>
    <w:rsid w:val="00561EAA"/>
    <w:rsid w:val="00561FA9"/>
    <w:rsid w:val="0056365A"/>
    <w:rsid w:val="00563F44"/>
    <w:rsid w:val="00565A70"/>
    <w:rsid w:val="005661FD"/>
    <w:rsid w:val="00567A18"/>
    <w:rsid w:val="005701FD"/>
    <w:rsid w:val="005705C5"/>
    <w:rsid w:val="00570B67"/>
    <w:rsid w:val="00572287"/>
    <w:rsid w:val="005726CF"/>
    <w:rsid w:val="00572793"/>
    <w:rsid w:val="00574D10"/>
    <w:rsid w:val="005753A4"/>
    <w:rsid w:val="005763EB"/>
    <w:rsid w:val="00576961"/>
    <w:rsid w:val="005778A6"/>
    <w:rsid w:val="00580860"/>
    <w:rsid w:val="00582275"/>
    <w:rsid w:val="005830B4"/>
    <w:rsid w:val="005876B9"/>
    <w:rsid w:val="00591D6C"/>
    <w:rsid w:val="005928AF"/>
    <w:rsid w:val="00593586"/>
    <w:rsid w:val="0059407E"/>
    <w:rsid w:val="005947B5"/>
    <w:rsid w:val="0059566B"/>
    <w:rsid w:val="005967EE"/>
    <w:rsid w:val="005968BF"/>
    <w:rsid w:val="005A1417"/>
    <w:rsid w:val="005A23F6"/>
    <w:rsid w:val="005A2945"/>
    <w:rsid w:val="005A5343"/>
    <w:rsid w:val="005A658D"/>
    <w:rsid w:val="005A68FB"/>
    <w:rsid w:val="005A7611"/>
    <w:rsid w:val="005A7F52"/>
    <w:rsid w:val="005B1622"/>
    <w:rsid w:val="005B29B1"/>
    <w:rsid w:val="005B2A3D"/>
    <w:rsid w:val="005B347B"/>
    <w:rsid w:val="005B78A3"/>
    <w:rsid w:val="005B7963"/>
    <w:rsid w:val="005C066E"/>
    <w:rsid w:val="005C1EF8"/>
    <w:rsid w:val="005C71CA"/>
    <w:rsid w:val="005C7558"/>
    <w:rsid w:val="005D0754"/>
    <w:rsid w:val="005D0FDB"/>
    <w:rsid w:val="005D17F4"/>
    <w:rsid w:val="005D1944"/>
    <w:rsid w:val="005D2000"/>
    <w:rsid w:val="005D7E15"/>
    <w:rsid w:val="005E030D"/>
    <w:rsid w:val="005E1139"/>
    <w:rsid w:val="005E384E"/>
    <w:rsid w:val="005E3F97"/>
    <w:rsid w:val="005E55AC"/>
    <w:rsid w:val="005F1653"/>
    <w:rsid w:val="005F1B32"/>
    <w:rsid w:val="005F1E6C"/>
    <w:rsid w:val="005F427C"/>
    <w:rsid w:val="005F5848"/>
    <w:rsid w:val="005F59B6"/>
    <w:rsid w:val="005F6BA2"/>
    <w:rsid w:val="005F79E8"/>
    <w:rsid w:val="005F7CC9"/>
    <w:rsid w:val="0060068D"/>
    <w:rsid w:val="0060069F"/>
    <w:rsid w:val="00600C6C"/>
    <w:rsid w:val="00603AD0"/>
    <w:rsid w:val="006043FD"/>
    <w:rsid w:val="00605206"/>
    <w:rsid w:val="00606760"/>
    <w:rsid w:val="00610AB5"/>
    <w:rsid w:val="00611757"/>
    <w:rsid w:val="006118A5"/>
    <w:rsid w:val="00612A14"/>
    <w:rsid w:val="00612A3B"/>
    <w:rsid w:val="00612BBA"/>
    <w:rsid w:val="00612DA1"/>
    <w:rsid w:val="00614C1D"/>
    <w:rsid w:val="006151CD"/>
    <w:rsid w:val="00616A97"/>
    <w:rsid w:val="00617AC3"/>
    <w:rsid w:val="006213AE"/>
    <w:rsid w:val="00621FA1"/>
    <w:rsid w:val="006220ED"/>
    <w:rsid w:val="00625098"/>
    <w:rsid w:val="00625265"/>
    <w:rsid w:val="00626039"/>
    <w:rsid w:val="006303A2"/>
    <w:rsid w:val="00630FF0"/>
    <w:rsid w:val="00632F81"/>
    <w:rsid w:val="0063496D"/>
    <w:rsid w:val="00635ED0"/>
    <w:rsid w:val="00636D52"/>
    <w:rsid w:val="00640966"/>
    <w:rsid w:val="00641563"/>
    <w:rsid w:val="006415B2"/>
    <w:rsid w:val="00642A2B"/>
    <w:rsid w:val="00643210"/>
    <w:rsid w:val="00644D35"/>
    <w:rsid w:val="00645195"/>
    <w:rsid w:val="006460A2"/>
    <w:rsid w:val="006467BE"/>
    <w:rsid w:val="00647244"/>
    <w:rsid w:val="006473E8"/>
    <w:rsid w:val="00647A97"/>
    <w:rsid w:val="00647D99"/>
    <w:rsid w:val="00652F93"/>
    <w:rsid w:val="0065357E"/>
    <w:rsid w:val="0065432F"/>
    <w:rsid w:val="00656C46"/>
    <w:rsid w:val="00657B0F"/>
    <w:rsid w:val="00660CED"/>
    <w:rsid w:val="0066148D"/>
    <w:rsid w:val="00661722"/>
    <w:rsid w:val="00661BAA"/>
    <w:rsid w:val="00664666"/>
    <w:rsid w:val="0066483B"/>
    <w:rsid w:val="00664C48"/>
    <w:rsid w:val="00665D19"/>
    <w:rsid w:val="00666A50"/>
    <w:rsid w:val="00666C84"/>
    <w:rsid w:val="00666D59"/>
    <w:rsid w:val="006704CA"/>
    <w:rsid w:val="00670A5F"/>
    <w:rsid w:val="00671202"/>
    <w:rsid w:val="006717C1"/>
    <w:rsid w:val="00671D47"/>
    <w:rsid w:val="006745BC"/>
    <w:rsid w:val="00674B5B"/>
    <w:rsid w:val="00675B71"/>
    <w:rsid w:val="00675D2C"/>
    <w:rsid w:val="00675E0A"/>
    <w:rsid w:val="00676986"/>
    <w:rsid w:val="006773DE"/>
    <w:rsid w:val="00680151"/>
    <w:rsid w:val="00680E1D"/>
    <w:rsid w:val="006814C6"/>
    <w:rsid w:val="006822FB"/>
    <w:rsid w:val="00683812"/>
    <w:rsid w:val="00684250"/>
    <w:rsid w:val="00684DA2"/>
    <w:rsid w:val="00684F36"/>
    <w:rsid w:val="00685F2C"/>
    <w:rsid w:val="006869EB"/>
    <w:rsid w:val="00687294"/>
    <w:rsid w:val="00690028"/>
    <w:rsid w:val="0069319C"/>
    <w:rsid w:val="0069456A"/>
    <w:rsid w:val="00697178"/>
    <w:rsid w:val="006A016F"/>
    <w:rsid w:val="006A02EF"/>
    <w:rsid w:val="006A0AD8"/>
    <w:rsid w:val="006A0E53"/>
    <w:rsid w:val="006A11FB"/>
    <w:rsid w:val="006A3BBC"/>
    <w:rsid w:val="006A3E83"/>
    <w:rsid w:val="006A4AB7"/>
    <w:rsid w:val="006A4C88"/>
    <w:rsid w:val="006A57AE"/>
    <w:rsid w:val="006A795C"/>
    <w:rsid w:val="006B003E"/>
    <w:rsid w:val="006B36F7"/>
    <w:rsid w:val="006B39D2"/>
    <w:rsid w:val="006B4478"/>
    <w:rsid w:val="006B50F0"/>
    <w:rsid w:val="006B6268"/>
    <w:rsid w:val="006B6EE9"/>
    <w:rsid w:val="006C0468"/>
    <w:rsid w:val="006C14D0"/>
    <w:rsid w:val="006C2E2E"/>
    <w:rsid w:val="006C3A40"/>
    <w:rsid w:val="006C5D6C"/>
    <w:rsid w:val="006C6BF0"/>
    <w:rsid w:val="006C763C"/>
    <w:rsid w:val="006C76D6"/>
    <w:rsid w:val="006C7C2C"/>
    <w:rsid w:val="006D24E8"/>
    <w:rsid w:val="006D2DDE"/>
    <w:rsid w:val="006D30DB"/>
    <w:rsid w:val="006D35D4"/>
    <w:rsid w:val="006D3E78"/>
    <w:rsid w:val="006D48CB"/>
    <w:rsid w:val="006D6689"/>
    <w:rsid w:val="006D75F0"/>
    <w:rsid w:val="006D788D"/>
    <w:rsid w:val="006D7D22"/>
    <w:rsid w:val="006E0F9F"/>
    <w:rsid w:val="006E2A44"/>
    <w:rsid w:val="006E2C42"/>
    <w:rsid w:val="006E47D7"/>
    <w:rsid w:val="006E5603"/>
    <w:rsid w:val="006E63F1"/>
    <w:rsid w:val="006E68D1"/>
    <w:rsid w:val="006F04F2"/>
    <w:rsid w:val="006F2BBC"/>
    <w:rsid w:val="006F385E"/>
    <w:rsid w:val="006F6011"/>
    <w:rsid w:val="006F6731"/>
    <w:rsid w:val="00701104"/>
    <w:rsid w:val="00701D6B"/>
    <w:rsid w:val="007030DA"/>
    <w:rsid w:val="00703C7E"/>
    <w:rsid w:val="00707FD0"/>
    <w:rsid w:val="0071225F"/>
    <w:rsid w:val="00713279"/>
    <w:rsid w:val="00714003"/>
    <w:rsid w:val="0071685D"/>
    <w:rsid w:val="007218A3"/>
    <w:rsid w:val="007219E9"/>
    <w:rsid w:val="007226A9"/>
    <w:rsid w:val="00722A5D"/>
    <w:rsid w:val="007240EB"/>
    <w:rsid w:val="00725E51"/>
    <w:rsid w:val="00731A37"/>
    <w:rsid w:val="00732815"/>
    <w:rsid w:val="00732949"/>
    <w:rsid w:val="00734573"/>
    <w:rsid w:val="00735E83"/>
    <w:rsid w:val="0073788F"/>
    <w:rsid w:val="007401CC"/>
    <w:rsid w:val="00742F16"/>
    <w:rsid w:val="00745CC0"/>
    <w:rsid w:val="007465DA"/>
    <w:rsid w:val="00750E78"/>
    <w:rsid w:val="0075172F"/>
    <w:rsid w:val="00751F67"/>
    <w:rsid w:val="007521DF"/>
    <w:rsid w:val="00752CB7"/>
    <w:rsid w:val="00752FC3"/>
    <w:rsid w:val="00754D9B"/>
    <w:rsid w:val="007562C2"/>
    <w:rsid w:val="00756971"/>
    <w:rsid w:val="00757AF4"/>
    <w:rsid w:val="00757BB3"/>
    <w:rsid w:val="00757C02"/>
    <w:rsid w:val="00757D0F"/>
    <w:rsid w:val="00760010"/>
    <w:rsid w:val="007610F5"/>
    <w:rsid w:val="007617C2"/>
    <w:rsid w:val="007627DB"/>
    <w:rsid w:val="0076459C"/>
    <w:rsid w:val="00765B21"/>
    <w:rsid w:val="00766A7E"/>
    <w:rsid w:val="00767553"/>
    <w:rsid w:val="00767911"/>
    <w:rsid w:val="00767FB3"/>
    <w:rsid w:val="007714EA"/>
    <w:rsid w:val="00772D10"/>
    <w:rsid w:val="00773CC6"/>
    <w:rsid w:val="007743CC"/>
    <w:rsid w:val="007763AC"/>
    <w:rsid w:val="007767F4"/>
    <w:rsid w:val="00777B3D"/>
    <w:rsid w:val="00777C93"/>
    <w:rsid w:val="007803EE"/>
    <w:rsid w:val="00780D38"/>
    <w:rsid w:val="007810B7"/>
    <w:rsid w:val="0078192F"/>
    <w:rsid w:val="00781E44"/>
    <w:rsid w:val="00783390"/>
    <w:rsid w:val="007841BF"/>
    <w:rsid w:val="00785948"/>
    <w:rsid w:val="00786357"/>
    <w:rsid w:val="00787DF5"/>
    <w:rsid w:val="00791B8F"/>
    <w:rsid w:val="00791E58"/>
    <w:rsid w:val="00794D14"/>
    <w:rsid w:val="00795743"/>
    <w:rsid w:val="007A08F2"/>
    <w:rsid w:val="007A413C"/>
    <w:rsid w:val="007A4D0D"/>
    <w:rsid w:val="007A5AA9"/>
    <w:rsid w:val="007B04C1"/>
    <w:rsid w:val="007B04F6"/>
    <w:rsid w:val="007C0729"/>
    <w:rsid w:val="007C23BC"/>
    <w:rsid w:val="007C2BA3"/>
    <w:rsid w:val="007C5396"/>
    <w:rsid w:val="007C576E"/>
    <w:rsid w:val="007C75E8"/>
    <w:rsid w:val="007D028E"/>
    <w:rsid w:val="007D165A"/>
    <w:rsid w:val="007D3491"/>
    <w:rsid w:val="007D34D4"/>
    <w:rsid w:val="007D5221"/>
    <w:rsid w:val="007D5693"/>
    <w:rsid w:val="007D5EFE"/>
    <w:rsid w:val="007E2E54"/>
    <w:rsid w:val="007E2E59"/>
    <w:rsid w:val="007E7AD6"/>
    <w:rsid w:val="007F10FE"/>
    <w:rsid w:val="007F16F8"/>
    <w:rsid w:val="007F353F"/>
    <w:rsid w:val="007F64F2"/>
    <w:rsid w:val="007F737A"/>
    <w:rsid w:val="00801331"/>
    <w:rsid w:val="00801B58"/>
    <w:rsid w:val="00801E63"/>
    <w:rsid w:val="00802840"/>
    <w:rsid w:val="00803898"/>
    <w:rsid w:val="00803D62"/>
    <w:rsid w:val="0080414A"/>
    <w:rsid w:val="00804749"/>
    <w:rsid w:val="00807794"/>
    <w:rsid w:val="00810122"/>
    <w:rsid w:val="008104CB"/>
    <w:rsid w:val="00810A92"/>
    <w:rsid w:val="008123DB"/>
    <w:rsid w:val="00812F00"/>
    <w:rsid w:val="00814ABB"/>
    <w:rsid w:val="00815C93"/>
    <w:rsid w:val="00815D6F"/>
    <w:rsid w:val="00816307"/>
    <w:rsid w:val="00816602"/>
    <w:rsid w:val="00816D38"/>
    <w:rsid w:val="00821139"/>
    <w:rsid w:val="00822301"/>
    <w:rsid w:val="00823739"/>
    <w:rsid w:val="00824E64"/>
    <w:rsid w:val="008253FB"/>
    <w:rsid w:val="00826735"/>
    <w:rsid w:val="00826D07"/>
    <w:rsid w:val="0082707E"/>
    <w:rsid w:val="00830365"/>
    <w:rsid w:val="008309FE"/>
    <w:rsid w:val="00831352"/>
    <w:rsid w:val="008327F4"/>
    <w:rsid w:val="00835319"/>
    <w:rsid w:val="00836699"/>
    <w:rsid w:val="008403D7"/>
    <w:rsid w:val="00840878"/>
    <w:rsid w:val="00840D35"/>
    <w:rsid w:val="00843303"/>
    <w:rsid w:val="00844135"/>
    <w:rsid w:val="00844BF4"/>
    <w:rsid w:val="008459EE"/>
    <w:rsid w:val="00847829"/>
    <w:rsid w:val="00847885"/>
    <w:rsid w:val="00847E18"/>
    <w:rsid w:val="0085057D"/>
    <w:rsid w:val="00850AD7"/>
    <w:rsid w:val="008511BF"/>
    <w:rsid w:val="008517EE"/>
    <w:rsid w:val="0085196F"/>
    <w:rsid w:val="00852C6E"/>
    <w:rsid w:val="00861696"/>
    <w:rsid w:val="00862C06"/>
    <w:rsid w:val="00864835"/>
    <w:rsid w:val="00866C0F"/>
    <w:rsid w:val="0086795D"/>
    <w:rsid w:val="008717BD"/>
    <w:rsid w:val="008723D6"/>
    <w:rsid w:val="00880486"/>
    <w:rsid w:val="008824BD"/>
    <w:rsid w:val="00882AAE"/>
    <w:rsid w:val="00883EFA"/>
    <w:rsid w:val="00884B69"/>
    <w:rsid w:val="00885B09"/>
    <w:rsid w:val="0088609E"/>
    <w:rsid w:val="0088669E"/>
    <w:rsid w:val="00887D88"/>
    <w:rsid w:val="00890D39"/>
    <w:rsid w:val="0089283A"/>
    <w:rsid w:val="008932A5"/>
    <w:rsid w:val="00893313"/>
    <w:rsid w:val="00893649"/>
    <w:rsid w:val="00895FEA"/>
    <w:rsid w:val="0089639F"/>
    <w:rsid w:val="00896DC7"/>
    <w:rsid w:val="008A00B6"/>
    <w:rsid w:val="008A0439"/>
    <w:rsid w:val="008A0D25"/>
    <w:rsid w:val="008A0D74"/>
    <w:rsid w:val="008A0F56"/>
    <w:rsid w:val="008A14A8"/>
    <w:rsid w:val="008A1E8E"/>
    <w:rsid w:val="008A3E61"/>
    <w:rsid w:val="008A4119"/>
    <w:rsid w:val="008A5048"/>
    <w:rsid w:val="008A7481"/>
    <w:rsid w:val="008B06BB"/>
    <w:rsid w:val="008B18CE"/>
    <w:rsid w:val="008B209B"/>
    <w:rsid w:val="008B58B5"/>
    <w:rsid w:val="008B5D76"/>
    <w:rsid w:val="008B6816"/>
    <w:rsid w:val="008B7181"/>
    <w:rsid w:val="008B7237"/>
    <w:rsid w:val="008B7F72"/>
    <w:rsid w:val="008C0C3C"/>
    <w:rsid w:val="008C194A"/>
    <w:rsid w:val="008C1D2B"/>
    <w:rsid w:val="008C2235"/>
    <w:rsid w:val="008C2ACC"/>
    <w:rsid w:val="008C3A5B"/>
    <w:rsid w:val="008C426A"/>
    <w:rsid w:val="008C4847"/>
    <w:rsid w:val="008C4EDD"/>
    <w:rsid w:val="008C5440"/>
    <w:rsid w:val="008D047F"/>
    <w:rsid w:val="008D0BAE"/>
    <w:rsid w:val="008D181C"/>
    <w:rsid w:val="008D1AD4"/>
    <w:rsid w:val="008D3AD4"/>
    <w:rsid w:val="008D4127"/>
    <w:rsid w:val="008D5A88"/>
    <w:rsid w:val="008D6BC6"/>
    <w:rsid w:val="008D77DE"/>
    <w:rsid w:val="008E0D8A"/>
    <w:rsid w:val="008E0ED0"/>
    <w:rsid w:val="008E11B7"/>
    <w:rsid w:val="008E1ED6"/>
    <w:rsid w:val="008E2324"/>
    <w:rsid w:val="008E2C2C"/>
    <w:rsid w:val="008E450F"/>
    <w:rsid w:val="008E4D06"/>
    <w:rsid w:val="008E4F48"/>
    <w:rsid w:val="008F0EF1"/>
    <w:rsid w:val="008F1B9F"/>
    <w:rsid w:val="008F2EB0"/>
    <w:rsid w:val="008F40B6"/>
    <w:rsid w:val="008F5520"/>
    <w:rsid w:val="008F7054"/>
    <w:rsid w:val="00902B5B"/>
    <w:rsid w:val="009043FE"/>
    <w:rsid w:val="00905966"/>
    <w:rsid w:val="009064F3"/>
    <w:rsid w:val="00910F07"/>
    <w:rsid w:val="00912DCA"/>
    <w:rsid w:val="00913AA8"/>
    <w:rsid w:val="00913B82"/>
    <w:rsid w:val="00913BC9"/>
    <w:rsid w:val="00917DA1"/>
    <w:rsid w:val="0092035E"/>
    <w:rsid w:val="009209F5"/>
    <w:rsid w:val="00920D6A"/>
    <w:rsid w:val="00922E02"/>
    <w:rsid w:val="00925FE1"/>
    <w:rsid w:val="009305E9"/>
    <w:rsid w:val="00931A4C"/>
    <w:rsid w:val="00931D0E"/>
    <w:rsid w:val="009326E9"/>
    <w:rsid w:val="00932974"/>
    <w:rsid w:val="00933BBE"/>
    <w:rsid w:val="00933C5B"/>
    <w:rsid w:val="00934020"/>
    <w:rsid w:val="00934E8C"/>
    <w:rsid w:val="00935004"/>
    <w:rsid w:val="00935D94"/>
    <w:rsid w:val="00936BF5"/>
    <w:rsid w:val="009375BB"/>
    <w:rsid w:val="00937E7C"/>
    <w:rsid w:val="00942706"/>
    <w:rsid w:val="00944197"/>
    <w:rsid w:val="00945109"/>
    <w:rsid w:val="009514E0"/>
    <w:rsid w:val="0095243D"/>
    <w:rsid w:val="00954137"/>
    <w:rsid w:val="00954FBA"/>
    <w:rsid w:val="00955593"/>
    <w:rsid w:val="009572FF"/>
    <w:rsid w:val="00962A56"/>
    <w:rsid w:val="00962F8A"/>
    <w:rsid w:val="0096401E"/>
    <w:rsid w:val="009641CA"/>
    <w:rsid w:val="00965094"/>
    <w:rsid w:val="009662E4"/>
    <w:rsid w:val="0096635D"/>
    <w:rsid w:val="00966479"/>
    <w:rsid w:val="00967D56"/>
    <w:rsid w:val="00967F85"/>
    <w:rsid w:val="00970040"/>
    <w:rsid w:val="009707FA"/>
    <w:rsid w:val="00971921"/>
    <w:rsid w:val="00971C99"/>
    <w:rsid w:val="00972464"/>
    <w:rsid w:val="0097252B"/>
    <w:rsid w:val="00972F0D"/>
    <w:rsid w:val="00974410"/>
    <w:rsid w:val="00974C21"/>
    <w:rsid w:val="00975231"/>
    <w:rsid w:val="00975322"/>
    <w:rsid w:val="009759F9"/>
    <w:rsid w:val="00975E42"/>
    <w:rsid w:val="00975FFA"/>
    <w:rsid w:val="00976239"/>
    <w:rsid w:val="00977AD2"/>
    <w:rsid w:val="009812DB"/>
    <w:rsid w:val="0098177D"/>
    <w:rsid w:val="00983073"/>
    <w:rsid w:val="00983591"/>
    <w:rsid w:val="009836A0"/>
    <w:rsid w:val="00983806"/>
    <w:rsid w:val="00984713"/>
    <w:rsid w:val="0098701C"/>
    <w:rsid w:val="00987FA7"/>
    <w:rsid w:val="00991E43"/>
    <w:rsid w:val="00992FA5"/>
    <w:rsid w:val="0099490F"/>
    <w:rsid w:val="00994BBE"/>
    <w:rsid w:val="00996035"/>
    <w:rsid w:val="00997724"/>
    <w:rsid w:val="00997B8F"/>
    <w:rsid w:val="009A1F75"/>
    <w:rsid w:val="009A309F"/>
    <w:rsid w:val="009A40D2"/>
    <w:rsid w:val="009A492E"/>
    <w:rsid w:val="009A5D51"/>
    <w:rsid w:val="009B0A9B"/>
    <w:rsid w:val="009B1191"/>
    <w:rsid w:val="009B27CF"/>
    <w:rsid w:val="009B5965"/>
    <w:rsid w:val="009B6B93"/>
    <w:rsid w:val="009C1063"/>
    <w:rsid w:val="009C2114"/>
    <w:rsid w:val="009C3C59"/>
    <w:rsid w:val="009C4C41"/>
    <w:rsid w:val="009C5772"/>
    <w:rsid w:val="009C5CDE"/>
    <w:rsid w:val="009C5FF6"/>
    <w:rsid w:val="009D1048"/>
    <w:rsid w:val="009D6A71"/>
    <w:rsid w:val="009D76A8"/>
    <w:rsid w:val="009D7ABB"/>
    <w:rsid w:val="009E0737"/>
    <w:rsid w:val="009E08B5"/>
    <w:rsid w:val="009E0D98"/>
    <w:rsid w:val="009E0DD4"/>
    <w:rsid w:val="009E3833"/>
    <w:rsid w:val="009E3C19"/>
    <w:rsid w:val="009F0158"/>
    <w:rsid w:val="009F0A27"/>
    <w:rsid w:val="009F3A79"/>
    <w:rsid w:val="009F3F0D"/>
    <w:rsid w:val="009F4BDE"/>
    <w:rsid w:val="009F5639"/>
    <w:rsid w:val="009F6B08"/>
    <w:rsid w:val="009F6EFB"/>
    <w:rsid w:val="009F75E0"/>
    <w:rsid w:val="009F782B"/>
    <w:rsid w:val="009F789F"/>
    <w:rsid w:val="00A0244B"/>
    <w:rsid w:val="00A0446F"/>
    <w:rsid w:val="00A05955"/>
    <w:rsid w:val="00A06DFA"/>
    <w:rsid w:val="00A078E2"/>
    <w:rsid w:val="00A116F3"/>
    <w:rsid w:val="00A1202D"/>
    <w:rsid w:val="00A12134"/>
    <w:rsid w:val="00A12A26"/>
    <w:rsid w:val="00A12DCF"/>
    <w:rsid w:val="00A131F9"/>
    <w:rsid w:val="00A13318"/>
    <w:rsid w:val="00A14A41"/>
    <w:rsid w:val="00A14BB4"/>
    <w:rsid w:val="00A15CD1"/>
    <w:rsid w:val="00A16A24"/>
    <w:rsid w:val="00A16EBE"/>
    <w:rsid w:val="00A21688"/>
    <w:rsid w:val="00A219FD"/>
    <w:rsid w:val="00A23839"/>
    <w:rsid w:val="00A2408D"/>
    <w:rsid w:val="00A24200"/>
    <w:rsid w:val="00A24D30"/>
    <w:rsid w:val="00A269A7"/>
    <w:rsid w:val="00A27CFF"/>
    <w:rsid w:val="00A3087D"/>
    <w:rsid w:val="00A30F28"/>
    <w:rsid w:val="00A324C6"/>
    <w:rsid w:val="00A363B6"/>
    <w:rsid w:val="00A3789E"/>
    <w:rsid w:val="00A37B77"/>
    <w:rsid w:val="00A41F05"/>
    <w:rsid w:val="00A4291D"/>
    <w:rsid w:val="00A42CC8"/>
    <w:rsid w:val="00A43BA2"/>
    <w:rsid w:val="00A43D0A"/>
    <w:rsid w:val="00A43F2A"/>
    <w:rsid w:val="00A4471B"/>
    <w:rsid w:val="00A46A00"/>
    <w:rsid w:val="00A477EE"/>
    <w:rsid w:val="00A47A55"/>
    <w:rsid w:val="00A47F5C"/>
    <w:rsid w:val="00A47FA3"/>
    <w:rsid w:val="00A50184"/>
    <w:rsid w:val="00A52643"/>
    <w:rsid w:val="00A54AE6"/>
    <w:rsid w:val="00A5567E"/>
    <w:rsid w:val="00A557AE"/>
    <w:rsid w:val="00A5631D"/>
    <w:rsid w:val="00A61F55"/>
    <w:rsid w:val="00A6364F"/>
    <w:rsid w:val="00A645DE"/>
    <w:rsid w:val="00A64CEA"/>
    <w:rsid w:val="00A64F1A"/>
    <w:rsid w:val="00A652CD"/>
    <w:rsid w:val="00A65533"/>
    <w:rsid w:val="00A6748E"/>
    <w:rsid w:val="00A70A2E"/>
    <w:rsid w:val="00A71A16"/>
    <w:rsid w:val="00A72987"/>
    <w:rsid w:val="00A73213"/>
    <w:rsid w:val="00A73843"/>
    <w:rsid w:val="00A7560B"/>
    <w:rsid w:val="00A76DAF"/>
    <w:rsid w:val="00A76F26"/>
    <w:rsid w:val="00A809E9"/>
    <w:rsid w:val="00A844B2"/>
    <w:rsid w:val="00A85102"/>
    <w:rsid w:val="00A85BED"/>
    <w:rsid w:val="00A85D8C"/>
    <w:rsid w:val="00A85DC3"/>
    <w:rsid w:val="00A861B3"/>
    <w:rsid w:val="00A86B27"/>
    <w:rsid w:val="00A870AB"/>
    <w:rsid w:val="00A87B1D"/>
    <w:rsid w:val="00A9009D"/>
    <w:rsid w:val="00A90635"/>
    <w:rsid w:val="00A91B7D"/>
    <w:rsid w:val="00A9220F"/>
    <w:rsid w:val="00A9230A"/>
    <w:rsid w:val="00A92436"/>
    <w:rsid w:val="00A928D7"/>
    <w:rsid w:val="00A92F86"/>
    <w:rsid w:val="00A938AA"/>
    <w:rsid w:val="00A94BE9"/>
    <w:rsid w:val="00A96D5B"/>
    <w:rsid w:val="00AA005B"/>
    <w:rsid w:val="00AA0AEB"/>
    <w:rsid w:val="00AA1764"/>
    <w:rsid w:val="00AA1F15"/>
    <w:rsid w:val="00AA2472"/>
    <w:rsid w:val="00AA24DC"/>
    <w:rsid w:val="00AA3031"/>
    <w:rsid w:val="00AA355E"/>
    <w:rsid w:val="00AA3FE3"/>
    <w:rsid w:val="00AA48BE"/>
    <w:rsid w:val="00AA5F06"/>
    <w:rsid w:val="00AB0945"/>
    <w:rsid w:val="00AB0F81"/>
    <w:rsid w:val="00AB4F98"/>
    <w:rsid w:val="00AB51E7"/>
    <w:rsid w:val="00AB58EF"/>
    <w:rsid w:val="00AB5FA2"/>
    <w:rsid w:val="00AB622A"/>
    <w:rsid w:val="00AB6E08"/>
    <w:rsid w:val="00AB7525"/>
    <w:rsid w:val="00AB7591"/>
    <w:rsid w:val="00AB7D39"/>
    <w:rsid w:val="00AC06AA"/>
    <w:rsid w:val="00AC0CB8"/>
    <w:rsid w:val="00AC2CAE"/>
    <w:rsid w:val="00AC34BF"/>
    <w:rsid w:val="00AC627A"/>
    <w:rsid w:val="00AC6C08"/>
    <w:rsid w:val="00AC6FD5"/>
    <w:rsid w:val="00AC7008"/>
    <w:rsid w:val="00AC706D"/>
    <w:rsid w:val="00AC7B07"/>
    <w:rsid w:val="00AD04EF"/>
    <w:rsid w:val="00AD3864"/>
    <w:rsid w:val="00AD59E0"/>
    <w:rsid w:val="00AD5C2D"/>
    <w:rsid w:val="00AD6310"/>
    <w:rsid w:val="00AD6A69"/>
    <w:rsid w:val="00AD79B6"/>
    <w:rsid w:val="00AD7DA3"/>
    <w:rsid w:val="00AE0998"/>
    <w:rsid w:val="00AE302C"/>
    <w:rsid w:val="00AE39D5"/>
    <w:rsid w:val="00AE3F7E"/>
    <w:rsid w:val="00AE6619"/>
    <w:rsid w:val="00AE6A4C"/>
    <w:rsid w:val="00AF0508"/>
    <w:rsid w:val="00AF1330"/>
    <w:rsid w:val="00AF19EC"/>
    <w:rsid w:val="00AF2990"/>
    <w:rsid w:val="00AF3780"/>
    <w:rsid w:val="00AF5D80"/>
    <w:rsid w:val="00AF6658"/>
    <w:rsid w:val="00AF7484"/>
    <w:rsid w:val="00B0058F"/>
    <w:rsid w:val="00B03661"/>
    <w:rsid w:val="00B03844"/>
    <w:rsid w:val="00B038DD"/>
    <w:rsid w:val="00B040C1"/>
    <w:rsid w:val="00B04139"/>
    <w:rsid w:val="00B04B27"/>
    <w:rsid w:val="00B04C71"/>
    <w:rsid w:val="00B05616"/>
    <w:rsid w:val="00B06DC0"/>
    <w:rsid w:val="00B06FA4"/>
    <w:rsid w:val="00B10990"/>
    <w:rsid w:val="00B10B99"/>
    <w:rsid w:val="00B11798"/>
    <w:rsid w:val="00B11926"/>
    <w:rsid w:val="00B121CF"/>
    <w:rsid w:val="00B12B23"/>
    <w:rsid w:val="00B12C87"/>
    <w:rsid w:val="00B153B6"/>
    <w:rsid w:val="00B15C26"/>
    <w:rsid w:val="00B16DD6"/>
    <w:rsid w:val="00B201F3"/>
    <w:rsid w:val="00B20F99"/>
    <w:rsid w:val="00B22387"/>
    <w:rsid w:val="00B22C08"/>
    <w:rsid w:val="00B25AAF"/>
    <w:rsid w:val="00B25C22"/>
    <w:rsid w:val="00B26DFA"/>
    <w:rsid w:val="00B275E6"/>
    <w:rsid w:val="00B2798F"/>
    <w:rsid w:val="00B319DF"/>
    <w:rsid w:val="00B3575C"/>
    <w:rsid w:val="00B35A2D"/>
    <w:rsid w:val="00B36309"/>
    <w:rsid w:val="00B36F23"/>
    <w:rsid w:val="00B36FE9"/>
    <w:rsid w:val="00B371D3"/>
    <w:rsid w:val="00B40C63"/>
    <w:rsid w:val="00B43269"/>
    <w:rsid w:val="00B438EE"/>
    <w:rsid w:val="00B441A9"/>
    <w:rsid w:val="00B4624E"/>
    <w:rsid w:val="00B465FB"/>
    <w:rsid w:val="00B504A6"/>
    <w:rsid w:val="00B512B9"/>
    <w:rsid w:val="00B5254E"/>
    <w:rsid w:val="00B539BB"/>
    <w:rsid w:val="00B55DDA"/>
    <w:rsid w:val="00B55FCC"/>
    <w:rsid w:val="00B56711"/>
    <w:rsid w:val="00B57D5B"/>
    <w:rsid w:val="00B60B3B"/>
    <w:rsid w:val="00B61408"/>
    <w:rsid w:val="00B64224"/>
    <w:rsid w:val="00B670DF"/>
    <w:rsid w:val="00B67450"/>
    <w:rsid w:val="00B70798"/>
    <w:rsid w:val="00B71A9A"/>
    <w:rsid w:val="00B73F9C"/>
    <w:rsid w:val="00B7472D"/>
    <w:rsid w:val="00B759F4"/>
    <w:rsid w:val="00B75BAF"/>
    <w:rsid w:val="00B764B9"/>
    <w:rsid w:val="00B766AC"/>
    <w:rsid w:val="00B77E59"/>
    <w:rsid w:val="00B81358"/>
    <w:rsid w:val="00B8251B"/>
    <w:rsid w:val="00B839E2"/>
    <w:rsid w:val="00B83D44"/>
    <w:rsid w:val="00B84433"/>
    <w:rsid w:val="00B85B1F"/>
    <w:rsid w:val="00B85C30"/>
    <w:rsid w:val="00B86048"/>
    <w:rsid w:val="00B86F13"/>
    <w:rsid w:val="00B87D5A"/>
    <w:rsid w:val="00B91CD8"/>
    <w:rsid w:val="00B927FF"/>
    <w:rsid w:val="00B92A81"/>
    <w:rsid w:val="00B9302A"/>
    <w:rsid w:val="00B95DE6"/>
    <w:rsid w:val="00B9673A"/>
    <w:rsid w:val="00B97389"/>
    <w:rsid w:val="00BA04B7"/>
    <w:rsid w:val="00BA1FBF"/>
    <w:rsid w:val="00BA3823"/>
    <w:rsid w:val="00BA7289"/>
    <w:rsid w:val="00BA7A4D"/>
    <w:rsid w:val="00BB00CF"/>
    <w:rsid w:val="00BB0AB1"/>
    <w:rsid w:val="00BB122A"/>
    <w:rsid w:val="00BB1D86"/>
    <w:rsid w:val="00BB38B1"/>
    <w:rsid w:val="00BB3B9F"/>
    <w:rsid w:val="00BB40CD"/>
    <w:rsid w:val="00BB5C48"/>
    <w:rsid w:val="00BB61A8"/>
    <w:rsid w:val="00BC0CC7"/>
    <w:rsid w:val="00BC128B"/>
    <w:rsid w:val="00BC2735"/>
    <w:rsid w:val="00BC3D7B"/>
    <w:rsid w:val="00BC3E43"/>
    <w:rsid w:val="00BC6481"/>
    <w:rsid w:val="00BC673B"/>
    <w:rsid w:val="00BD0E80"/>
    <w:rsid w:val="00BD1C18"/>
    <w:rsid w:val="00BD3610"/>
    <w:rsid w:val="00BD58D6"/>
    <w:rsid w:val="00BD6669"/>
    <w:rsid w:val="00BD6796"/>
    <w:rsid w:val="00BD6CBB"/>
    <w:rsid w:val="00BD79C6"/>
    <w:rsid w:val="00BD7F66"/>
    <w:rsid w:val="00BE183B"/>
    <w:rsid w:val="00BE2757"/>
    <w:rsid w:val="00BE342E"/>
    <w:rsid w:val="00BE3EBB"/>
    <w:rsid w:val="00BE5087"/>
    <w:rsid w:val="00BE5428"/>
    <w:rsid w:val="00BE5BA4"/>
    <w:rsid w:val="00BE5FEB"/>
    <w:rsid w:val="00BE69EA"/>
    <w:rsid w:val="00BF18DC"/>
    <w:rsid w:val="00BF2292"/>
    <w:rsid w:val="00BF2B04"/>
    <w:rsid w:val="00BF3AA3"/>
    <w:rsid w:val="00BF4204"/>
    <w:rsid w:val="00BF4510"/>
    <w:rsid w:val="00BF7182"/>
    <w:rsid w:val="00C0384B"/>
    <w:rsid w:val="00C03A7E"/>
    <w:rsid w:val="00C04C1D"/>
    <w:rsid w:val="00C050D7"/>
    <w:rsid w:val="00C069A7"/>
    <w:rsid w:val="00C0737C"/>
    <w:rsid w:val="00C10E54"/>
    <w:rsid w:val="00C114AE"/>
    <w:rsid w:val="00C11D03"/>
    <w:rsid w:val="00C126B4"/>
    <w:rsid w:val="00C1433D"/>
    <w:rsid w:val="00C155CD"/>
    <w:rsid w:val="00C15FC9"/>
    <w:rsid w:val="00C1641E"/>
    <w:rsid w:val="00C22FD8"/>
    <w:rsid w:val="00C23CF3"/>
    <w:rsid w:val="00C24672"/>
    <w:rsid w:val="00C24A5B"/>
    <w:rsid w:val="00C24C40"/>
    <w:rsid w:val="00C253CE"/>
    <w:rsid w:val="00C2604E"/>
    <w:rsid w:val="00C266D9"/>
    <w:rsid w:val="00C27243"/>
    <w:rsid w:val="00C27806"/>
    <w:rsid w:val="00C27E41"/>
    <w:rsid w:val="00C303FD"/>
    <w:rsid w:val="00C30720"/>
    <w:rsid w:val="00C30BA1"/>
    <w:rsid w:val="00C31DA9"/>
    <w:rsid w:val="00C33B15"/>
    <w:rsid w:val="00C3559D"/>
    <w:rsid w:val="00C42D1A"/>
    <w:rsid w:val="00C446E6"/>
    <w:rsid w:val="00C46ECE"/>
    <w:rsid w:val="00C47607"/>
    <w:rsid w:val="00C5146C"/>
    <w:rsid w:val="00C514C8"/>
    <w:rsid w:val="00C5264B"/>
    <w:rsid w:val="00C52667"/>
    <w:rsid w:val="00C54019"/>
    <w:rsid w:val="00C56E05"/>
    <w:rsid w:val="00C577F4"/>
    <w:rsid w:val="00C57988"/>
    <w:rsid w:val="00C57B45"/>
    <w:rsid w:val="00C57CA7"/>
    <w:rsid w:val="00C6130C"/>
    <w:rsid w:val="00C61FA2"/>
    <w:rsid w:val="00C62DA4"/>
    <w:rsid w:val="00C63EE2"/>
    <w:rsid w:val="00C645B3"/>
    <w:rsid w:val="00C64A8C"/>
    <w:rsid w:val="00C64F0A"/>
    <w:rsid w:val="00C6524F"/>
    <w:rsid w:val="00C703B6"/>
    <w:rsid w:val="00C71FF1"/>
    <w:rsid w:val="00C72083"/>
    <w:rsid w:val="00C7228C"/>
    <w:rsid w:val="00C73069"/>
    <w:rsid w:val="00C743F1"/>
    <w:rsid w:val="00C7476B"/>
    <w:rsid w:val="00C76CE3"/>
    <w:rsid w:val="00C8000C"/>
    <w:rsid w:val="00C82DC8"/>
    <w:rsid w:val="00C83478"/>
    <w:rsid w:val="00C84578"/>
    <w:rsid w:val="00C8511A"/>
    <w:rsid w:val="00C85DC5"/>
    <w:rsid w:val="00C86415"/>
    <w:rsid w:val="00C866EF"/>
    <w:rsid w:val="00C86B04"/>
    <w:rsid w:val="00C91082"/>
    <w:rsid w:val="00C91AB8"/>
    <w:rsid w:val="00C9225A"/>
    <w:rsid w:val="00C9364F"/>
    <w:rsid w:val="00C93A37"/>
    <w:rsid w:val="00C94173"/>
    <w:rsid w:val="00C94FDE"/>
    <w:rsid w:val="00C950B5"/>
    <w:rsid w:val="00C953DF"/>
    <w:rsid w:val="00C954BB"/>
    <w:rsid w:val="00C957F1"/>
    <w:rsid w:val="00C966DF"/>
    <w:rsid w:val="00C97013"/>
    <w:rsid w:val="00C9708B"/>
    <w:rsid w:val="00CA2A16"/>
    <w:rsid w:val="00CA453B"/>
    <w:rsid w:val="00CA4FD3"/>
    <w:rsid w:val="00CA6CFF"/>
    <w:rsid w:val="00CA6D59"/>
    <w:rsid w:val="00CA7F32"/>
    <w:rsid w:val="00CB0C27"/>
    <w:rsid w:val="00CB0F31"/>
    <w:rsid w:val="00CB14AC"/>
    <w:rsid w:val="00CB1777"/>
    <w:rsid w:val="00CB2395"/>
    <w:rsid w:val="00CB26C1"/>
    <w:rsid w:val="00CB3526"/>
    <w:rsid w:val="00CB50B9"/>
    <w:rsid w:val="00CB5EC3"/>
    <w:rsid w:val="00CC1633"/>
    <w:rsid w:val="00CC1778"/>
    <w:rsid w:val="00CC1FE7"/>
    <w:rsid w:val="00CC26E3"/>
    <w:rsid w:val="00CC32EF"/>
    <w:rsid w:val="00CC4CD3"/>
    <w:rsid w:val="00CC5E51"/>
    <w:rsid w:val="00CC613F"/>
    <w:rsid w:val="00CC61F2"/>
    <w:rsid w:val="00CD0B12"/>
    <w:rsid w:val="00CD1756"/>
    <w:rsid w:val="00CD351B"/>
    <w:rsid w:val="00CD538B"/>
    <w:rsid w:val="00CD58E0"/>
    <w:rsid w:val="00CD6128"/>
    <w:rsid w:val="00CD6F8A"/>
    <w:rsid w:val="00CD7267"/>
    <w:rsid w:val="00CD7F1F"/>
    <w:rsid w:val="00CE0493"/>
    <w:rsid w:val="00CE062B"/>
    <w:rsid w:val="00CE08ED"/>
    <w:rsid w:val="00CE1086"/>
    <w:rsid w:val="00CE10CF"/>
    <w:rsid w:val="00CE1F6F"/>
    <w:rsid w:val="00CE3363"/>
    <w:rsid w:val="00CE4DA2"/>
    <w:rsid w:val="00CE5610"/>
    <w:rsid w:val="00CF1A34"/>
    <w:rsid w:val="00CF2FE6"/>
    <w:rsid w:val="00CF490D"/>
    <w:rsid w:val="00CF7CA6"/>
    <w:rsid w:val="00CF7DE4"/>
    <w:rsid w:val="00D004C3"/>
    <w:rsid w:val="00D01FF7"/>
    <w:rsid w:val="00D05900"/>
    <w:rsid w:val="00D1040E"/>
    <w:rsid w:val="00D10BE8"/>
    <w:rsid w:val="00D11292"/>
    <w:rsid w:val="00D126EA"/>
    <w:rsid w:val="00D127E8"/>
    <w:rsid w:val="00D14513"/>
    <w:rsid w:val="00D1641E"/>
    <w:rsid w:val="00D16B9E"/>
    <w:rsid w:val="00D17736"/>
    <w:rsid w:val="00D177E0"/>
    <w:rsid w:val="00D21553"/>
    <w:rsid w:val="00D22A4A"/>
    <w:rsid w:val="00D2320F"/>
    <w:rsid w:val="00D23D1C"/>
    <w:rsid w:val="00D24175"/>
    <w:rsid w:val="00D265A7"/>
    <w:rsid w:val="00D27B69"/>
    <w:rsid w:val="00D27D78"/>
    <w:rsid w:val="00D301F1"/>
    <w:rsid w:val="00D30E2A"/>
    <w:rsid w:val="00D318B6"/>
    <w:rsid w:val="00D32443"/>
    <w:rsid w:val="00D32770"/>
    <w:rsid w:val="00D34894"/>
    <w:rsid w:val="00D35E2A"/>
    <w:rsid w:val="00D3674E"/>
    <w:rsid w:val="00D367A0"/>
    <w:rsid w:val="00D36A19"/>
    <w:rsid w:val="00D3741C"/>
    <w:rsid w:val="00D37C46"/>
    <w:rsid w:val="00D37C7F"/>
    <w:rsid w:val="00D40D16"/>
    <w:rsid w:val="00D41C6F"/>
    <w:rsid w:val="00D429E4"/>
    <w:rsid w:val="00D43292"/>
    <w:rsid w:val="00D43634"/>
    <w:rsid w:val="00D445B3"/>
    <w:rsid w:val="00D4482F"/>
    <w:rsid w:val="00D467C9"/>
    <w:rsid w:val="00D46DA1"/>
    <w:rsid w:val="00D47515"/>
    <w:rsid w:val="00D51CD8"/>
    <w:rsid w:val="00D52865"/>
    <w:rsid w:val="00D5473C"/>
    <w:rsid w:val="00D55335"/>
    <w:rsid w:val="00D5562B"/>
    <w:rsid w:val="00D56558"/>
    <w:rsid w:val="00D60AE6"/>
    <w:rsid w:val="00D630FF"/>
    <w:rsid w:val="00D641D3"/>
    <w:rsid w:val="00D64D73"/>
    <w:rsid w:val="00D6526B"/>
    <w:rsid w:val="00D67BD2"/>
    <w:rsid w:val="00D67DA8"/>
    <w:rsid w:val="00D7028D"/>
    <w:rsid w:val="00D7364E"/>
    <w:rsid w:val="00D748BB"/>
    <w:rsid w:val="00D74A9A"/>
    <w:rsid w:val="00D75F98"/>
    <w:rsid w:val="00D778BC"/>
    <w:rsid w:val="00D77EB1"/>
    <w:rsid w:val="00D801C8"/>
    <w:rsid w:val="00D8136D"/>
    <w:rsid w:val="00D8213A"/>
    <w:rsid w:val="00D8578A"/>
    <w:rsid w:val="00D8680C"/>
    <w:rsid w:val="00D92D73"/>
    <w:rsid w:val="00D9402C"/>
    <w:rsid w:val="00D95547"/>
    <w:rsid w:val="00D96528"/>
    <w:rsid w:val="00D9665D"/>
    <w:rsid w:val="00D96710"/>
    <w:rsid w:val="00D97CCF"/>
    <w:rsid w:val="00DA032E"/>
    <w:rsid w:val="00DA04D5"/>
    <w:rsid w:val="00DA4889"/>
    <w:rsid w:val="00DA49F3"/>
    <w:rsid w:val="00DA5C56"/>
    <w:rsid w:val="00DA5DE3"/>
    <w:rsid w:val="00DA6474"/>
    <w:rsid w:val="00DA7089"/>
    <w:rsid w:val="00DB028F"/>
    <w:rsid w:val="00DB15BE"/>
    <w:rsid w:val="00DB495B"/>
    <w:rsid w:val="00DB596F"/>
    <w:rsid w:val="00DB5A30"/>
    <w:rsid w:val="00DB5EA5"/>
    <w:rsid w:val="00DB6D85"/>
    <w:rsid w:val="00DB7FE0"/>
    <w:rsid w:val="00DC0A27"/>
    <w:rsid w:val="00DC0AF3"/>
    <w:rsid w:val="00DC0B72"/>
    <w:rsid w:val="00DC1B1B"/>
    <w:rsid w:val="00DC1F70"/>
    <w:rsid w:val="00DC5A72"/>
    <w:rsid w:val="00DC6E21"/>
    <w:rsid w:val="00DC708F"/>
    <w:rsid w:val="00DC7E2D"/>
    <w:rsid w:val="00DD1CE3"/>
    <w:rsid w:val="00DD2B12"/>
    <w:rsid w:val="00DD3A1A"/>
    <w:rsid w:val="00DD4B55"/>
    <w:rsid w:val="00DD4F86"/>
    <w:rsid w:val="00DD5790"/>
    <w:rsid w:val="00DD636D"/>
    <w:rsid w:val="00DD649A"/>
    <w:rsid w:val="00DD7F08"/>
    <w:rsid w:val="00DE13C5"/>
    <w:rsid w:val="00DE3F22"/>
    <w:rsid w:val="00DE4D12"/>
    <w:rsid w:val="00DE4FEC"/>
    <w:rsid w:val="00DE5BEB"/>
    <w:rsid w:val="00DE78C9"/>
    <w:rsid w:val="00DE7B92"/>
    <w:rsid w:val="00DE7D40"/>
    <w:rsid w:val="00DF30DD"/>
    <w:rsid w:val="00DF311D"/>
    <w:rsid w:val="00DF405C"/>
    <w:rsid w:val="00DF484C"/>
    <w:rsid w:val="00DF49D2"/>
    <w:rsid w:val="00DF500B"/>
    <w:rsid w:val="00DF666C"/>
    <w:rsid w:val="00E00E6F"/>
    <w:rsid w:val="00E035C9"/>
    <w:rsid w:val="00E042BE"/>
    <w:rsid w:val="00E045F3"/>
    <w:rsid w:val="00E0492B"/>
    <w:rsid w:val="00E04C9C"/>
    <w:rsid w:val="00E04FE4"/>
    <w:rsid w:val="00E05EA5"/>
    <w:rsid w:val="00E06904"/>
    <w:rsid w:val="00E0772D"/>
    <w:rsid w:val="00E10558"/>
    <w:rsid w:val="00E10B0A"/>
    <w:rsid w:val="00E11AE3"/>
    <w:rsid w:val="00E1287A"/>
    <w:rsid w:val="00E12EAB"/>
    <w:rsid w:val="00E140A9"/>
    <w:rsid w:val="00E147B0"/>
    <w:rsid w:val="00E14E04"/>
    <w:rsid w:val="00E16432"/>
    <w:rsid w:val="00E20DB1"/>
    <w:rsid w:val="00E22509"/>
    <w:rsid w:val="00E22659"/>
    <w:rsid w:val="00E24530"/>
    <w:rsid w:val="00E31B78"/>
    <w:rsid w:val="00E324C4"/>
    <w:rsid w:val="00E341BD"/>
    <w:rsid w:val="00E34533"/>
    <w:rsid w:val="00E350D9"/>
    <w:rsid w:val="00E35936"/>
    <w:rsid w:val="00E4350E"/>
    <w:rsid w:val="00E445A9"/>
    <w:rsid w:val="00E44939"/>
    <w:rsid w:val="00E45A21"/>
    <w:rsid w:val="00E53970"/>
    <w:rsid w:val="00E53FE1"/>
    <w:rsid w:val="00E54E8B"/>
    <w:rsid w:val="00E567AA"/>
    <w:rsid w:val="00E57D8E"/>
    <w:rsid w:val="00E62699"/>
    <w:rsid w:val="00E62936"/>
    <w:rsid w:val="00E62997"/>
    <w:rsid w:val="00E62CF7"/>
    <w:rsid w:val="00E63A1F"/>
    <w:rsid w:val="00E64A0D"/>
    <w:rsid w:val="00E65AA4"/>
    <w:rsid w:val="00E65F6B"/>
    <w:rsid w:val="00E660D5"/>
    <w:rsid w:val="00E66604"/>
    <w:rsid w:val="00E66D21"/>
    <w:rsid w:val="00E66D6A"/>
    <w:rsid w:val="00E66F7B"/>
    <w:rsid w:val="00E679F9"/>
    <w:rsid w:val="00E701F1"/>
    <w:rsid w:val="00E73C7D"/>
    <w:rsid w:val="00E77BBA"/>
    <w:rsid w:val="00E82B18"/>
    <w:rsid w:val="00E83619"/>
    <w:rsid w:val="00E84D57"/>
    <w:rsid w:val="00E84D85"/>
    <w:rsid w:val="00E8572A"/>
    <w:rsid w:val="00E87537"/>
    <w:rsid w:val="00E91165"/>
    <w:rsid w:val="00E92078"/>
    <w:rsid w:val="00E92C99"/>
    <w:rsid w:val="00E94700"/>
    <w:rsid w:val="00E94DD6"/>
    <w:rsid w:val="00E95C88"/>
    <w:rsid w:val="00E966D7"/>
    <w:rsid w:val="00E96897"/>
    <w:rsid w:val="00E9737C"/>
    <w:rsid w:val="00EA0546"/>
    <w:rsid w:val="00EA113F"/>
    <w:rsid w:val="00EA38D7"/>
    <w:rsid w:val="00EA394D"/>
    <w:rsid w:val="00EA3A01"/>
    <w:rsid w:val="00EA5534"/>
    <w:rsid w:val="00EA59CE"/>
    <w:rsid w:val="00EB03E9"/>
    <w:rsid w:val="00EB0D06"/>
    <w:rsid w:val="00EB2D7C"/>
    <w:rsid w:val="00EB5065"/>
    <w:rsid w:val="00EB5AF8"/>
    <w:rsid w:val="00EB5CD7"/>
    <w:rsid w:val="00EC0CFE"/>
    <w:rsid w:val="00EC3DC2"/>
    <w:rsid w:val="00EC680C"/>
    <w:rsid w:val="00ED3355"/>
    <w:rsid w:val="00ED39FA"/>
    <w:rsid w:val="00ED536F"/>
    <w:rsid w:val="00ED54AD"/>
    <w:rsid w:val="00ED5A2A"/>
    <w:rsid w:val="00ED72B9"/>
    <w:rsid w:val="00EE2FE0"/>
    <w:rsid w:val="00EE39B6"/>
    <w:rsid w:val="00EE3B5A"/>
    <w:rsid w:val="00EE4A58"/>
    <w:rsid w:val="00EE4CE7"/>
    <w:rsid w:val="00EE54E9"/>
    <w:rsid w:val="00EE5F0E"/>
    <w:rsid w:val="00EE5F9F"/>
    <w:rsid w:val="00EE5FDE"/>
    <w:rsid w:val="00EE7887"/>
    <w:rsid w:val="00EF0055"/>
    <w:rsid w:val="00EF05E0"/>
    <w:rsid w:val="00EF1836"/>
    <w:rsid w:val="00EF3562"/>
    <w:rsid w:val="00EF427D"/>
    <w:rsid w:val="00EF5BFF"/>
    <w:rsid w:val="00EF62D4"/>
    <w:rsid w:val="00EF6C42"/>
    <w:rsid w:val="00EF7A42"/>
    <w:rsid w:val="00EF7B64"/>
    <w:rsid w:val="00EF7C4C"/>
    <w:rsid w:val="00F00F22"/>
    <w:rsid w:val="00F01F55"/>
    <w:rsid w:val="00F03269"/>
    <w:rsid w:val="00F040B1"/>
    <w:rsid w:val="00F04B04"/>
    <w:rsid w:val="00F04DBF"/>
    <w:rsid w:val="00F0525E"/>
    <w:rsid w:val="00F05DD3"/>
    <w:rsid w:val="00F05F77"/>
    <w:rsid w:val="00F062B7"/>
    <w:rsid w:val="00F06949"/>
    <w:rsid w:val="00F06B95"/>
    <w:rsid w:val="00F06CB0"/>
    <w:rsid w:val="00F072AE"/>
    <w:rsid w:val="00F07EF6"/>
    <w:rsid w:val="00F10107"/>
    <w:rsid w:val="00F1130E"/>
    <w:rsid w:val="00F1139E"/>
    <w:rsid w:val="00F125F5"/>
    <w:rsid w:val="00F13DAB"/>
    <w:rsid w:val="00F13F92"/>
    <w:rsid w:val="00F1473A"/>
    <w:rsid w:val="00F15F48"/>
    <w:rsid w:val="00F16E93"/>
    <w:rsid w:val="00F17B94"/>
    <w:rsid w:val="00F210C1"/>
    <w:rsid w:val="00F220B9"/>
    <w:rsid w:val="00F24A88"/>
    <w:rsid w:val="00F303D7"/>
    <w:rsid w:val="00F31CF3"/>
    <w:rsid w:val="00F32F24"/>
    <w:rsid w:val="00F346A5"/>
    <w:rsid w:val="00F3617C"/>
    <w:rsid w:val="00F37262"/>
    <w:rsid w:val="00F37ADD"/>
    <w:rsid w:val="00F41147"/>
    <w:rsid w:val="00F430A1"/>
    <w:rsid w:val="00F43127"/>
    <w:rsid w:val="00F45675"/>
    <w:rsid w:val="00F45F00"/>
    <w:rsid w:val="00F45FD3"/>
    <w:rsid w:val="00F46308"/>
    <w:rsid w:val="00F46864"/>
    <w:rsid w:val="00F52AA7"/>
    <w:rsid w:val="00F5335B"/>
    <w:rsid w:val="00F5427E"/>
    <w:rsid w:val="00F55609"/>
    <w:rsid w:val="00F5568F"/>
    <w:rsid w:val="00F55E22"/>
    <w:rsid w:val="00F55E32"/>
    <w:rsid w:val="00F566E2"/>
    <w:rsid w:val="00F612DC"/>
    <w:rsid w:val="00F61502"/>
    <w:rsid w:val="00F61D41"/>
    <w:rsid w:val="00F625FD"/>
    <w:rsid w:val="00F645AE"/>
    <w:rsid w:val="00F64C35"/>
    <w:rsid w:val="00F656C9"/>
    <w:rsid w:val="00F65B85"/>
    <w:rsid w:val="00F65EF9"/>
    <w:rsid w:val="00F67359"/>
    <w:rsid w:val="00F70C91"/>
    <w:rsid w:val="00F70CAF"/>
    <w:rsid w:val="00F71406"/>
    <w:rsid w:val="00F71C76"/>
    <w:rsid w:val="00F72899"/>
    <w:rsid w:val="00F7701F"/>
    <w:rsid w:val="00F77A7B"/>
    <w:rsid w:val="00F80570"/>
    <w:rsid w:val="00F81203"/>
    <w:rsid w:val="00F84D7D"/>
    <w:rsid w:val="00F84EB6"/>
    <w:rsid w:val="00F85E0F"/>
    <w:rsid w:val="00F864D8"/>
    <w:rsid w:val="00F868AE"/>
    <w:rsid w:val="00F8725A"/>
    <w:rsid w:val="00F90078"/>
    <w:rsid w:val="00F90E5D"/>
    <w:rsid w:val="00F91525"/>
    <w:rsid w:val="00F93503"/>
    <w:rsid w:val="00FA22C6"/>
    <w:rsid w:val="00FA3943"/>
    <w:rsid w:val="00FA3E00"/>
    <w:rsid w:val="00FA433E"/>
    <w:rsid w:val="00FA7044"/>
    <w:rsid w:val="00FA73A5"/>
    <w:rsid w:val="00FA744B"/>
    <w:rsid w:val="00FA7455"/>
    <w:rsid w:val="00FB1DC3"/>
    <w:rsid w:val="00FB1E0D"/>
    <w:rsid w:val="00FB3D49"/>
    <w:rsid w:val="00FB4DE6"/>
    <w:rsid w:val="00FB56FB"/>
    <w:rsid w:val="00FB5755"/>
    <w:rsid w:val="00FB6D0B"/>
    <w:rsid w:val="00FB71F6"/>
    <w:rsid w:val="00FB7C2E"/>
    <w:rsid w:val="00FC0286"/>
    <w:rsid w:val="00FC0578"/>
    <w:rsid w:val="00FC0D3D"/>
    <w:rsid w:val="00FC0F30"/>
    <w:rsid w:val="00FC1611"/>
    <w:rsid w:val="00FC1975"/>
    <w:rsid w:val="00FC236E"/>
    <w:rsid w:val="00FC33CE"/>
    <w:rsid w:val="00FC3A25"/>
    <w:rsid w:val="00FC502B"/>
    <w:rsid w:val="00FC565D"/>
    <w:rsid w:val="00FC72C7"/>
    <w:rsid w:val="00FD0F5A"/>
    <w:rsid w:val="00FD1177"/>
    <w:rsid w:val="00FD1B7D"/>
    <w:rsid w:val="00FD5752"/>
    <w:rsid w:val="00FD6F5B"/>
    <w:rsid w:val="00FE0782"/>
    <w:rsid w:val="00FE078C"/>
    <w:rsid w:val="00FE10E7"/>
    <w:rsid w:val="00FE2890"/>
    <w:rsid w:val="00FE51DD"/>
    <w:rsid w:val="00FF13DA"/>
    <w:rsid w:val="00FF1900"/>
    <w:rsid w:val="00FF1978"/>
    <w:rsid w:val="00FF1CFF"/>
    <w:rsid w:val="00FF1D33"/>
    <w:rsid w:val="00FF27D8"/>
    <w:rsid w:val="00FF3539"/>
    <w:rsid w:val="00FF39D0"/>
    <w:rsid w:val="00FF3A8E"/>
    <w:rsid w:val="00FF421C"/>
    <w:rsid w:val="00FF4F97"/>
    <w:rsid w:val="00FF5083"/>
    <w:rsid w:val="00FF52D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B8F440"/>
  <w14:defaultImageDpi w14:val="330"/>
  <w15:docId w15:val="{3011C49A-EE81-6444-8475-75A22A0F9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14F1"/>
    <w:pPr>
      <w:spacing w:line="480" w:lineRule="auto"/>
      <w:ind w:firstLine="720"/>
    </w:pPr>
    <w:rPr>
      <w:rFonts w:ascii="Avenir Book" w:hAnsi="Avenir Book" w:cs="Times New Roman"/>
      <w:sz w:val="22"/>
      <w:szCs w:val="22"/>
      <w:lang w:val="en-US"/>
    </w:rPr>
  </w:style>
  <w:style w:type="paragraph" w:styleId="Heading1">
    <w:name w:val="heading 1"/>
    <w:basedOn w:val="Normal"/>
    <w:next w:val="Normal"/>
    <w:link w:val="Heading1Char"/>
    <w:uiPriority w:val="9"/>
    <w:qFormat/>
    <w:rsid w:val="000336FD"/>
    <w:pPr>
      <w:jc w:val="center"/>
      <w:outlineLvl w:val="0"/>
    </w:pPr>
    <w:rPr>
      <w:b/>
    </w:rPr>
  </w:style>
  <w:style w:type="paragraph" w:styleId="Heading2">
    <w:name w:val="heading 2"/>
    <w:basedOn w:val="Normal"/>
    <w:next w:val="Normal"/>
    <w:link w:val="Heading2Char"/>
    <w:uiPriority w:val="9"/>
    <w:unhideWhenUsed/>
    <w:qFormat/>
    <w:rsid w:val="008D1AD4"/>
    <w:pPr>
      <w:keepNext/>
      <w:ind w:firstLine="0"/>
      <w:outlineLvl w:val="1"/>
    </w:pPr>
    <w:rPr>
      <w:b/>
    </w:rPr>
  </w:style>
  <w:style w:type="paragraph" w:styleId="Heading3">
    <w:name w:val="heading 3"/>
    <w:basedOn w:val="Heading2"/>
    <w:next w:val="Normal"/>
    <w:link w:val="Heading3Char"/>
    <w:uiPriority w:val="9"/>
    <w:unhideWhenUsed/>
    <w:qFormat/>
    <w:rsid w:val="008D1AD4"/>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028F"/>
    <w:rPr>
      <w:color w:val="0000FF" w:themeColor="hyperlink"/>
      <w:u w:val="single"/>
    </w:rPr>
  </w:style>
  <w:style w:type="character" w:styleId="CommentReference">
    <w:name w:val="annotation reference"/>
    <w:basedOn w:val="DefaultParagraphFont"/>
    <w:uiPriority w:val="99"/>
    <w:semiHidden/>
    <w:unhideWhenUsed/>
    <w:rsid w:val="00521D05"/>
    <w:rPr>
      <w:sz w:val="18"/>
      <w:szCs w:val="18"/>
    </w:rPr>
  </w:style>
  <w:style w:type="paragraph" w:styleId="CommentText">
    <w:name w:val="annotation text"/>
    <w:basedOn w:val="Normal"/>
    <w:link w:val="CommentTextChar"/>
    <w:uiPriority w:val="99"/>
    <w:unhideWhenUsed/>
    <w:rsid w:val="00521D05"/>
    <w:rPr>
      <w:rFonts w:asciiTheme="minorHAnsi" w:hAnsiTheme="minorHAnsi" w:cstheme="minorBidi"/>
      <w:lang w:val="en-GB"/>
    </w:rPr>
  </w:style>
  <w:style w:type="character" w:customStyle="1" w:styleId="CommentTextChar">
    <w:name w:val="Comment Text Char"/>
    <w:basedOn w:val="DefaultParagraphFont"/>
    <w:link w:val="CommentText"/>
    <w:uiPriority w:val="99"/>
    <w:rsid w:val="00521D05"/>
  </w:style>
  <w:style w:type="paragraph" w:styleId="CommentSubject">
    <w:name w:val="annotation subject"/>
    <w:basedOn w:val="CommentText"/>
    <w:next w:val="CommentText"/>
    <w:link w:val="CommentSubjectChar"/>
    <w:uiPriority w:val="99"/>
    <w:semiHidden/>
    <w:unhideWhenUsed/>
    <w:rsid w:val="00521D05"/>
    <w:rPr>
      <w:b/>
      <w:bCs/>
      <w:sz w:val="20"/>
      <w:szCs w:val="20"/>
    </w:rPr>
  </w:style>
  <w:style w:type="character" w:customStyle="1" w:styleId="CommentSubjectChar">
    <w:name w:val="Comment Subject Char"/>
    <w:basedOn w:val="CommentTextChar"/>
    <w:link w:val="CommentSubject"/>
    <w:uiPriority w:val="99"/>
    <w:semiHidden/>
    <w:rsid w:val="00521D05"/>
    <w:rPr>
      <w:b/>
      <w:bCs/>
      <w:sz w:val="20"/>
      <w:szCs w:val="20"/>
    </w:rPr>
  </w:style>
  <w:style w:type="paragraph" w:styleId="BalloonText">
    <w:name w:val="Balloon Text"/>
    <w:basedOn w:val="Normal"/>
    <w:link w:val="BalloonTextChar"/>
    <w:uiPriority w:val="99"/>
    <w:semiHidden/>
    <w:unhideWhenUsed/>
    <w:rsid w:val="00521D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1D05"/>
    <w:rPr>
      <w:rFonts w:ascii="Lucida Grande" w:hAnsi="Lucida Grande" w:cs="Lucida Grande"/>
      <w:sz w:val="18"/>
      <w:szCs w:val="18"/>
    </w:rPr>
  </w:style>
  <w:style w:type="paragraph" w:customStyle="1" w:styleId="svarticle">
    <w:name w:val="svarticle"/>
    <w:basedOn w:val="Normal"/>
    <w:rsid w:val="000A3D50"/>
    <w:pPr>
      <w:spacing w:before="100" w:beforeAutospacing="1" w:after="100" w:afterAutospacing="1"/>
    </w:pPr>
    <w:rPr>
      <w:rFonts w:ascii="Times" w:hAnsi="Times" w:cstheme="minorBidi"/>
      <w:sz w:val="20"/>
      <w:szCs w:val="20"/>
      <w:lang w:val="en-GB"/>
    </w:rPr>
  </w:style>
  <w:style w:type="character" w:customStyle="1" w:styleId="apple-converted-space">
    <w:name w:val="apple-converted-space"/>
    <w:basedOn w:val="DefaultParagraphFont"/>
    <w:rsid w:val="000A3D50"/>
  </w:style>
  <w:style w:type="character" w:styleId="Emphasis">
    <w:name w:val="Emphasis"/>
    <w:basedOn w:val="DefaultParagraphFont"/>
    <w:uiPriority w:val="20"/>
    <w:qFormat/>
    <w:rsid w:val="000A3D50"/>
    <w:rPr>
      <w:i/>
      <w:iCs/>
    </w:rPr>
  </w:style>
  <w:style w:type="paragraph" w:styleId="ListParagraph">
    <w:name w:val="List Paragraph"/>
    <w:basedOn w:val="Normal"/>
    <w:uiPriority w:val="34"/>
    <w:qFormat/>
    <w:rsid w:val="00745CC0"/>
    <w:pPr>
      <w:ind w:left="720"/>
      <w:contextualSpacing/>
    </w:pPr>
    <w:rPr>
      <w:rFonts w:asciiTheme="minorHAnsi" w:hAnsiTheme="minorHAnsi" w:cstheme="minorBidi"/>
      <w:lang w:val="en-GB"/>
    </w:rPr>
  </w:style>
  <w:style w:type="paragraph" w:customStyle="1" w:styleId="p1">
    <w:name w:val="p1"/>
    <w:basedOn w:val="Normal"/>
    <w:rsid w:val="0021411F"/>
    <w:rPr>
      <w:rFonts w:ascii="Helvetica" w:hAnsi="Helvetica"/>
      <w:sz w:val="18"/>
      <w:szCs w:val="18"/>
    </w:rPr>
  </w:style>
  <w:style w:type="paragraph" w:customStyle="1" w:styleId="p2">
    <w:name w:val="p2"/>
    <w:basedOn w:val="Normal"/>
    <w:rsid w:val="0021411F"/>
    <w:pPr>
      <w:spacing w:line="240" w:lineRule="atLeast"/>
      <w:ind w:left="45"/>
      <w:jc w:val="center"/>
    </w:pPr>
    <w:rPr>
      <w:rFonts w:ascii="Arial" w:hAnsi="Arial" w:cs="Arial"/>
      <w:sz w:val="18"/>
      <w:szCs w:val="18"/>
    </w:rPr>
  </w:style>
  <w:style w:type="paragraph" w:customStyle="1" w:styleId="p3">
    <w:name w:val="p3"/>
    <w:basedOn w:val="Normal"/>
    <w:rsid w:val="0021411F"/>
    <w:rPr>
      <w:sz w:val="18"/>
      <w:szCs w:val="18"/>
    </w:rPr>
  </w:style>
  <w:style w:type="paragraph" w:customStyle="1" w:styleId="p4">
    <w:name w:val="p4"/>
    <w:basedOn w:val="Normal"/>
    <w:rsid w:val="0021411F"/>
    <w:pPr>
      <w:spacing w:line="240" w:lineRule="atLeast"/>
      <w:ind w:left="45"/>
    </w:pPr>
    <w:rPr>
      <w:rFonts w:ascii="Arial" w:hAnsi="Arial" w:cs="Arial"/>
      <w:sz w:val="18"/>
      <w:szCs w:val="18"/>
    </w:rPr>
  </w:style>
  <w:style w:type="paragraph" w:customStyle="1" w:styleId="p5">
    <w:name w:val="p5"/>
    <w:basedOn w:val="Normal"/>
    <w:rsid w:val="0021411F"/>
    <w:pPr>
      <w:spacing w:line="240" w:lineRule="atLeast"/>
      <w:ind w:left="45"/>
      <w:jc w:val="right"/>
    </w:pPr>
    <w:rPr>
      <w:rFonts w:ascii="Arial" w:hAnsi="Arial" w:cs="Arial"/>
      <w:sz w:val="18"/>
      <w:szCs w:val="18"/>
    </w:rPr>
  </w:style>
  <w:style w:type="paragraph" w:customStyle="1" w:styleId="p6">
    <w:name w:val="p6"/>
    <w:basedOn w:val="Normal"/>
    <w:rsid w:val="0021411F"/>
    <w:pPr>
      <w:spacing w:line="300" w:lineRule="atLeast"/>
    </w:pPr>
    <w:rPr>
      <w:sz w:val="18"/>
      <w:szCs w:val="18"/>
    </w:rPr>
  </w:style>
  <w:style w:type="table" w:styleId="TableGrid">
    <w:name w:val="Table Grid"/>
    <w:basedOn w:val="TableNormal"/>
    <w:uiPriority w:val="59"/>
    <w:rsid w:val="00CA6C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16A24"/>
    <w:pPr>
      <w:spacing w:before="100" w:beforeAutospacing="1" w:after="100" w:afterAutospacing="1"/>
    </w:pPr>
  </w:style>
  <w:style w:type="character" w:styleId="FollowedHyperlink">
    <w:name w:val="FollowedHyperlink"/>
    <w:basedOn w:val="DefaultParagraphFont"/>
    <w:uiPriority w:val="99"/>
    <w:semiHidden/>
    <w:unhideWhenUsed/>
    <w:rsid w:val="00260267"/>
    <w:rPr>
      <w:color w:val="800080" w:themeColor="followedHyperlink"/>
      <w:u w:val="single"/>
    </w:rPr>
  </w:style>
  <w:style w:type="character" w:customStyle="1" w:styleId="citationref">
    <w:name w:val="citationref"/>
    <w:basedOn w:val="DefaultParagraphFont"/>
    <w:rsid w:val="00455156"/>
  </w:style>
  <w:style w:type="paragraph" w:styleId="Revision">
    <w:name w:val="Revision"/>
    <w:hidden/>
    <w:uiPriority w:val="99"/>
    <w:semiHidden/>
    <w:rsid w:val="00C15FC9"/>
    <w:rPr>
      <w:rFonts w:ascii="Times New Roman" w:hAnsi="Times New Roman" w:cs="Times New Roman"/>
      <w:lang w:val="en-US"/>
    </w:rPr>
  </w:style>
  <w:style w:type="character" w:customStyle="1" w:styleId="Heading1Char">
    <w:name w:val="Heading 1 Char"/>
    <w:basedOn w:val="DefaultParagraphFont"/>
    <w:link w:val="Heading1"/>
    <w:uiPriority w:val="9"/>
    <w:rsid w:val="000336FD"/>
    <w:rPr>
      <w:rFonts w:ascii="Avenir Book" w:hAnsi="Avenir Book" w:cs="Times New Roman"/>
      <w:b/>
      <w:sz w:val="22"/>
      <w:szCs w:val="22"/>
      <w:lang w:val="en-US"/>
    </w:rPr>
  </w:style>
  <w:style w:type="character" w:customStyle="1" w:styleId="Heading2Char">
    <w:name w:val="Heading 2 Char"/>
    <w:basedOn w:val="DefaultParagraphFont"/>
    <w:link w:val="Heading2"/>
    <w:uiPriority w:val="9"/>
    <w:rsid w:val="008D1AD4"/>
    <w:rPr>
      <w:rFonts w:ascii="Avenir Book" w:hAnsi="Avenir Book" w:cs="Times New Roman"/>
      <w:b/>
      <w:sz w:val="22"/>
      <w:szCs w:val="22"/>
      <w:lang w:val="en-US"/>
    </w:rPr>
  </w:style>
  <w:style w:type="paragraph" w:customStyle="1" w:styleId="Table">
    <w:name w:val="Table"/>
    <w:basedOn w:val="Normal"/>
    <w:qFormat/>
    <w:rsid w:val="000248D0"/>
    <w:pPr>
      <w:spacing w:line="240" w:lineRule="auto"/>
      <w:ind w:firstLine="0"/>
    </w:pPr>
  </w:style>
  <w:style w:type="character" w:customStyle="1" w:styleId="Heading3Char">
    <w:name w:val="Heading 3 Char"/>
    <w:basedOn w:val="DefaultParagraphFont"/>
    <w:link w:val="Heading3"/>
    <w:uiPriority w:val="9"/>
    <w:rsid w:val="008D1AD4"/>
    <w:rPr>
      <w:rFonts w:ascii="Avenir Book" w:hAnsi="Avenir Book" w:cs="Times New Roman"/>
      <w:b/>
      <w:sz w:val="22"/>
      <w:szCs w:val="22"/>
      <w:lang w:val="en-US"/>
    </w:rPr>
  </w:style>
  <w:style w:type="character" w:styleId="PlaceholderText">
    <w:name w:val="Placeholder Text"/>
    <w:basedOn w:val="DefaultParagraphFont"/>
    <w:uiPriority w:val="99"/>
    <w:semiHidden/>
    <w:rsid w:val="0085057D"/>
    <w:rPr>
      <w:color w:val="808080"/>
    </w:rPr>
  </w:style>
  <w:style w:type="paragraph" w:styleId="Header">
    <w:name w:val="header"/>
    <w:basedOn w:val="Normal"/>
    <w:link w:val="HeaderChar"/>
    <w:uiPriority w:val="99"/>
    <w:unhideWhenUsed/>
    <w:rsid w:val="00A46A00"/>
    <w:pPr>
      <w:tabs>
        <w:tab w:val="center" w:pos="4320"/>
        <w:tab w:val="right" w:pos="8640"/>
      </w:tabs>
      <w:spacing w:line="240" w:lineRule="auto"/>
    </w:pPr>
  </w:style>
  <w:style w:type="character" w:customStyle="1" w:styleId="HeaderChar">
    <w:name w:val="Header Char"/>
    <w:basedOn w:val="DefaultParagraphFont"/>
    <w:link w:val="Header"/>
    <w:uiPriority w:val="99"/>
    <w:rsid w:val="00A46A00"/>
    <w:rPr>
      <w:rFonts w:ascii="Avenir Book" w:hAnsi="Avenir Book" w:cs="Times New Roman"/>
      <w:sz w:val="22"/>
      <w:szCs w:val="22"/>
      <w:lang w:val="en-US"/>
    </w:rPr>
  </w:style>
  <w:style w:type="paragraph" w:styleId="Footer">
    <w:name w:val="footer"/>
    <w:basedOn w:val="Normal"/>
    <w:link w:val="FooterChar"/>
    <w:uiPriority w:val="99"/>
    <w:unhideWhenUsed/>
    <w:rsid w:val="00A46A00"/>
    <w:pPr>
      <w:tabs>
        <w:tab w:val="center" w:pos="4320"/>
        <w:tab w:val="right" w:pos="8640"/>
      </w:tabs>
      <w:spacing w:line="240" w:lineRule="auto"/>
    </w:pPr>
  </w:style>
  <w:style w:type="character" w:customStyle="1" w:styleId="FooterChar">
    <w:name w:val="Footer Char"/>
    <w:basedOn w:val="DefaultParagraphFont"/>
    <w:link w:val="Footer"/>
    <w:uiPriority w:val="99"/>
    <w:rsid w:val="00A46A00"/>
    <w:rPr>
      <w:rFonts w:ascii="Avenir Book" w:hAnsi="Avenir Book" w:cs="Times New Roman"/>
      <w:sz w:val="22"/>
      <w:szCs w:val="22"/>
      <w:lang w:val="en-US"/>
    </w:rPr>
  </w:style>
  <w:style w:type="character" w:styleId="PageNumber">
    <w:name w:val="page number"/>
    <w:basedOn w:val="DefaultParagraphFont"/>
    <w:uiPriority w:val="99"/>
    <w:semiHidden/>
    <w:unhideWhenUsed/>
    <w:rsid w:val="00A46A00"/>
  </w:style>
  <w:style w:type="paragraph" w:customStyle="1" w:styleId="EndNoteBibliographyTitle">
    <w:name w:val="EndNote Bibliography Title"/>
    <w:basedOn w:val="Normal"/>
    <w:rsid w:val="00E82B18"/>
    <w:pPr>
      <w:jc w:val="center"/>
    </w:pPr>
    <w:rPr>
      <w:rFonts w:ascii="Avenir" w:hAnsi="Avenir"/>
    </w:rPr>
  </w:style>
  <w:style w:type="paragraph" w:customStyle="1" w:styleId="EndNoteBibliography">
    <w:name w:val="EndNote Bibliography"/>
    <w:basedOn w:val="Normal"/>
    <w:rsid w:val="00E82B18"/>
    <w:rPr>
      <w:rFonts w:ascii="Avenir" w:hAnsi="Aven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239">
      <w:bodyDiv w:val="1"/>
      <w:marLeft w:val="0"/>
      <w:marRight w:val="0"/>
      <w:marTop w:val="0"/>
      <w:marBottom w:val="0"/>
      <w:divBdr>
        <w:top w:val="none" w:sz="0" w:space="0" w:color="auto"/>
        <w:left w:val="none" w:sz="0" w:space="0" w:color="auto"/>
        <w:bottom w:val="none" w:sz="0" w:space="0" w:color="auto"/>
        <w:right w:val="none" w:sz="0" w:space="0" w:color="auto"/>
      </w:divBdr>
      <w:divsChild>
        <w:div w:id="1807161374">
          <w:marLeft w:val="0"/>
          <w:marRight w:val="0"/>
          <w:marTop w:val="0"/>
          <w:marBottom w:val="0"/>
          <w:divBdr>
            <w:top w:val="none" w:sz="0" w:space="0" w:color="auto"/>
            <w:left w:val="none" w:sz="0" w:space="0" w:color="auto"/>
            <w:bottom w:val="none" w:sz="0" w:space="0" w:color="auto"/>
            <w:right w:val="none" w:sz="0" w:space="0" w:color="auto"/>
          </w:divBdr>
          <w:divsChild>
            <w:div w:id="1127774997">
              <w:marLeft w:val="0"/>
              <w:marRight w:val="0"/>
              <w:marTop w:val="0"/>
              <w:marBottom w:val="0"/>
              <w:divBdr>
                <w:top w:val="none" w:sz="0" w:space="0" w:color="auto"/>
                <w:left w:val="none" w:sz="0" w:space="0" w:color="auto"/>
                <w:bottom w:val="none" w:sz="0" w:space="0" w:color="auto"/>
                <w:right w:val="none" w:sz="0" w:space="0" w:color="auto"/>
              </w:divBdr>
              <w:divsChild>
                <w:div w:id="577861522">
                  <w:marLeft w:val="0"/>
                  <w:marRight w:val="0"/>
                  <w:marTop w:val="0"/>
                  <w:marBottom w:val="0"/>
                  <w:divBdr>
                    <w:top w:val="none" w:sz="0" w:space="0" w:color="auto"/>
                    <w:left w:val="none" w:sz="0" w:space="0" w:color="auto"/>
                    <w:bottom w:val="none" w:sz="0" w:space="0" w:color="auto"/>
                    <w:right w:val="none" w:sz="0" w:space="0" w:color="auto"/>
                  </w:divBdr>
                </w:div>
              </w:divsChild>
            </w:div>
            <w:div w:id="396049935">
              <w:marLeft w:val="0"/>
              <w:marRight w:val="0"/>
              <w:marTop w:val="0"/>
              <w:marBottom w:val="0"/>
              <w:divBdr>
                <w:top w:val="none" w:sz="0" w:space="0" w:color="auto"/>
                <w:left w:val="none" w:sz="0" w:space="0" w:color="auto"/>
                <w:bottom w:val="none" w:sz="0" w:space="0" w:color="auto"/>
                <w:right w:val="none" w:sz="0" w:space="0" w:color="auto"/>
              </w:divBdr>
              <w:divsChild>
                <w:div w:id="12628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66330">
          <w:marLeft w:val="0"/>
          <w:marRight w:val="0"/>
          <w:marTop w:val="0"/>
          <w:marBottom w:val="0"/>
          <w:divBdr>
            <w:top w:val="none" w:sz="0" w:space="0" w:color="auto"/>
            <w:left w:val="none" w:sz="0" w:space="0" w:color="auto"/>
            <w:bottom w:val="none" w:sz="0" w:space="0" w:color="auto"/>
            <w:right w:val="none" w:sz="0" w:space="0" w:color="auto"/>
          </w:divBdr>
          <w:divsChild>
            <w:div w:id="1141383420">
              <w:marLeft w:val="0"/>
              <w:marRight w:val="0"/>
              <w:marTop w:val="0"/>
              <w:marBottom w:val="0"/>
              <w:divBdr>
                <w:top w:val="none" w:sz="0" w:space="0" w:color="auto"/>
                <w:left w:val="none" w:sz="0" w:space="0" w:color="auto"/>
                <w:bottom w:val="none" w:sz="0" w:space="0" w:color="auto"/>
                <w:right w:val="none" w:sz="0" w:space="0" w:color="auto"/>
              </w:divBdr>
              <w:divsChild>
                <w:div w:id="1326202676">
                  <w:marLeft w:val="0"/>
                  <w:marRight w:val="0"/>
                  <w:marTop w:val="0"/>
                  <w:marBottom w:val="0"/>
                  <w:divBdr>
                    <w:top w:val="none" w:sz="0" w:space="0" w:color="auto"/>
                    <w:left w:val="none" w:sz="0" w:space="0" w:color="auto"/>
                    <w:bottom w:val="none" w:sz="0" w:space="0" w:color="auto"/>
                    <w:right w:val="none" w:sz="0" w:space="0" w:color="auto"/>
                  </w:divBdr>
                </w:div>
              </w:divsChild>
            </w:div>
            <w:div w:id="923607556">
              <w:marLeft w:val="0"/>
              <w:marRight w:val="0"/>
              <w:marTop w:val="0"/>
              <w:marBottom w:val="0"/>
              <w:divBdr>
                <w:top w:val="none" w:sz="0" w:space="0" w:color="auto"/>
                <w:left w:val="none" w:sz="0" w:space="0" w:color="auto"/>
                <w:bottom w:val="none" w:sz="0" w:space="0" w:color="auto"/>
                <w:right w:val="none" w:sz="0" w:space="0" w:color="auto"/>
              </w:divBdr>
              <w:divsChild>
                <w:div w:id="414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2058">
      <w:bodyDiv w:val="1"/>
      <w:marLeft w:val="0"/>
      <w:marRight w:val="0"/>
      <w:marTop w:val="0"/>
      <w:marBottom w:val="0"/>
      <w:divBdr>
        <w:top w:val="none" w:sz="0" w:space="0" w:color="auto"/>
        <w:left w:val="none" w:sz="0" w:space="0" w:color="auto"/>
        <w:bottom w:val="none" w:sz="0" w:space="0" w:color="auto"/>
        <w:right w:val="none" w:sz="0" w:space="0" w:color="auto"/>
      </w:divBdr>
    </w:div>
    <w:div w:id="20784256">
      <w:bodyDiv w:val="1"/>
      <w:marLeft w:val="0"/>
      <w:marRight w:val="0"/>
      <w:marTop w:val="0"/>
      <w:marBottom w:val="0"/>
      <w:divBdr>
        <w:top w:val="none" w:sz="0" w:space="0" w:color="auto"/>
        <w:left w:val="none" w:sz="0" w:space="0" w:color="auto"/>
        <w:bottom w:val="none" w:sz="0" w:space="0" w:color="auto"/>
        <w:right w:val="none" w:sz="0" w:space="0" w:color="auto"/>
      </w:divBdr>
    </w:div>
    <w:div w:id="22022606">
      <w:bodyDiv w:val="1"/>
      <w:marLeft w:val="0"/>
      <w:marRight w:val="0"/>
      <w:marTop w:val="0"/>
      <w:marBottom w:val="0"/>
      <w:divBdr>
        <w:top w:val="none" w:sz="0" w:space="0" w:color="auto"/>
        <w:left w:val="none" w:sz="0" w:space="0" w:color="auto"/>
        <w:bottom w:val="none" w:sz="0" w:space="0" w:color="auto"/>
        <w:right w:val="none" w:sz="0" w:space="0" w:color="auto"/>
      </w:divBdr>
    </w:div>
    <w:div w:id="59641165">
      <w:bodyDiv w:val="1"/>
      <w:marLeft w:val="0"/>
      <w:marRight w:val="0"/>
      <w:marTop w:val="0"/>
      <w:marBottom w:val="0"/>
      <w:divBdr>
        <w:top w:val="none" w:sz="0" w:space="0" w:color="auto"/>
        <w:left w:val="none" w:sz="0" w:space="0" w:color="auto"/>
        <w:bottom w:val="none" w:sz="0" w:space="0" w:color="auto"/>
        <w:right w:val="none" w:sz="0" w:space="0" w:color="auto"/>
      </w:divBdr>
    </w:div>
    <w:div w:id="91900318">
      <w:bodyDiv w:val="1"/>
      <w:marLeft w:val="0"/>
      <w:marRight w:val="0"/>
      <w:marTop w:val="0"/>
      <w:marBottom w:val="0"/>
      <w:divBdr>
        <w:top w:val="none" w:sz="0" w:space="0" w:color="auto"/>
        <w:left w:val="none" w:sz="0" w:space="0" w:color="auto"/>
        <w:bottom w:val="none" w:sz="0" w:space="0" w:color="auto"/>
        <w:right w:val="none" w:sz="0" w:space="0" w:color="auto"/>
      </w:divBdr>
    </w:div>
    <w:div w:id="91975298">
      <w:bodyDiv w:val="1"/>
      <w:marLeft w:val="0"/>
      <w:marRight w:val="0"/>
      <w:marTop w:val="0"/>
      <w:marBottom w:val="0"/>
      <w:divBdr>
        <w:top w:val="none" w:sz="0" w:space="0" w:color="auto"/>
        <w:left w:val="none" w:sz="0" w:space="0" w:color="auto"/>
        <w:bottom w:val="none" w:sz="0" w:space="0" w:color="auto"/>
        <w:right w:val="none" w:sz="0" w:space="0" w:color="auto"/>
      </w:divBdr>
    </w:div>
    <w:div w:id="121726723">
      <w:bodyDiv w:val="1"/>
      <w:marLeft w:val="0"/>
      <w:marRight w:val="0"/>
      <w:marTop w:val="0"/>
      <w:marBottom w:val="0"/>
      <w:divBdr>
        <w:top w:val="none" w:sz="0" w:space="0" w:color="auto"/>
        <w:left w:val="none" w:sz="0" w:space="0" w:color="auto"/>
        <w:bottom w:val="none" w:sz="0" w:space="0" w:color="auto"/>
        <w:right w:val="none" w:sz="0" w:space="0" w:color="auto"/>
      </w:divBdr>
    </w:div>
    <w:div w:id="153841101">
      <w:bodyDiv w:val="1"/>
      <w:marLeft w:val="0"/>
      <w:marRight w:val="0"/>
      <w:marTop w:val="0"/>
      <w:marBottom w:val="0"/>
      <w:divBdr>
        <w:top w:val="none" w:sz="0" w:space="0" w:color="auto"/>
        <w:left w:val="none" w:sz="0" w:space="0" w:color="auto"/>
        <w:bottom w:val="none" w:sz="0" w:space="0" w:color="auto"/>
        <w:right w:val="none" w:sz="0" w:space="0" w:color="auto"/>
      </w:divBdr>
    </w:div>
    <w:div w:id="154928683">
      <w:bodyDiv w:val="1"/>
      <w:marLeft w:val="0"/>
      <w:marRight w:val="0"/>
      <w:marTop w:val="0"/>
      <w:marBottom w:val="0"/>
      <w:divBdr>
        <w:top w:val="none" w:sz="0" w:space="0" w:color="auto"/>
        <w:left w:val="none" w:sz="0" w:space="0" w:color="auto"/>
        <w:bottom w:val="none" w:sz="0" w:space="0" w:color="auto"/>
        <w:right w:val="none" w:sz="0" w:space="0" w:color="auto"/>
      </w:divBdr>
    </w:div>
    <w:div w:id="164439201">
      <w:bodyDiv w:val="1"/>
      <w:marLeft w:val="0"/>
      <w:marRight w:val="0"/>
      <w:marTop w:val="0"/>
      <w:marBottom w:val="0"/>
      <w:divBdr>
        <w:top w:val="none" w:sz="0" w:space="0" w:color="auto"/>
        <w:left w:val="none" w:sz="0" w:space="0" w:color="auto"/>
        <w:bottom w:val="none" w:sz="0" w:space="0" w:color="auto"/>
        <w:right w:val="none" w:sz="0" w:space="0" w:color="auto"/>
      </w:divBdr>
      <w:divsChild>
        <w:div w:id="751898992">
          <w:marLeft w:val="0"/>
          <w:marRight w:val="0"/>
          <w:marTop w:val="0"/>
          <w:marBottom w:val="0"/>
          <w:divBdr>
            <w:top w:val="none" w:sz="0" w:space="0" w:color="auto"/>
            <w:left w:val="none" w:sz="0" w:space="0" w:color="auto"/>
            <w:bottom w:val="none" w:sz="0" w:space="0" w:color="auto"/>
            <w:right w:val="none" w:sz="0" w:space="0" w:color="auto"/>
          </w:divBdr>
          <w:divsChild>
            <w:div w:id="1175266251">
              <w:marLeft w:val="0"/>
              <w:marRight w:val="0"/>
              <w:marTop w:val="0"/>
              <w:marBottom w:val="0"/>
              <w:divBdr>
                <w:top w:val="none" w:sz="0" w:space="0" w:color="auto"/>
                <w:left w:val="none" w:sz="0" w:space="0" w:color="auto"/>
                <w:bottom w:val="none" w:sz="0" w:space="0" w:color="auto"/>
                <w:right w:val="none" w:sz="0" w:space="0" w:color="auto"/>
              </w:divBdr>
              <w:divsChild>
                <w:div w:id="106649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31803">
      <w:bodyDiv w:val="1"/>
      <w:marLeft w:val="0"/>
      <w:marRight w:val="0"/>
      <w:marTop w:val="0"/>
      <w:marBottom w:val="0"/>
      <w:divBdr>
        <w:top w:val="none" w:sz="0" w:space="0" w:color="auto"/>
        <w:left w:val="none" w:sz="0" w:space="0" w:color="auto"/>
        <w:bottom w:val="none" w:sz="0" w:space="0" w:color="auto"/>
        <w:right w:val="none" w:sz="0" w:space="0" w:color="auto"/>
      </w:divBdr>
    </w:div>
    <w:div w:id="188762139">
      <w:bodyDiv w:val="1"/>
      <w:marLeft w:val="0"/>
      <w:marRight w:val="0"/>
      <w:marTop w:val="0"/>
      <w:marBottom w:val="0"/>
      <w:divBdr>
        <w:top w:val="none" w:sz="0" w:space="0" w:color="auto"/>
        <w:left w:val="none" w:sz="0" w:space="0" w:color="auto"/>
        <w:bottom w:val="none" w:sz="0" w:space="0" w:color="auto"/>
        <w:right w:val="none" w:sz="0" w:space="0" w:color="auto"/>
      </w:divBdr>
    </w:div>
    <w:div w:id="191497817">
      <w:bodyDiv w:val="1"/>
      <w:marLeft w:val="0"/>
      <w:marRight w:val="0"/>
      <w:marTop w:val="0"/>
      <w:marBottom w:val="0"/>
      <w:divBdr>
        <w:top w:val="none" w:sz="0" w:space="0" w:color="auto"/>
        <w:left w:val="none" w:sz="0" w:space="0" w:color="auto"/>
        <w:bottom w:val="none" w:sz="0" w:space="0" w:color="auto"/>
        <w:right w:val="none" w:sz="0" w:space="0" w:color="auto"/>
      </w:divBdr>
    </w:div>
    <w:div w:id="340132244">
      <w:bodyDiv w:val="1"/>
      <w:marLeft w:val="0"/>
      <w:marRight w:val="0"/>
      <w:marTop w:val="0"/>
      <w:marBottom w:val="0"/>
      <w:divBdr>
        <w:top w:val="none" w:sz="0" w:space="0" w:color="auto"/>
        <w:left w:val="none" w:sz="0" w:space="0" w:color="auto"/>
        <w:bottom w:val="none" w:sz="0" w:space="0" w:color="auto"/>
        <w:right w:val="none" w:sz="0" w:space="0" w:color="auto"/>
      </w:divBdr>
    </w:div>
    <w:div w:id="368772181">
      <w:bodyDiv w:val="1"/>
      <w:marLeft w:val="0"/>
      <w:marRight w:val="0"/>
      <w:marTop w:val="0"/>
      <w:marBottom w:val="0"/>
      <w:divBdr>
        <w:top w:val="none" w:sz="0" w:space="0" w:color="auto"/>
        <w:left w:val="none" w:sz="0" w:space="0" w:color="auto"/>
        <w:bottom w:val="none" w:sz="0" w:space="0" w:color="auto"/>
        <w:right w:val="none" w:sz="0" w:space="0" w:color="auto"/>
      </w:divBdr>
    </w:div>
    <w:div w:id="370228750">
      <w:bodyDiv w:val="1"/>
      <w:marLeft w:val="0"/>
      <w:marRight w:val="0"/>
      <w:marTop w:val="0"/>
      <w:marBottom w:val="0"/>
      <w:divBdr>
        <w:top w:val="none" w:sz="0" w:space="0" w:color="auto"/>
        <w:left w:val="none" w:sz="0" w:space="0" w:color="auto"/>
        <w:bottom w:val="none" w:sz="0" w:space="0" w:color="auto"/>
        <w:right w:val="none" w:sz="0" w:space="0" w:color="auto"/>
      </w:divBdr>
    </w:div>
    <w:div w:id="372538674">
      <w:bodyDiv w:val="1"/>
      <w:marLeft w:val="0"/>
      <w:marRight w:val="0"/>
      <w:marTop w:val="0"/>
      <w:marBottom w:val="0"/>
      <w:divBdr>
        <w:top w:val="none" w:sz="0" w:space="0" w:color="auto"/>
        <w:left w:val="none" w:sz="0" w:space="0" w:color="auto"/>
        <w:bottom w:val="none" w:sz="0" w:space="0" w:color="auto"/>
        <w:right w:val="none" w:sz="0" w:space="0" w:color="auto"/>
      </w:divBdr>
    </w:div>
    <w:div w:id="373039127">
      <w:bodyDiv w:val="1"/>
      <w:marLeft w:val="0"/>
      <w:marRight w:val="0"/>
      <w:marTop w:val="0"/>
      <w:marBottom w:val="0"/>
      <w:divBdr>
        <w:top w:val="none" w:sz="0" w:space="0" w:color="auto"/>
        <w:left w:val="none" w:sz="0" w:space="0" w:color="auto"/>
        <w:bottom w:val="none" w:sz="0" w:space="0" w:color="auto"/>
        <w:right w:val="none" w:sz="0" w:space="0" w:color="auto"/>
      </w:divBdr>
    </w:div>
    <w:div w:id="373164552">
      <w:bodyDiv w:val="1"/>
      <w:marLeft w:val="0"/>
      <w:marRight w:val="0"/>
      <w:marTop w:val="0"/>
      <w:marBottom w:val="0"/>
      <w:divBdr>
        <w:top w:val="none" w:sz="0" w:space="0" w:color="auto"/>
        <w:left w:val="none" w:sz="0" w:space="0" w:color="auto"/>
        <w:bottom w:val="none" w:sz="0" w:space="0" w:color="auto"/>
        <w:right w:val="none" w:sz="0" w:space="0" w:color="auto"/>
      </w:divBdr>
    </w:div>
    <w:div w:id="376666431">
      <w:bodyDiv w:val="1"/>
      <w:marLeft w:val="0"/>
      <w:marRight w:val="0"/>
      <w:marTop w:val="0"/>
      <w:marBottom w:val="0"/>
      <w:divBdr>
        <w:top w:val="none" w:sz="0" w:space="0" w:color="auto"/>
        <w:left w:val="none" w:sz="0" w:space="0" w:color="auto"/>
        <w:bottom w:val="none" w:sz="0" w:space="0" w:color="auto"/>
        <w:right w:val="none" w:sz="0" w:space="0" w:color="auto"/>
      </w:divBdr>
    </w:div>
    <w:div w:id="398863676">
      <w:bodyDiv w:val="1"/>
      <w:marLeft w:val="0"/>
      <w:marRight w:val="0"/>
      <w:marTop w:val="0"/>
      <w:marBottom w:val="0"/>
      <w:divBdr>
        <w:top w:val="none" w:sz="0" w:space="0" w:color="auto"/>
        <w:left w:val="none" w:sz="0" w:space="0" w:color="auto"/>
        <w:bottom w:val="none" w:sz="0" w:space="0" w:color="auto"/>
        <w:right w:val="none" w:sz="0" w:space="0" w:color="auto"/>
      </w:divBdr>
    </w:div>
    <w:div w:id="424308203">
      <w:bodyDiv w:val="1"/>
      <w:marLeft w:val="0"/>
      <w:marRight w:val="0"/>
      <w:marTop w:val="0"/>
      <w:marBottom w:val="0"/>
      <w:divBdr>
        <w:top w:val="none" w:sz="0" w:space="0" w:color="auto"/>
        <w:left w:val="none" w:sz="0" w:space="0" w:color="auto"/>
        <w:bottom w:val="none" w:sz="0" w:space="0" w:color="auto"/>
        <w:right w:val="none" w:sz="0" w:space="0" w:color="auto"/>
      </w:divBdr>
      <w:divsChild>
        <w:div w:id="269163084">
          <w:marLeft w:val="0"/>
          <w:marRight w:val="0"/>
          <w:marTop w:val="0"/>
          <w:marBottom w:val="0"/>
          <w:divBdr>
            <w:top w:val="none" w:sz="0" w:space="0" w:color="auto"/>
            <w:left w:val="none" w:sz="0" w:space="0" w:color="auto"/>
            <w:bottom w:val="none" w:sz="0" w:space="0" w:color="auto"/>
            <w:right w:val="none" w:sz="0" w:space="0" w:color="auto"/>
          </w:divBdr>
        </w:div>
        <w:div w:id="1953516607">
          <w:marLeft w:val="0"/>
          <w:marRight w:val="0"/>
          <w:marTop w:val="0"/>
          <w:marBottom w:val="0"/>
          <w:divBdr>
            <w:top w:val="none" w:sz="0" w:space="0" w:color="auto"/>
            <w:left w:val="none" w:sz="0" w:space="0" w:color="auto"/>
            <w:bottom w:val="none" w:sz="0" w:space="0" w:color="auto"/>
            <w:right w:val="none" w:sz="0" w:space="0" w:color="auto"/>
          </w:divBdr>
        </w:div>
      </w:divsChild>
    </w:div>
    <w:div w:id="448547534">
      <w:bodyDiv w:val="1"/>
      <w:marLeft w:val="0"/>
      <w:marRight w:val="0"/>
      <w:marTop w:val="0"/>
      <w:marBottom w:val="0"/>
      <w:divBdr>
        <w:top w:val="none" w:sz="0" w:space="0" w:color="auto"/>
        <w:left w:val="none" w:sz="0" w:space="0" w:color="auto"/>
        <w:bottom w:val="none" w:sz="0" w:space="0" w:color="auto"/>
        <w:right w:val="none" w:sz="0" w:space="0" w:color="auto"/>
      </w:divBdr>
    </w:div>
    <w:div w:id="448741927">
      <w:bodyDiv w:val="1"/>
      <w:marLeft w:val="0"/>
      <w:marRight w:val="0"/>
      <w:marTop w:val="0"/>
      <w:marBottom w:val="0"/>
      <w:divBdr>
        <w:top w:val="none" w:sz="0" w:space="0" w:color="auto"/>
        <w:left w:val="none" w:sz="0" w:space="0" w:color="auto"/>
        <w:bottom w:val="none" w:sz="0" w:space="0" w:color="auto"/>
        <w:right w:val="none" w:sz="0" w:space="0" w:color="auto"/>
      </w:divBdr>
    </w:div>
    <w:div w:id="617488658">
      <w:bodyDiv w:val="1"/>
      <w:marLeft w:val="0"/>
      <w:marRight w:val="0"/>
      <w:marTop w:val="0"/>
      <w:marBottom w:val="0"/>
      <w:divBdr>
        <w:top w:val="none" w:sz="0" w:space="0" w:color="auto"/>
        <w:left w:val="none" w:sz="0" w:space="0" w:color="auto"/>
        <w:bottom w:val="none" w:sz="0" w:space="0" w:color="auto"/>
        <w:right w:val="none" w:sz="0" w:space="0" w:color="auto"/>
      </w:divBdr>
    </w:div>
    <w:div w:id="691877446">
      <w:bodyDiv w:val="1"/>
      <w:marLeft w:val="0"/>
      <w:marRight w:val="0"/>
      <w:marTop w:val="0"/>
      <w:marBottom w:val="0"/>
      <w:divBdr>
        <w:top w:val="none" w:sz="0" w:space="0" w:color="auto"/>
        <w:left w:val="none" w:sz="0" w:space="0" w:color="auto"/>
        <w:bottom w:val="none" w:sz="0" w:space="0" w:color="auto"/>
        <w:right w:val="none" w:sz="0" w:space="0" w:color="auto"/>
      </w:divBdr>
    </w:div>
    <w:div w:id="721565572">
      <w:bodyDiv w:val="1"/>
      <w:marLeft w:val="0"/>
      <w:marRight w:val="0"/>
      <w:marTop w:val="0"/>
      <w:marBottom w:val="0"/>
      <w:divBdr>
        <w:top w:val="none" w:sz="0" w:space="0" w:color="auto"/>
        <w:left w:val="none" w:sz="0" w:space="0" w:color="auto"/>
        <w:bottom w:val="none" w:sz="0" w:space="0" w:color="auto"/>
        <w:right w:val="none" w:sz="0" w:space="0" w:color="auto"/>
      </w:divBdr>
    </w:div>
    <w:div w:id="746000331">
      <w:bodyDiv w:val="1"/>
      <w:marLeft w:val="0"/>
      <w:marRight w:val="0"/>
      <w:marTop w:val="0"/>
      <w:marBottom w:val="0"/>
      <w:divBdr>
        <w:top w:val="none" w:sz="0" w:space="0" w:color="auto"/>
        <w:left w:val="none" w:sz="0" w:space="0" w:color="auto"/>
        <w:bottom w:val="none" w:sz="0" w:space="0" w:color="auto"/>
        <w:right w:val="none" w:sz="0" w:space="0" w:color="auto"/>
      </w:divBdr>
    </w:div>
    <w:div w:id="775953225">
      <w:bodyDiv w:val="1"/>
      <w:marLeft w:val="0"/>
      <w:marRight w:val="0"/>
      <w:marTop w:val="0"/>
      <w:marBottom w:val="0"/>
      <w:divBdr>
        <w:top w:val="none" w:sz="0" w:space="0" w:color="auto"/>
        <w:left w:val="none" w:sz="0" w:space="0" w:color="auto"/>
        <w:bottom w:val="none" w:sz="0" w:space="0" w:color="auto"/>
        <w:right w:val="none" w:sz="0" w:space="0" w:color="auto"/>
      </w:divBdr>
    </w:div>
    <w:div w:id="780687674">
      <w:bodyDiv w:val="1"/>
      <w:marLeft w:val="0"/>
      <w:marRight w:val="0"/>
      <w:marTop w:val="0"/>
      <w:marBottom w:val="0"/>
      <w:divBdr>
        <w:top w:val="none" w:sz="0" w:space="0" w:color="auto"/>
        <w:left w:val="none" w:sz="0" w:space="0" w:color="auto"/>
        <w:bottom w:val="none" w:sz="0" w:space="0" w:color="auto"/>
        <w:right w:val="none" w:sz="0" w:space="0" w:color="auto"/>
      </w:divBdr>
    </w:div>
    <w:div w:id="886375899">
      <w:bodyDiv w:val="1"/>
      <w:marLeft w:val="0"/>
      <w:marRight w:val="0"/>
      <w:marTop w:val="0"/>
      <w:marBottom w:val="0"/>
      <w:divBdr>
        <w:top w:val="none" w:sz="0" w:space="0" w:color="auto"/>
        <w:left w:val="none" w:sz="0" w:space="0" w:color="auto"/>
        <w:bottom w:val="none" w:sz="0" w:space="0" w:color="auto"/>
        <w:right w:val="none" w:sz="0" w:space="0" w:color="auto"/>
      </w:divBdr>
    </w:div>
    <w:div w:id="911155567">
      <w:bodyDiv w:val="1"/>
      <w:marLeft w:val="0"/>
      <w:marRight w:val="0"/>
      <w:marTop w:val="0"/>
      <w:marBottom w:val="0"/>
      <w:divBdr>
        <w:top w:val="none" w:sz="0" w:space="0" w:color="auto"/>
        <w:left w:val="none" w:sz="0" w:space="0" w:color="auto"/>
        <w:bottom w:val="none" w:sz="0" w:space="0" w:color="auto"/>
        <w:right w:val="none" w:sz="0" w:space="0" w:color="auto"/>
      </w:divBdr>
      <w:divsChild>
        <w:div w:id="1512330743">
          <w:marLeft w:val="0"/>
          <w:marRight w:val="0"/>
          <w:marTop w:val="0"/>
          <w:marBottom w:val="0"/>
          <w:divBdr>
            <w:top w:val="none" w:sz="0" w:space="0" w:color="auto"/>
            <w:left w:val="none" w:sz="0" w:space="0" w:color="auto"/>
            <w:bottom w:val="none" w:sz="0" w:space="0" w:color="auto"/>
            <w:right w:val="none" w:sz="0" w:space="0" w:color="auto"/>
          </w:divBdr>
        </w:div>
        <w:div w:id="2048219440">
          <w:marLeft w:val="0"/>
          <w:marRight w:val="0"/>
          <w:marTop w:val="0"/>
          <w:marBottom w:val="0"/>
          <w:divBdr>
            <w:top w:val="none" w:sz="0" w:space="0" w:color="auto"/>
            <w:left w:val="none" w:sz="0" w:space="0" w:color="auto"/>
            <w:bottom w:val="none" w:sz="0" w:space="0" w:color="auto"/>
            <w:right w:val="none" w:sz="0" w:space="0" w:color="auto"/>
          </w:divBdr>
        </w:div>
      </w:divsChild>
    </w:div>
    <w:div w:id="950892542">
      <w:bodyDiv w:val="1"/>
      <w:marLeft w:val="0"/>
      <w:marRight w:val="0"/>
      <w:marTop w:val="0"/>
      <w:marBottom w:val="0"/>
      <w:divBdr>
        <w:top w:val="none" w:sz="0" w:space="0" w:color="auto"/>
        <w:left w:val="none" w:sz="0" w:space="0" w:color="auto"/>
        <w:bottom w:val="none" w:sz="0" w:space="0" w:color="auto"/>
        <w:right w:val="none" w:sz="0" w:space="0" w:color="auto"/>
      </w:divBdr>
    </w:div>
    <w:div w:id="969479930">
      <w:bodyDiv w:val="1"/>
      <w:marLeft w:val="0"/>
      <w:marRight w:val="0"/>
      <w:marTop w:val="0"/>
      <w:marBottom w:val="0"/>
      <w:divBdr>
        <w:top w:val="none" w:sz="0" w:space="0" w:color="auto"/>
        <w:left w:val="none" w:sz="0" w:space="0" w:color="auto"/>
        <w:bottom w:val="none" w:sz="0" w:space="0" w:color="auto"/>
        <w:right w:val="none" w:sz="0" w:space="0" w:color="auto"/>
      </w:divBdr>
    </w:div>
    <w:div w:id="989597634">
      <w:bodyDiv w:val="1"/>
      <w:marLeft w:val="0"/>
      <w:marRight w:val="0"/>
      <w:marTop w:val="0"/>
      <w:marBottom w:val="0"/>
      <w:divBdr>
        <w:top w:val="none" w:sz="0" w:space="0" w:color="auto"/>
        <w:left w:val="none" w:sz="0" w:space="0" w:color="auto"/>
        <w:bottom w:val="none" w:sz="0" w:space="0" w:color="auto"/>
        <w:right w:val="none" w:sz="0" w:space="0" w:color="auto"/>
      </w:divBdr>
    </w:div>
    <w:div w:id="997806066">
      <w:bodyDiv w:val="1"/>
      <w:marLeft w:val="0"/>
      <w:marRight w:val="0"/>
      <w:marTop w:val="0"/>
      <w:marBottom w:val="0"/>
      <w:divBdr>
        <w:top w:val="none" w:sz="0" w:space="0" w:color="auto"/>
        <w:left w:val="none" w:sz="0" w:space="0" w:color="auto"/>
        <w:bottom w:val="none" w:sz="0" w:space="0" w:color="auto"/>
        <w:right w:val="none" w:sz="0" w:space="0" w:color="auto"/>
      </w:divBdr>
    </w:div>
    <w:div w:id="1009721694">
      <w:bodyDiv w:val="1"/>
      <w:marLeft w:val="0"/>
      <w:marRight w:val="0"/>
      <w:marTop w:val="0"/>
      <w:marBottom w:val="0"/>
      <w:divBdr>
        <w:top w:val="none" w:sz="0" w:space="0" w:color="auto"/>
        <w:left w:val="none" w:sz="0" w:space="0" w:color="auto"/>
        <w:bottom w:val="none" w:sz="0" w:space="0" w:color="auto"/>
        <w:right w:val="none" w:sz="0" w:space="0" w:color="auto"/>
      </w:divBdr>
    </w:div>
    <w:div w:id="1026951099">
      <w:bodyDiv w:val="1"/>
      <w:marLeft w:val="0"/>
      <w:marRight w:val="0"/>
      <w:marTop w:val="0"/>
      <w:marBottom w:val="0"/>
      <w:divBdr>
        <w:top w:val="none" w:sz="0" w:space="0" w:color="auto"/>
        <w:left w:val="none" w:sz="0" w:space="0" w:color="auto"/>
        <w:bottom w:val="none" w:sz="0" w:space="0" w:color="auto"/>
        <w:right w:val="none" w:sz="0" w:space="0" w:color="auto"/>
      </w:divBdr>
    </w:div>
    <w:div w:id="1053196257">
      <w:bodyDiv w:val="1"/>
      <w:marLeft w:val="0"/>
      <w:marRight w:val="0"/>
      <w:marTop w:val="0"/>
      <w:marBottom w:val="0"/>
      <w:divBdr>
        <w:top w:val="none" w:sz="0" w:space="0" w:color="auto"/>
        <w:left w:val="none" w:sz="0" w:space="0" w:color="auto"/>
        <w:bottom w:val="none" w:sz="0" w:space="0" w:color="auto"/>
        <w:right w:val="none" w:sz="0" w:space="0" w:color="auto"/>
      </w:divBdr>
    </w:div>
    <w:div w:id="1054506209">
      <w:bodyDiv w:val="1"/>
      <w:marLeft w:val="0"/>
      <w:marRight w:val="0"/>
      <w:marTop w:val="0"/>
      <w:marBottom w:val="0"/>
      <w:divBdr>
        <w:top w:val="none" w:sz="0" w:space="0" w:color="auto"/>
        <w:left w:val="none" w:sz="0" w:space="0" w:color="auto"/>
        <w:bottom w:val="none" w:sz="0" w:space="0" w:color="auto"/>
        <w:right w:val="none" w:sz="0" w:space="0" w:color="auto"/>
      </w:divBdr>
    </w:div>
    <w:div w:id="1066148572">
      <w:bodyDiv w:val="1"/>
      <w:marLeft w:val="0"/>
      <w:marRight w:val="0"/>
      <w:marTop w:val="0"/>
      <w:marBottom w:val="0"/>
      <w:divBdr>
        <w:top w:val="none" w:sz="0" w:space="0" w:color="auto"/>
        <w:left w:val="none" w:sz="0" w:space="0" w:color="auto"/>
        <w:bottom w:val="none" w:sz="0" w:space="0" w:color="auto"/>
        <w:right w:val="none" w:sz="0" w:space="0" w:color="auto"/>
      </w:divBdr>
    </w:div>
    <w:div w:id="1109080679">
      <w:bodyDiv w:val="1"/>
      <w:marLeft w:val="0"/>
      <w:marRight w:val="0"/>
      <w:marTop w:val="0"/>
      <w:marBottom w:val="0"/>
      <w:divBdr>
        <w:top w:val="none" w:sz="0" w:space="0" w:color="auto"/>
        <w:left w:val="none" w:sz="0" w:space="0" w:color="auto"/>
        <w:bottom w:val="none" w:sz="0" w:space="0" w:color="auto"/>
        <w:right w:val="none" w:sz="0" w:space="0" w:color="auto"/>
      </w:divBdr>
    </w:div>
    <w:div w:id="1131746813">
      <w:bodyDiv w:val="1"/>
      <w:marLeft w:val="0"/>
      <w:marRight w:val="0"/>
      <w:marTop w:val="0"/>
      <w:marBottom w:val="0"/>
      <w:divBdr>
        <w:top w:val="none" w:sz="0" w:space="0" w:color="auto"/>
        <w:left w:val="none" w:sz="0" w:space="0" w:color="auto"/>
        <w:bottom w:val="none" w:sz="0" w:space="0" w:color="auto"/>
        <w:right w:val="none" w:sz="0" w:space="0" w:color="auto"/>
      </w:divBdr>
    </w:div>
    <w:div w:id="1188718177">
      <w:bodyDiv w:val="1"/>
      <w:marLeft w:val="0"/>
      <w:marRight w:val="0"/>
      <w:marTop w:val="0"/>
      <w:marBottom w:val="0"/>
      <w:divBdr>
        <w:top w:val="none" w:sz="0" w:space="0" w:color="auto"/>
        <w:left w:val="none" w:sz="0" w:space="0" w:color="auto"/>
        <w:bottom w:val="none" w:sz="0" w:space="0" w:color="auto"/>
        <w:right w:val="none" w:sz="0" w:space="0" w:color="auto"/>
      </w:divBdr>
    </w:div>
    <w:div w:id="1204056514">
      <w:bodyDiv w:val="1"/>
      <w:marLeft w:val="0"/>
      <w:marRight w:val="0"/>
      <w:marTop w:val="0"/>
      <w:marBottom w:val="0"/>
      <w:divBdr>
        <w:top w:val="none" w:sz="0" w:space="0" w:color="auto"/>
        <w:left w:val="none" w:sz="0" w:space="0" w:color="auto"/>
        <w:bottom w:val="none" w:sz="0" w:space="0" w:color="auto"/>
        <w:right w:val="none" w:sz="0" w:space="0" w:color="auto"/>
      </w:divBdr>
    </w:div>
    <w:div w:id="1243687336">
      <w:bodyDiv w:val="1"/>
      <w:marLeft w:val="0"/>
      <w:marRight w:val="0"/>
      <w:marTop w:val="0"/>
      <w:marBottom w:val="0"/>
      <w:divBdr>
        <w:top w:val="none" w:sz="0" w:space="0" w:color="auto"/>
        <w:left w:val="none" w:sz="0" w:space="0" w:color="auto"/>
        <w:bottom w:val="none" w:sz="0" w:space="0" w:color="auto"/>
        <w:right w:val="none" w:sz="0" w:space="0" w:color="auto"/>
      </w:divBdr>
      <w:divsChild>
        <w:div w:id="1461916373">
          <w:marLeft w:val="0"/>
          <w:marRight w:val="0"/>
          <w:marTop w:val="0"/>
          <w:marBottom w:val="0"/>
          <w:divBdr>
            <w:top w:val="none" w:sz="0" w:space="0" w:color="auto"/>
            <w:left w:val="none" w:sz="0" w:space="0" w:color="auto"/>
            <w:bottom w:val="none" w:sz="0" w:space="0" w:color="auto"/>
            <w:right w:val="none" w:sz="0" w:space="0" w:color="auto"/>
          </w:divBdr>
        </w:div>
        <w:div w:id="289358129">
          <w:marLeft w:val="0"/>
          <w:marRight w:val="0"/>
          <w:marTop w:val="0"/>
          <w:marBottom w:val="0"/>
          <w:divBdr>
            <w:top w:val="none" w:sz="0" w:space="0" w:color="auto"/>
            <w:left w:val="none" w:sz="0" w:space="0" w:color="auto"/>
            <w:bottom w:val="none" w:sz="0" w:space="0" w:color="auto"/>
            <w:right w:val="none" w:sz="0" w:space="0" w:color="auto"/>
          </w:divBdr>
        </w:div>
        <w:div w:id="432284406">
          <w:marLeft w:val="0"/>
          <w:marRight w:val="0"/>
          <w:marTop w:val="0"/>
          <w:marBottom w:val="0"/>
          <w:divBdr>
            <w:top w:val="none" w:sz="0" w:space="0" w:color="auto"/>
            <w:left w:val="none" w:sz="0" w:space="0" w:color="auto"/>
            <w:bottom w:val="none" w:sz="0" w:space="0" w:color="auto"/>
            <w:right w:val="none" w:sz="0" w:space="0" w:color="auto"/>
          </w:divBdr>
        </w:div>
        <w:div w:id="1157570652">
          <w:marLeft w:val="0"/>
          <w:marRight w:val="0"/>
          <w:marTop w:val="0"/>
          <w:marBottom w:val="0"/>
          <w:divBdr>
            <w:top w:val="none" w:sz="0" w:space="0" w:color="auto"/>
            <w:left w:val="none" w:sz="0" w:space="0" w:color="auto"/>
            <w:bottom w:val="none" w:sz="0" w:space="0" w:color="auto"/>
            <w:right w:val="none" w:sz="0" w:space="0" w:color="auto"/>
          </w:divBdr>
        </w:div>
        <w:div w:id="192623111">
          <w:marLeft w:val="0"/>
          <w:marRight w:val="0"/>
          <w:marTop w:val="0"/>
          <w:marBottom w:val="0"/>
          <w:divBdr>
            <w:top w:val="none" w:sz="0" w:space="0" w:color="auto"/>
            <w:left w:val="none" w:sz="0" w:space="0" w:color="auto"/>
            <w:bottom w:val="none" w:sz="0" w:space="0" w:color="auto"/>
            <w:right w:val="none" w:sz="0" w:space="0" w:color="auto"/>
          </w:divBdr>
        </w:div>
        <w:div w:id="1574465580">
          <w:marLeft w:val="0"/>
          <w:marRight w:val="0"/>
          <w:marTop w:val="0"/>
          <w:marBottom w:val="0"/>
          <w:divBdr>
            <w:top w:val="none" w:sz="0" w:space="0" w:color="auto"/>
            <w:left w:val="none" w:sz="0" w:space="0" w:color="auto"/>
            <w:bottom w:val="none" w:sz="0" w:space="0" w:color="auto"/>
            <w:right w:val="none" w:sz="0" w:space="0" w:color="auto"/>
          </w:divBdr>
        </w:div>
        <w:div w:id="2039620014">
          <w:marLeft w:val="0"/>
          <w:marRight w:val="0"/>
          <w:marTop w:val="0"/>
          <w:marBottom w:val="0"/>
          <w:divBdr>
            <w:top w:val="none" w:sz="0" w:space="0" w:color="auto"/>
            <w:left w:val="none" w:sz="0" w:space="0" w:color="auto"/>
            <w:bottom w:val="none" w:sz="0" w:space="0" w:color="auto"/>
            <w:right w:val="none" w:sz="0" w:space="0" w:color="auto"/>
          </w:divBdr>
        </w:div>
        <w:div w:id="507060385">
          <w:marLeft w:val="0"/>
          <w:marRight w:val="0"/>
          <w:marTop w:val="0"/>
          <w:marBottom w:val="0"/>
          <w:divBdr>
            <w:top w:val="none" w:sz="0" w:space="0" w:color="auto"/>
            <w:left w:val="none" w:sz="0" w:space="0" w:color="auto"/>
            <w:bottom w:val="none" w:sz="0" w:space="0" w:color="auto"/>
            <w:right w:val="none" w:sz="0" w:space="0" w:color="auto"/>
          </w:divBdr>
        </w:div>
      </w:divsChild>
    </w:div>
    <w:div w:id="1292246542">
      <w:bodyDiv w:val="1"/>
      <w:marLeft w:val="0"/>
      <w:marRight w:val="0"/>
      <w:marTop w:val="0"/>
      <w:marBottom w:val="0"/>
      <w:divBdr>
        <w:top w:val="none" w:sz="0" w:space="0" w:color="auto"/>
        <w:left w:val="none" w:sz="0" w:space="0" w:color="auto"/>
        <w:bottom w:val="none" w:sz="0" w:space="0" w:color="auto"/>
        <w:right w:val="none" w:sz="0" w:space="0" w:color="auto"/>
      </w:divBdr>
    </w:div>
    <w:div w:id="1297636534">
      <w:bodyDiv w:val="1"/>
      <w:marLeft w:val="0"/>
      <w:marRight w:val="0"/>
      <w:marTop w:val="0"/>
      <w:marBottom w:val="0"/>
      <w:divBdr>
        <w:top w:val="none" w:sz="0" w:space="0" w:color="auto"/>
        <w:left w:val="none" w:sz="0" w:space="0" w:color="auto"/>
        <w:bottom w:val="none" w:sz="0" w:space="0" w:color="auto"/>
        <w:right w:val="none" w:sz="0" w:space="0" w:color="auto"/>
      </w:divBdr>
    </w:div>
    <w:div w:id="1306859163">
      <w:bodyDiv w:val="1"/>
      <w:marLeft w:val="0"/>
      <w:marRight w:val="0"/>
      <w:marTop w:val="0"/>
      <w:marBottom w:val="0"/>
      <w:divBdr>
        <w:top w:val="none" w:sz="0" w:space="0" w:color="auto"/>
        <w:left w:val="none" w:sz="0" w:space="0" w:color="auto"/>
        <w:bottom w:val="none" w:sz="0" w:space="0" w:color="auto"/>
        <w:right w:val="none" w:sz="0" w:space="0" w:color="auto"/>
      </w:divBdr>
    </w:div>
    <w:div w:id="1317153254">
      <w:bodyDiv w:val="1"/>
      <w:marLeft w:val="0"/>
      <w:marRight w:val="0"/>
      <w:marTop w:val="0"/>
      <w:marBottom w:val="0"/>
      <w:divBdr>
        <w:top w:val="none" w:sz="0" w:space="0" w:color="auto"/>
        <w:left w:val="none" w:sz="0" w:space="0" w:color="auto"/>
        <w:bottom w:val="none" w:sz="0" w:space="0" w:color="auto"/>
        <w:right w:val="none" w:sz="0" w:space="0" w:color="auto"/>
      </w:divBdr>
    </w:div>
    <w:div w:id="1341011122">
      <w:bodyDiv w:val="1"/>
      <w:marLeft w:val="0"/>
      <w:marRight w:val="0"/>
      <w:marTop w:val="0"/>
      <w:marBottom w:val="0"/>
      <w:divBdr>
        <w:top w:val="none" w:sz="0" w:space="0" w:color="auto"/>
        <w:left w:val="none" w:sz="0" w:space="0" w:color="auto"/>
        <w:bottom w:val="none" w:sz="0" w:space="0" w:color="auto"/>
        <w:right w:val="none" w:sz="0" w:space="0" w:color="auto"/>
      </w:divBdr>
    </w:div>
    <w:div w:id="1359815966">
      <w:bodyDiv w:val="1"/>
      <w:marLeft w:val="0"/>
      <w:marRight w:val="0"/>
      <w:marTop w:val="0"/>
      <w:marBottom w:val="0"/>
      <w:divBdr>
        <w:top w:val="none" w:sz="0" w:space="0" w:color="auto"/>
        <w:left w:val="none" w:sz="0" w:space="0" w:color="auto"/>
        <w:bottom w:val="none" w:sz="0" w:space="0" w:color="auto"/>
        <w:right w:val="none" w:sz="0" w:space="0" w:color="auto"/>
      </w:divBdr>
    </w:div>
    <w:div w:id="1383596297">
      <w:bodyDiv w:val="1"/>
      <w:marLeft w:val="0"/>
      <w:marRight w:val="0"/>
      <w:marTop w:val="0"/>
      <w:marBottom w:val="0"/>
      <w:divBdr>
        <w:top w:val="none" w:sz="0" w:space="0" w:color="auto"/>
        <w:left w:val="none" w:sz="0" w:space="0" w:color="auto"/>
        <w:bottom w:val="none" w:sz="0" w:space="0" w:color="auto"/>
        <w:right w:val="none" w:sz="0" w:space="0" w:color="auto"/>
      </w:divBdr>
    </w:div>
    <w:div w:id="1404371010">
      <w:bodyDiv w:val="1"/>
      <w:marLeft w:val="0"/>
      <w:marRight w:val="0"/>
      <w:marTop w:val="0"/>
      <w:marBottom w:val="0"/>
      <w:divBdr>
        <w:top w:val="none" w:sz="0" w:space="0" w:color="auto"/>
        <w:left w:val="none" w:sz="0" w:space="0" w:color="auto"/>
        <w:bottom w:val="none" w:sz="0" w:space="0" w:color="auto"/>
        <w:right w:val="none" w:sz="0" w:space="0" w:color="auto"/>
      </w:divBdr>
    </w:div>
    <w:div w:id="1412968718">
      <w:bodyDiv w:val="1"/>
      <w:marLeft w:val="0"/>
      <w:marRight w:val="0"/>
      <w:marTop w:val="0"/>
      <w:marBottom w:val="0"/>
      <w:divBdr>
        <w:top w:val="none" w:sz="0" w:space="0" w:color="auto"/>
        <w:left w:val="none" w:sz="0" w:space="0" w:color="auto"/>
        <w:bottom w:val="none" w:sz="0" w:space="0" w:color="auto"/>
        <w:right w:val="none" w:sz="0" w:space="0" w:color="auto"/>
      </w:divBdr>
    </w:div>
    <w:div w:id="1422483194">
      <w:bodyDiv w:val="1"/>
      <w:marLeft w:val="0"/>
      <w:marRight w:val="0"/>
      <w:marTop w:val="0"/>
      <w:marBottom w:val="0"/>
      <w:divBdr>
        <w:top w:val="none" w:sz="0" w:space="0" w:color="auto"/>
        <w:left w:val="none" w:sz="0" w:space="0" w:color="auto"/>
        <w:bottom w:val="none" w:sz="0" w:space="0" w:color="auto"/>
        <w:right w:val="none" w:sz="0" w:space="0" w:color="auto"/>
      </w:divBdr>
    </w:div>
    <w:div w:id="1462307370">
      <w:bodyDiv w:val="1"/>
      <w:marLeft w:val="0"/>
      <w:marRight w:val="0"/>
      <w:marTop w:val="0"/>
      <w:marBottom w:val="0"/>
      <w:divBdr>
        <w:top w:val="none" w:sz="0" w:space="0" w:color="auto"/>
        <w:left w:val="none" w:sz="0" w:space="0" w:color="auto"/>
        <w:bottom w:val="none" w:sz="0" w:space="0" w:color="auto"/>
        <w:right w:val="none" w:sz="0" w:space="0" w:color="auto"/>
      </w:divBdr>
    </w:div>
    <w:div w:id="1463385145">
      <w:bodyDiv w:val="1"/>
      <w:marLeft w:val="0"/>
      <w:marRight w:val="0"/>
      <w:marTop w:val="0"/>
      <w:marBottom w:val="0"/>
      <w:divBdr>
        <w:top w:val="none" w:sz="0" w:space="0" w:color="auto"/>
        <w:left w:val="none" w:sz="0" w:space="0" w:color="auto"/>
        <w:bottom w:val="none" w:sz="0" w:space="0" w:color="auto"/>
        <w:right w:val="none" w:sz="0" w:space="0" w:color="auto"/>
      </w:divBdr>
    </w:div>
    <w:div w:id="1472865082">
      <w:bodyDiv w:val="1"/>
      <w:marLeft w:val="0"/>
      <w:marRight w:val="0"/>
      <w:marTop w:val="0"/>
      <w:marBottom w:val="0"/>
      <w:divBdr>
        <w:top w:val="none" w:sz="0" w:space="0" w:color="auto"/>
        <w:left w:val="none" w:sz="0" w:space="0" w:color="auto"/>
        <w:bottom w:val="none" w:sz="0" w:space="0" w:color="auto"/>
        <w:right w:val="none" w:sz="0" w:space="0" w:color="auto"/>
      </w:divBdr>
    </w:div>
    <w:div w:id="1487556001">
      <w:bodyDiv w:val="1"/>
      <w:marLeft w:val="0"/>
      <w:marRight w:val="0"/>
      <w:marTop w:val="0"/>
      <w:marBottom w:val="0"/>
      <w:divBdr>
        <w:top w:val="none" w:sz="0" w:space="0" w:color="auto"/>
        <w:left w:val="none" w:sz="0" w:space="0" w:color="auto"/>
        <w:bottom w:val="none" w:sz="0" w:space="0" w:color="auto"/>
        <w:right w:val="none" w:sz="0" w:space="0" w:color="auto"/>
      </w:divBdr>
    </w:div>
    <w:div w:id="1491753074">
      <w:bodyDiv w:val="1"/>
      <w:marLeft w:val="0"/>
      <w:marRight w:val="0"/>
      <w:marTop w:val="0"/>
      <w:marBottom w:val="0"/>
      <w:divBdr>
        <w:top w:val="none" w:sz="0" w:space="0" w:color="auto"/>
        <w:left w:val="none" w:sz="0" w:space="0" w:color="auto"/>
        <w:bottom w:val="none" w:sz="0" w:space="0" w:color="auto"/>
        <w:right w:val="none" w:sz="0" w:space="0" w:color="auto"/>
      </w:divBdr>
    </w:div>
    <w:div w:id="1526824659">
      <w:bodyDiv w:val="1"/>
      <w:marLeft w:val="0"/>
      <w:marRight w:val="0"/>
      <w:marTop w:val="0"/>
      <w:marBottom w:val="0"/>
      <w:divBdr>
        <w:top w:val="none" w:sz="0" w:space="0" w:color="auto"/>
        <w:left w:val="none" w:sz="0" w:space="0" w:color="auto"/>
        <w:bottom w:val="none" w:sz="0" w:space="0" w:color="auto"/>
        <w:right w:val="none" w:sz="0" w:space="0" w:color="auto"/>
      </w:divBdr>
    </w:div>
    <w:div w:id="1629974920">
      <w:bodyDiv w:val="1"/>
      <w:marLeft w:val="0"/>
      <w:marRight w:val="0"/>
      <w:marTop w:val="0"/>
      <w:marBottom w:val="0"/>
      <w:divBdr>
        <w:top w:val="none" w:sz="0" w:space="0" w:color="auto"/>
        <w:left w:val="none" w:sz="0" w:space="0" w:color="auto"/>
        <w:bottom w:val="none" w:sz="0" w:space="0" w:color="auto"/>
        <w:right w:val="none" w:sz="0" w:space="0" w:color="auto"/>
      </w:divBdr>
    </w:div>
    <w:div w:id="1635481348">
      <w:bodyDiv w:val="1"/>
      <w:marLeft w:val="0"/>
      <w:marRight w:val="0"/>
      <w:marTop w:val="0"/>
      <w:marBottom w:val="0"/>
      <w:divBdr>
        <w:top w:val="none" w:sz="0" w:space="0" w:color="auto"/>
        <w:left w:val="none" w:sz="0" w:space="0" w:color="auto"/>
        <w:bottom w:val="none" w:sz="0" w:space="0" w:color="auto"/>
        <w:right w:val="none" w:sz="0" w:space="0" w:color="auto"/>
      </w:divBdr>
    </w:div>
    <w:div w:id="1652178606">
      <w:bodyDiv w:val="1"/>
      <w:marLeft w:val="0"/>
      <w:marRight w:val="0"/>
      <w:marTop w:val="0"/>
      <w:marBottom w:val="0"/>
      <w:divBdr>
        <w:top w:val="none" w:sz="0" w:space="0" w:color="auto"/>
        <w:left w:val="none" w:sz="0" w:space="0" w:color="auto"/>
        <w:bottom w:val="none" w:sz="0" w:space="0" w:color="auto"/>
        <w:right w:val="none" w:sz="0" w:space="0" w:color="auto"/>
      </w:divBdr>
    </w:div>
    <w:div w:id="1672639506">
      <w:bodyDiv w:val="1"/>
      <w:marLeft w:val="0"/>
      <w:marRight w:val="0"/>
      <w:marTop w:val="0"/>
      <w:marBottom w:val="0"/>
      <w:divBdr>
        <w:top w:val="none" w:sz="0" w:space="0" w:color="auto"/>
        <w:left w:val="none" w:sz="0" w:space="0" w:color="auto"/>
        <w:bottom w:val="none" w:sz="0" w:space="0" w:color="auto"/>
        <w:right w:val="none" w:sz="0" w:space="0" w:color="auto"/>
      </w:divBdr>
    </w:div>
    <w:div w:id="1733502812">
      <w:bodyDiv w:val="1"/>
      <w:marLeft w:val="0"/>
      <w:marRight w:val="0"/>
      <w:marTop w:val="0"/>
      <w:marBottom w:val="0"/>
      <w:divBdr>
        <w:top w:val="none" w:sz="0" w:space="0" w:color="auto"/>
        <w:left w:val="none" w:sz="0" w:space="0" w:color="auto"/>
        <w:bottom w:val="none" w:sz="0" w:space="0" w:color="auto"/>
        <w:right w:val="none" w:sz="0" w:space="0" w:color="auto"/>
      </w:divBdr>
    </w:div>
    <w:div w:id="1792092964">
      <w:bodyDiv w:val="1"/>
      <w:marLeft w:val="0"/>
      <w:marRight w:val="0"/>
      <w:marTop w:val="0"/>
      <w:marBottom w:val="0"/>
      <w:divBdr>
        <w:top w:val="none" w:sz="0" w:space="0" w:color="auto"/>
        <w:left w:val="none" w:sz="0" w:space="0" w:color="auto"/>
        <w:bottom w:val="none" w:sz="0" w:space="0" w:color="auto"/>
        <w:right w:val="none" w:sz="0" w:space="0" w:color="auto"/>
      </w:divBdr>
    </w:div>
    <w:div w:id="1877934458">
      <w:bodyDiv w:val="1"/>
      <w:marLeft w:val="0"/>
      <w:marRight w:val="0"/>
      <w:marTop w:val="0"/>
      <w:marBottom w:val="0"/>
      <w:divBdr>
        <w:top w:val="none" w:sz="0" w:space="0" w:color="auto"/>
        <w:left w:val="none" w:sz="0" w:space="0" w:color="auto"/>
        <w:bottom w:val="none" w:sz="0" w:space="0" w:color="auto"/>
        <w:right w:val="none" w:sz="0" w:space="0" w:color="auto"/>
      </w:divBdr>
    </w:div>
    <w:div w:id="1889606158">
      <w:bodyDiv w:val="1"/>
      <w:marLeft w:val="0"/>
      <w:marRight w:val="0"/>
      <w:marTop w:val="0"/>
      <w:marBottom w:val="0"/>
      <w:divBdr>
        <w:top w:val="none" w:sz="0" w:space="0" w:color="auto"/>
        <w:left w:val="none" w:sz="0" w:space="0" w:color="auto"/>
        <w:bottom w:val="none" w:sz="0" w:space="0" w:color="auto"/>
        <w:right w:val="none" w:sz="0" w:space="0" w:color="auto"/>
      </w:divBdr>
    </w:div>
    <w:div w:id="1909266941">
      <w:bodyDiv w:val="1"/>
      <w:marLeft w:val="0"/>
      <w:marRight w:val="0"/>
      <w:marTop w:val="0"/>
      <w:marBottom w:val="0"/>
      <w:divBdr>
        <w:top w:val="none" w:sz="0" w:space="0" w:color="auto"/>
        <w:left w:val="none" w:sz="0" w:space="0" w:color="auto"/>
        <w:bottom w:val="none" w:sz="0" w:space="0" w:color="auto"/>
        <w:right w:val="none" w:sz="0" w:space="0" w:color="auto"/>
      </w:divBdr>
    </w:div>
    <w:div w:id="1963996155">
      <w:bodyDiv w:val="1"/>
      <w:marLeft w:val="0"/>
      <w:marRight w:val="0"/>
      <w:marTop w:val="0"/>
      <w:marBottom w:val="0"/>
      <w:divBdr>
        <w:top w:val="none" w:sz="0" w:space="0" w:color="auto"/>
        <w:left w:val="none" w:sz="0" w:space="0" w:color="auto"/>
        <w:bottom w:val="none" w:sz="0" w:space="0" w:color="auto"/>
        <w:right w:val="none" w:sz="0" w:space="0" w:color="auto"/>
      </w:divBdr>
      <w:divsChild>
        <w:div w:id="152532127">
          <w:marLeft w:val="0"/>
          <w:marRight w:val="0"/>
          <w:marTop w:val="0"/>
          <w:marBottom w:val="0"/>
          <w:divBdr>
            <w:top w:val="none" w:sz="0" w:space="0" w:color="auto"/>
            <w:left w:val="none" w:sz="0" w:space="0" w:color="auto"/>
            <w:bottom w:val="none" w:sz="0" w:space="0" w:color="auto"/>
            <w:right w:val="none" w:sz="0" w:space="0" w:color="auto"/>
          </w:divBdr>
        </w:div>
        <w:div w:id="632292546">
          <w:marLeft w:val="0"/>
          <w:marRight w:val="0"/>
          <w:marTop w:val="0"/>
          <w:marBottom w:val="0"/>
          <w:divBdr>
            <w:top w:val="none" w:sz="0" w:space="0" w:color="auto"/>
            <w:left w:val="none" w:sz="0" w:space="0" w:color="auto"/>
            <w:bottom w:val="none" w:sz="0" w:space="0" w:color="auto"/>
            <w:right w:val="none" w:sz="0" w:space="0" w:color="auto"/>
          </w:divBdr>
        </w:div>
        <w:div w:id="233898794">
          <w:marLeft w:val="0"/>
          <w:marRight w:val="0"/>
          <w:marTop w:val="0"/>
          <w:marBottom w:val="0"/>
          <w:divBdr>
            <w:top w:val="none" w:sz="0" w:space="0" w:color="auto"/>
            <w:left w:val="none" w:sz="0" w:space="0" w:color="auto"/>
            <w:bottom w:val="none" w:sz="0" w:space="0" w:color="auto"/>
            <w:right w:val="none" w:sz="0" w:space="0" w:color="auto"/>
          </w:divBdr>
        </w:div>
        <w:div w:id="1515535912">
          <w:marLeft w:val="0"/>
          <w:marRight w:val="0"/>
          <w:marTop w:val="0"/>
          <w:marBottom w:val="0"/>
          <w:divBdr>
            <w:top w:val="none" w:sz="0" w:space="0" w:color="auto"/>
            <w:left w:val="none" w:sz="0" w:space="0" w:color="auto"/>
            <w:bottom w:val="none" w:sz="0" w:space="0" w:color="auto"/>
            <w:right w:val="none" w:sz="0" w:space="0" w:color="auto"/>
          </w:divBdr>
        </w:div>
        <w:div w:id="336928282">
          <w:marLeft w:val="0"/>
          <w:marRight w:val="0"/>
          <w:marTop w:val="0"/>
          <w:marBottom w:val="0"/>
          <w:divBdr>
            <w:top w:val="none" w:sz="0" w:space="0" w:color="auto"/>
            <w:left w:val="none" w:sz="0" w:space="0" w:color="auto"/>
            <w:bottom w:val="none" w:sz="0" w:space="0" w:color="auto"/>
            <w:right w:val="none" w:sz="0" w:space="0" w:color="auto"/>
          </w:divBdr>
        </w:div>
        <w:div w:id="1751273728">
          <w:marLeft w:val="0"/>
          <w:marRight w:val="0"/>
          <w:marTop w:val="0"/>
          <w:marBottom w:val="0"/>
          <w:divBdr>
            <w:top w:val="none" w:sz="0" w:space="0" w:color="auto"/>
            <w:left w:val="none" w:sz="0" w:space="0" w:color="auto"/>
            <w:bottom w:val="none" w:sz="0" w:space="0" w:color="auto"/>
            <w:right w:val="none" w:sz="0" w:space="0" w:color="auto"/>
          </w:divBdr>
        </w:div>
        <w:div w:id="232931360">
          <w:marLeft w:val="0"/>
          <w:marRight w:val="0"/>
          <w:marTop w:val="0"/>
          <w:marBottom w:val="0"/>
          <w:divBdr>
            <w:top w:val="none" w:sz="0" w:space="0" w:color="auto"/>
            <w:left w:val="none" w:sz="0" w:space="0" w:color="auto"/>
            <w:bottom w:val="none" w:sz="0" w:space="0" w:color="auto"/>
            <w:right w:val="none" w:sz="0" w:space="0" w:color="auto"/>
          </w:divBdr>
        </w:div>
        <w:div w:id="535117538">
          <w:marLeft w:val="0"/>
          <w:marRight w:val="0"/>
          <w:marTop w:val="0"/>
          <w:marBottom w:val="0"/>
          <w:divBdr>
            <w:top w:val="none" w:sz="0" w:space="0" w:color="auto"/>
            <w:left w:val="none" w:sz="0" w:space="0" w:color="auto"/>
            <w:bottom w:val="none" w:sz="0" w:space="0" w:color="auto"/>
            <w:right w:val="none" w:sz="0" w:space="0" w:color="auto"/>
          </w:divBdr>
        </w:div>
      </w:divsChild>
    </w:div>
    <w:div w:id="2051685349">
      <w:bodyDiv w:val="1"/>
      <w:marLeft w:val="0"/>
      <w:marRight w:val="0"/>
      <w:marTop w:val="0"/>
      <w:marBottom w:val="0"/>
      <w:divBdr>
        <w:top w:val="none" w:sz="0" w:space="0" w:color="auto"/>
        <w:left w:val="none" w:sz="0" w:space="0" w:color="auto"/>
        <w:bottom w:val="none" w:sz="0" w:space="0" w:color="auto"/>
        <w:right w:val="none" w:sz="0" w:space="0" w:color="auto"/>
      </w:divBdr>
    </w:div>
    <w:div w:id="2117870690">
      <w:bodyDiv w:val="1"/>
      <w:marLeft w:val="0"/>
      <w:marRight w:val="0"/>
      <w:marTop w:val="0"/>
      <w:marBottom w:val="0"/>
      <w:divBdr>
        <w:top w:val="none" w:sz="0" w:space="0" w:color="auto"/>
        <w:left w:val="none" w:sz="0" w:space="0" w:color="auto"/>
        <w:bottom w:val="none" w:sz="0" w:space="0" w:color="auto"/>
        <w:right w:val="none" w:sz="0" w:space="0" w:color="auto"/>
      </w:divBdr>
    </w:div>
    <w:div w:id="21271936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E063C-0B61-6249-ADEB-D1B6361EF7DF}">
  <ds:schemaRefs>
    <ds:schemaRef ds:uri="http://schemas.openxmlformats.org/officeDocument/2006/bibliography"/>
  </ds:schemaRefs>
</ds:datastoreItem>
</file>

<file path=customXml/itemProps2.xml><?xml version="1.0" encoding="utf-8"?>
<ds:datastoreItem xmlns:ds="http://schemas.openxmlformats.org/officeDocument/2006/customXml" ds:itemID="{9893949F-20F1-F647-9F1D-58318E323F18}">
  <ds:schemaRefs>
    <ds:schemaRef ds:uri="http://schemas.openxmlformats.org/officeDocument/2006/bibliography"/>
  </ds:schemaRefs>
</ds:datastoreItem>
</file>

<file path=customXml/itemProps3.xml><?xml version="1.0" encoding="utf-8"?>
<ds:datastoreItem xmlns:ds="http://schemas.openxmlformats.org/officeDocument/2006/customXml" ds:itemID="{109DB8C1-3470-854F-8160-20582A64F748}">
  <ds:schemaRefs>
    <ds:schemaRef ds:uri="http://schemas.openxmlformats.org/officeDocument/2006/bibliography"/>
  </ds:schemaRefs>
</ds:datastoreItem>
</file>

<file path=customXml/itemProps4.xml><?xml version="1.0" encoding="utf-8"?>
<ds:datastoreItem xmlns:ds="http://schemas.openxmlformats.org/officeDocument/2006/customXml" ds:itemID="{34C0BB7A-113A-C64A-9992-2B367CEAB7DA}">
  <ds:schemaRefs>
    <ds:schemaRef ds:uri="http://schemas.openxmlformats.org/officeDocument/2006/bibliography"/>
  </ds:schemaRefs>
</ds:datastoreItem>
</file>

<file path=customXml/itemProps5.xml><?xml version="1.0" encoding="utf-8"?>
<ds:datastoreItem xmlns:ds="http://schemas.openxmlformats.org/officeDocument/2006/customXml" ds:itemID="{6C1B89D0-288B-B647-87C4-16E3E8E06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1699</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Sussex</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Lester</dc:creator>
  <cp:keywords/>
  <dc:description/>
  <cp:lastModifiedBy>Kathryn Lester</cp:lastModifiedBy>
  <cp:revision>2</cp:revision>
  <cp:lastPrinted>2017-10-23T09:37:00Z</cp:lastPrinted>
  <dcterms:created xsi:type="dcterms:W3CDTF">2019-03-11T11:33:00Z</dcterms:created>
  <dcterms:modified xsi:type="dcterms:W3CDTF">2019-03-11T11:33:00Z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id="http://www.zotero.org/styles/apa"/&gt;&lt;format class="1"/&gt;&lt;/info&gt;PAPERS2_INFO_END</vt:lpwstr>
  </property>
  <property fmtid="{D5CDD505-2E9C-101B-9397-08002B2CF9AE}" pid="3" name="StyleId">
    <vt:lpwstr>http://www.zotero.org/styles/apa</vt:lpwstr>
  </property>
</Properties>
</file>