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B61B8A" w14:textId="7958A499" w:rsidR="00B607E6" w:rsidRDefault="00710D57">
      <w:pPr>
        <w:rPr>
          <w:rFonts w:ascii="Times New Roman" w:hAnsi="Times New Roman" w:cs="Times New Roman"/>
          <w:b/>
          <w:bCs/>
          <w:sz w:val="24"/>
          <w:szCs w:val="24"/>
        </w:rPr>
      </w:pPr>
      <w:r>
        <w:rPr>
          <w:rFonts w:ascii="Times New Roman" w:hAnsi="Times New Roman" w:cs="Times New Roman"/>
          <w:b/>
          <w:bCs/>
          <w:sz w:val="24"/>
          <w:szCs w:val="24"/>
        </w:rPr>
        <w:t>Appendix A.</w:t>
      </w:r>
    </w:p>
    <w:p w14:paraId="58AF8980" w14:textId="7BA5E1EB" w:rsidR="00710D57" w:rsidRDefault="00710D57">
      <w:pPr>
        <w:rPr>
          <w:rFonts w:ascii="Times New Roman" w:hAnsi="Times New Roman" w:cs="Times New Roman"/>
          <w:b/>
          <w:bCs/>
          <w:sz w:val="24"/>
          <w:szCs w:val="24"/>
        </w:rPr>
      </w:pPr>
    </w:p>
    <w:p w14:paraId="25D8DC4C" w14:textId="38F94FA3" w:rsidR="00710D57" w:rsidRPr="00710D57" w:rsidRDefault="00710D57">
      <w:pPr>
        <w:rPr>
          <w:rFonts w:ascii="Times New Roman" w:hAnsi="Times New Roman" w:cs="Times New Roman"/>
          <w:b/>
          <w:bCs/>
          <w:sz w:val="24"/>
          <w:szCs w:val="24"/>
          <w:lang w:val="en-GB"/>
        </w:rPr>
      </w:pPr>
      <w:r w:rsidRPr="00710D57">
        <w:rPr>
          <w:rFonts w:ascii="Times New Roman" w:hAnsi="Times New Roman" w:cs="Times New Roman"/>
          <w:b/>
          <w:bCs/>
          <w:sz w:val="24"/>
          <w:szCs w:val="24"/>
          <w:lang w:val="en-GB"/>
        </w:rPr>
        <w:t xml:space="preserve">Additional information about </w:t>
      </w:r>
      <w:r>
        <w:rPr>
          <w:rFonts w:ascii="Times New Roman" w:hAnsi="Times New Roman" w:cs="Times New Roman"/>
          <w:b/>
          <w:bCs/>
          <w:sz w:val="24"/>
          <w:szCs w:val="24"/>
          <w:lang w:val="en-GB"/>
        </w:rPr>
        <w:t>the annotation of the video stimuli</w:t>
      </w:r>
    </w:p>
    <w:p w14:paraId="014EF697" w14:textId="77777777" w:rsidR="00710D57" w:rsidRPr="00710D57" w:rsidRDefault="00710D57">
      <w:pPr>
        <w:rPr>
          <w:rFonts w:ascii="Times New Roman" w:hAnsi="Times New Roman" w:cs="Times New Roman"/>
          <w:b/>
          <w:bCs/>
          <w:sz w:val="24"/>
          <w:szCs w:val="24"/>
          <w:lang w:val="en-GB"/>
        </w:rPr>
      </w:pPr>
    </w:p>
    <w:p w14:paraId="2AC4332C" w14:textId="5869B4C4" w:rsidR="00710D57" w:rsidRPr="00710D57" w:rsidRDefault="00710D57" w:rsidP="00710D57">
      <w:pPr>
        <w:spacing w:line="480" w:lineRule="auto"/>
        <w:rPr>
          <w:rFonts w:ascii="Times New Roman" w:hAnsi="Times New Roman" w:cs="Times New Roman"/>
          <w:sz w:val="24"/>
          <w:szCs w:val="24"/>
          <w:lang w:val="en-GB"/>
        </w:rPr>
      </w:pPr>
      <w:r w:rsidRPr="00EF08B2">
        <w:rPr>
          <w:rFonts w:ascii="Times New Roman" w:hAnsi="Times New Roman" w:cs="Times New Roman"/>
          <w:sz w:val="24"/>
          <w:szCs w:val="24"/>
          <w:lang w:val="en-GB"/>
        </w:rPr>
        <w:t>The group of Dominant Characters involved in total four characters and the group of Submissive Characters involved three characters. For Dominant Characters and Submissive Characters, we identif</w:t>
      </w:r>
      <w:bookmarkStart w:id="0" w:name="_GoBack"/>
      <w:bookmarkEnd w:id="0"/>
      <w:r w:rsidRPr="00EF08B2">
        <w:rPr>
          <w:rFonts w:ascii="Times New Roman" w:hAnsi="Times New Roman" w:cs="Times New Roman"/>
          <w:sz w:val="24"/>
          <w:szCs w:val="24"/>
          <w:lang w:val="en-GB"/>
        </w:rPr>
        <w:t xml:space="preserve">ied altogether 16 spoken turns that involved turn interruptions. We identified facial emotion expressions by the Submissive Characters that conveyed disaffiliation, that is, negative stance toward the Dominant Character(s) or the situation more generally. The Dominant Characters in the videos were not identified to make such facial emotion expressions and hence the analysis of </w:t>
      </w:r>
      <w:r>
        <w:rPr>
          <w:rFonts w:ascii="Times New Roman" w:hAnsi="Times New Roman" w:cs="Times New Roman"/>
          <w:sz w:val="24"/>
          <w:szCs w:val="24"/>
          <w:lang w:val="en-GB"/>
        </w:rPr>
        <w:t>visual social attention</w:t>
      </w:r>
      <w:r w:rsidRPr="00EF08B2">
        <w:rPr>
          <w:rFonts w:ascii="Times New Roman" w:hAnsi="Times New Roman" w:cs="Times New Roman"/>
          <w:sz w:val="24"/>
          <w:szCs w:val="24"/>
          <w:lang w:val="en-GB"/>
        </w:rPr>
        <w:t xml:space="preserve"> to facial emotion expressions only focuses on Submissive Characters. These expressions included rolling one’s eyes, gaze aversion from one of the Dominant Characters to the floor or one’s own hands, withdrawal of a smile, and mutual gaze with another Submissive Character combined with raising one’s eyebrows in response to Dominant Characters’ actions.</w:t>
      </w:r>
    </w:p>
    <w:sectPr w:rsidR="00710D57" w:rsidRPr="00710D57">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D57"/>
    <w:rsid w:val="00710D57"/>
    <w:rsid w:val="00B607E6"/>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2F490"/>
  <w15:chartTrackingRefBased/>
  <w15:docId w15:val="{FE0EC8EC-5EA2-48C3-BB1F-F3700BEF6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10D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0D5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113</Words>
  <Characters>918</Characters>
  <Application>Microsoft Office Word</Application>
  <DocSecurity>0</DocSecurity>
  <Lines>7</Lines>
  <Paragraphs>2</Paragraphs>
  <ScaleCrop>false</ScaleCrop>
  <Company/>
  <LinksUpToDate>false</LinksUpToDate>
  <CharactersWithSpaces>1029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Katja Dindar</dc:creator>
  <cp:keywords/>
  <dc:description/>
  <cp:lastModifiedBy>Katja Dindar</cp:lastModifiedBy>
  <cp:revision>1</cp:revision>
  <dcterms:created xsi:type="dcterms:W3CDTF">2021-01-07T07:58:00Z</dcterms:created>
  <dcterms:modified xsi:type="dcterms:W3CDTF">2021-01-07T08:06:00Z</dcterms:modified>
</cp:coreProperties>
</file>